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2"/>
        </w:rPr>
      </w:pPr>
    </w:p>
    <w:p>
      <w:pPr>
        <w:pStyle w:val="BodyText"/>
        <w:spacing w:before="3"/>
        <w:ind w:left="0"/>
        <w:rPr>
          <w:sz w:val="24"/>
        </w:rPr>
      </w:pPr>
    </w:p>
    <w:p>
      <w:pPr>
        <w:pStyle w:val="BodyText"/>
      </w:pPr>
      <w:r>
        <w:rPr/>
        <w:t>Smluvní strany</w:t>
      </w:r>
    </w:p>
    <w:p>
      <w:pPr>
        <w:pStyle w:val="BodyText"/>
        <w:spacing w:before="5"/>
        <w:ind w:left="0"/>
      </w:pPr>
    </w:p>
    <w:p>
      <w:pPr>
        <w:pStyle w:val="Heading1"/>
        <w:spacing w:line="240" w:lineRule="auto"/>
        <w:ind w:left="156" w:right="18"/>
        <w:jc w:val="left"/>
      </w:pPr>
      <w:r>
        <w:rPr/>
        <w:t>Autocentrum Jičín s.r.o. Hradecká 1107</w:t>
      </w:r>
    </w:p>
    <w:p>
      <w:pPr>
        <w:spacing w:line="226" w:lineRule="exact" w:before="0"/>
        <w:ind w:left="156" w:right="0" w:firstLine="0"/>
        <w:jc w:val="left"/>
        <w:rPr>
          <w:b/>
          <w:sz w:val="20"/>
        </w:rPr>
      </w:pPr>
      <w:r>
        <w:rPr>
          <w:b/>
          <w:sz w:val="20"/>
        </w:rPr>
        <w:t>506 01 Jičín</w:t>
      </w:r>
    </w:p>
    <w:p>
      <w:pPr>
        <w:spacing w:line="228" w:lineRule="exact" w:before="0"/>
        <w:ind w:left="156" w:right="0" w:firstLine="0"/>
        <w:jc w:val="left"/>
        <w:rPr>
          <w:b/>
          <w:sz w:val="20"/>
        </w:rPr>
      </w:pPr>
      <w:r>
        <w:rPr>
          <w:sz w:val="20"/>
        </w:rPr>
        <w:t>DIČ </w:t>
      </w:r>
      <w:r>
        <w:rPr>
          <w:b/>
          <w:sz w:val="20"/>
        </w:rPr>
        <w:t>CZ01596501</w:t>
      </w:r>
    </w:p>
    <w:p>
      <w:pPr>
        <w:pStyle w:val="BodyText"/>
        <w:spacing w:line="434" w:lineRule="auto" w:before="121"/>
        <w:ind w:right="512"/>
      </w:pPr>
      <w:r>
        <w:rPr/>
        <w:t>dále jen prodávající a</w:t>
      </w:r>
    </w:p>
    <w:p>
      <w:pPr>
        <w:spacing w:before="74"/>
        <w:ind w:left="156" w:right="0" w:firstLine="0"/>
        <w:jc w:val="left"/>
        <w:rPr>
          <w:b/>
          <w:sz w:val="24"/>
        </w:rPr>
      </w:pPr>
      <w:r>
        <w:rPr/>
        <w:br w:type="column"/>
      </w:r>
      <w:r>
        <w:rPr>
          <w:b/>
          <w:sz w:val="24"/>
        </w:rPr>
        <w:t>Smlouva o prodeji OV 2150/210505</w:t>
      </w:r>
    </w:p>
    <w:p>
      <w:pPr>
        <w:tabs>
          <w:tab w:pos="5040" w:val="right" w:leader="none"/>
        </w:tabs>
        <w:spacing w:before="643"/>
        <w:ind w:left="2539" w:right="0" w:firstLine="0"/>
        <w:jc w:val="left"/>
        <w:rPr>
          <w:b/>
          <w:sz w:val="20"/>
        </w:rPr>
      </w:pPr>
      <w:r>
        <w:rPr>
          <w:sz w:val="20"/>
        </w:rPr>
        <w:t>IČ</w:t>
        <w:tab/>
      </w:r>
      <w:r>
        <w:rPr>
          <w:b/>
          <w:sz w:val="20"/>
        </w:rPr>
        <w:t>01596501</w:t>
      </w:r>
    </w:p>
    <w:p>
      <w:pPr>
        <w:tabs>
          <w:tab w:pos="4241" w:val="left" w:leader="none"/>
        </w:tabs>
        <w:spacing w:line="229" w:lineRule="exact" w:before="0"/>
        <w:ind w:left="2539" w:right="0" w:firstLine="0"/>
        <w:jc w:val="left"/>
        <w:rPr>
          <w:b/>
          <w:sz w:val="20"/>
        </w:rPr>
      </w:pPr>
      <w:r>
        <w:rPr>
          <w:sz w:val="20"/>
        </w:rPr>
        <w:t>Banka:</w:t>
        <w:tab/>
      </w:r>
      <w:r>
        <w:rPr>
          <w:b/>
          <w:sz w:val="20"/>
        </w:rPr>
        <w:t>ČSOB</w:t>
      </w:r>
    </w:p>
    <w:p>
      <w:pPr>
        <w:tabs>
          <w:tab w:pos="4241" w:val="left" w:leader="none"/>
        </w:tabs>
        <w:spacing w:line="229" w:lineRule="exact" w:before="0"/>
        <w:ind w:left="2539" w:right="0" w:firstLine="0"/>
        <w:jc w:val="left"/>
        <w:rPr>
          <w:b/>
          <w:sz w:val="20"/>
        </w:rPr>
      </w:pPr>
      <w:r>
        <w:rPr>
          <w:sz w:val="20"/>
        </w:rPr>
        <w:t>č.</w:t>
      </w:r>
      <w:r>
        <w:rPr>
          <w:spacing w:val="-1"/>
          <w:sz w:val="20"/>
        </w:rPr>
        <w:t> </w:t>
      </w:r>
      <w:r>
        <w:rPr>
          <w:sz w:val="20"/>
        </w:rPr>
        <w:t>účtu:</w:t>
        <w:tab/>
      </w:r>
      <w:r>
        <w:rPr>
          <w:b/>
          <w:sz w:val="20"/>
        </w:rPr>
        <w:t>265165070/0300</w:t>
      </w:r>
    </w:p>
    <w:p>
      <w:pPr>
        <w:pStyle w:val="BodyText"/>
        <w:ind w:left="2539"/>
      </w:pPr>
      <w:r>
        <w:rPr/>
        <w:t>IČ DPH</w:t>
      </w:r>
    </w:p>
    <w:p>
      <w:pPr>
        <w:spacing w:after="0"/>
        <w:sectPr>
          <w:type w:val="continuous"/>
          <w:pgSz w:w="11910" w:h="16840"/>
          <w:pgMar w:top="1320" w:bottom="280" w:left="1260" w:right="1260"/>
          <w:cols w:num="2" w:equalWidth="0">
            <w:col w:w="2266" w:space="456"/>
            <w:col w:w="6668"/>
          </w:cols>
        </w:sectPr>
      </w:pPr>
    </w:p>
    <w:p>
      <w:pPr>
        <w:pStyle w:val="Heading1"/>
        <w:spacing w:line="240" w:lineRule="auto" w:before="91"/>
        <w:ind w:left="156" w:right="19"/>
        <w:jc w:val="left"/>
      </w:pPr>
      <w:r>
        <w:rPr/>
        <w:t>Oblastní nemocnice Trutnov a.s. Maxima Gorkého 77</w:t>
      </w:r>
    </w:p>
    <w:p>
      <w:pPr>
        <w:spacing w:line="237" w:lineRule="auto" w:before="3"/>
        <w:ind w:left="156" w:right="1527" w:firstLine="0"/>
        <w:jc w:val="left"/>
        <w:rPr>
          <w:sz w:val="20"/>
        </w:rPr>
      </w:pPr>
      <w:r>
        <w:rPr>
          <w:b/>
          <w:sz w:val="20"/>
        </w:rPr>
        <w:t>54101 Trutnov </w:t>
      </w:r>
      <w:r>
        <w:rPr>
          <w:sz w:val="20"/>
        </w:rPr>
        <w:t>Tel.firma Datum</w:t>
      </w:r>
      <w:r>
        <w:rPr>
          <w:spacing w:val="-19"/>
          <w:sz w:val="20"/>
        </w:rPr>
        <w:t> </w:t>
      </w:r>
      <w:r>
        <w:rPr>
          <w:sz w:val="20"/>
        </w:rPr>
        <w:t>narození</w:t>
      </w:r>
    </w:p>
    <w:p>
      <w:pPr>
        <w:pStyle w:val="BodyText"/>
        <w:spacing w:before="120"/>
      </w:pPr>
      <w:r>
        <w:rPr/>
        <w:t>dále jen</w:t>
      </w:r>
      <w:r>
        <w:rPr>
          <w:spacing w:val="-6"/>
        </w:rPr>
        <w:t> </w:t>
      </w:r>
      <w:r>
        <w:rPr/>
        <w:t>kupující</w:t>
      </w:r>
    </w:p>
    <w:p>
      <w:pPr>
        <w:tabs>
          <w:tab w:pos="1999" w:val="left" w:leader="none"/>
        </w:tabs>
        <w:spacing w:before="87"/>
        <w:ind w:left="156" w:right="0" w:firstLine="0"/>
        <w:jc w:val="left"/>
        <w:rPr>
          <w:b/>
          <w:sz w:val="20"/>
        </w:rPr>
      </w:pPr>
      <w:r>
        <w:rPr/>
        <w:br w:type="column"/>
      </w:r>
      <w:r>
        <w:rPr>
          <w:sz w:val="20"/>
        </w:rPr>
        <w:t>DIČ</w:t>
        <w:tab/>
      </w:r>
      <w:r>
        <w:rPr>
          <w:b/>
          <w:sz w:val="20"/>
        </w:rPr>
        <w:t>CZ699004900</w:t>
      </w:r>
    </w:p>
    <w:p>
      <w:pPr>
        <w:tabs>
          <w:tab w:pos="2799" w:val="right" w:leader="none"/>
        </w:tabs>
        <w:spacing w:before="0"/>
        <w:ind w:left="156" w:right="0" w:firstLine="0"/>
        <w:jc w:val="left"/>
        <w:rPr>
          <w:b/>
          <w:sz w:val="20"/>
        </w:rPr>
      </w:pPr>
      <w:r>
        <w:rPr>
          <w:sz w:val="20"/>
        </w:rPr>
        <w:t>IČ</w:t>
        <w:tab/>
      </w:r>
      <w:r>
        <w:rPr>
          <w:b/>
          <w:sz w:val="20"/>
        </w:rPr>
        <w:t>26000237</w:t>
      </w:r>
    </w:p>
    <w:p>
      <w:pPr>
        <w:pStyle w:val="BodyText"/>
        <w:ind w:right="3375"/>
      </w:pPr>
      <w:r>
        <w:rPr/>
        <w:t>Jin.Dokl. IČ DPH</w:t>
      </w:r>
    </w:p>
    <w:p>
      <w:pPr>
        <w:spacing w:after="0"/>
        <w:sectPr>
          <w:type w:val="continuous"/>
          <w:pgSz w:w="11910" w:h="16840"/>
          <w:pgMar w:top="1320" w:bottom="280" w:left="1260" w:right="1260"/>
          <w:cols w:num="2" w:equalWidth="0">
            <w:col w:w="2968" w:space="2137"/>
            <w:col w:w="4285"/>
          </w:cols>
        </w:sectPr>
      </w:pPr>
    </w:p>
    <w:p>
      <w:pPr>
        <w:pStyle w:val="Heading1"/>
        <w:spacing w:line="227" w:lineRule="exact" w:before="375"/>
        <w:ind w:left="4459"/>
      </w:pPr>
      <w:r>
        <w:rPr/>
        <w:t>I.</w:t>
      </w:r>
    </w:p>
    <w:p>
      <w:pPr>
        <w:pStyle w:val="BodyText"/>
        <w:spacing w:line="227" w:lineRule="exact" w:after="10"/>
      </w:pPr>
      <w:r>
        <w:rPr/>
        <w:t>Prodávající prodává kupujícímu toto ojeté vozidlo:</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6"/>
        <w:gridCol w:w="2951"/>
        <w:gridCol w:w="2009"/>
        <w:gridCol w:w="2618"/>
      </w:tblGrid>
      <w:tr>
        <w:trPr>
          <w:trHeight w:val="455" w:hRule="atLeast"/>
        </w:trPr>
        <w:tc>
          <w:tcPr>
            <w:tcW w:w="1596" w:type="dxa"/>
          </w:tcPr>
          <w:p>
            <w:pPr>
              <w:pStyle w:val="TableParagraph"/>
              <w:spacing w:line="221" w:lineRule="exact"/>
              <w:rPr>
                <w:sz w:val="20"/>
              </w:rPr>
            </w:pPr>
            <w:r>
              <w:rPr>
                <w:sz w:val="20"/>
              </w:rPr>
              <w:t>Výrobek</w:t>
            </w:r>
          </w:p>
          <w:p>
            <w:pPr>
              <w:pStyle w:val="TableParagraph"/>
              <w:spacing w:line="215" w:lineRule="exact"/>
              <w:rPr>
                <w:sz w:val="20"/>
              </w:rPr>
            </w:pPr>
            <w:r>
              <w:rPr>
                <w:sz w:val="20"/>
              </w:rPr>
              <w:t>Typ vozidla</w:t>
            </w:r>
          </w:p>
        </w:tc>
        <w:tc>
          <w:tcPr>
            <w:tcW w:w="2951" w:type="dxa"/>
          </w:tcPr>
          <w:p>
            <w:pPr>
              <w:pStyle w:val="TableParagraph"/>
              <w:spacing w:line="221" w:lineRule="exact"/>
              <w:ind w:left="155"/>
              <w:rPr>
                <w:b/>
                <w:sz w:val="20"/>
              </w:rPr>
            </w:pPr>
            <w:r>
              <w:rPr>
                <w:b/>
                <w:sz w:val="20"/>
              </w:rPr>
              <w:t>Škoda</w:t>
            </w:r>
          </w:p>
          <w:p>
            <w:pPr>
              <w:pStyle w:val="TableParagraph"/>
              <w:spacing w:line="215" w:lineRule="exact"/>
              <w:ind w:left="155"/>
              <w:rPr>
                <w:b/>
                <w:sz w:val="20"/>
              </w:rPr>
            </w:pPr>
            <w:r>
              <w:rPr>
                <w:b/>
                <w:sz w:val="20"/>
              </w:rPr>
              <w:t>5E54N5</w:t>
            </w:r>
          </w:p>
        </w:tc>
        <w:tc>
          <w:tcPr>
            <w:tcW w:w="2009" w:type="dxa"/>
          </w:tcPr>
          <w:p>
            <w:pPr>
              <w:pStyle w:val="TableParagraph"/>
              <w:spacing w:line="221" w:lineRule="exact"/>
              <w:ind w:left="608"/>
              <w:rPr>
                <w:sz w:val="20"/>
              </w:rPr>
            </w:pPr>
            <w:r>
              <w:rPr>
                <w:sz w:val="20"/>
              </w:rPr>
              <w:t>VIN</w:t>
            </w:r>
          </w:p>
          <w:p>
            <w:pPr>
              <w:pStyle w:val="TableParagraph"/>
              <w:spacing w:line="215" w:lineRule="exact"/>
              <w:ind w:left="608"/>
              <w:rPr>
                <w:sz w:val="20"/>
              </w:rPr>
            </w:pPr>
            <w:r>
              <w:rPr>
                <w:sz w:val="20"/>
              </w:rPr>
              <w:t>Číslo motoru</w:t>
            </w:r>
          </w:p>
        </w:tc>
        <w:tc>
          <w:tcPr>
            <w:tcW w:w="2618" w:type="dxa"/>
          </w:tcPr>
          <w:p>
            <w:pPr>
              <w:pStyle w:val="TableParagraph"/>
              <w:spacing w:line="221" w:lineRule="exact"/>
              <w:ind w:left="301"/>
              <w:rPr>
                <w:b/>
                <w:sz w:val="20"/>
              </w:rPr>
            </w:pPr>
            <w:r>
              <w:rPr>
                <w:b/>
                <w:sz w:val="20"/>
              </w:rPr>
              <w:t>TMBJR7NE0L0162125</w:t>
            </w:r>
          </w:p>
          <w:p>
            <w:pPr>
              <w:pStyle w:val="TableParagraph"/>
              <w:spacing w:line="215" w:lineRule="exact"/>
              <w:ind w:left="301"/>
              <w:rPr>
                <w:b/>
                <w:sz w:val="20"/>
              </w:rPr>
            </w:pPr>
            <w:r>
              <w:rPr>
                <w:b/>
                <w:sz w:val="20"/>
              </w:rPr>
              <w:t>1,5</w:t>
            </w:r>
          </w:p>
        </w:tc>
      </w:tr>
      <w:tr>
        <w:trPr>
          <w:trHeight w:val="232" w:hRule="atLeast"/>
        </w:trPr>
        <w:tc>
          <w:tcPr>
            <w:tcW w:w="1596" w:type="dxa"/>
          </w:tcPr>
          <w:p>
            <w:pPr>
              <w:pStyle w:val="TableParagraph"/>
              <w:ind w:left="0"/>
              <w:rPr>
                <w:sz w:val="16"/>
              </w:rPr>
            </w:pPr>
          </w:p>
        </w:tc>
        <w:tc>
          <w:tcPr>
            <w:tcW w:w="2951" w:type="dxa"/>
          </w:tcPr>
          <w:p>
            <w:pPr>
              <w:pStyle w:val="TableParagraph"/>
              <w:spacing w:line="212" w:lineRule="exact"/>
              <w:ind w:left="155"/>
              <w:rPr>
                <w:b/>
                <w:sz w:val="20"/>
              </w:rPr>
            </w:pPr>
            <w:r>
              <w:rPr>
                <w:b/>
                <w:sz w:val="20"/>
              </w:rPr>
              <w:t>OCTAVIA COM STYLE</w:t>
            </w:r>
          </w:p>
        </w:tc>
        <w:tc>
          <w:tcPr>
            <w:tcW w:w="2009" w:type="dxa"/>
          </w:tcPr>
          <w:p>
            <w:pPr>
              <w:pStyle w:val="TableParagraph"/>
              <w:spacing w:line="213" w:lineRule="exact"/>
              <w:ind w:left="608"/>
              <w:rPr>
                <w:sz w:val="20"/>
              </w:rPr>
            </w:pPr>
            <w:r>
              <w:rPr>
                <w:sz w:val="20"/>
              </w:rPr>
              <w:t>Číslo TP</w:t>
            </w:r>
          </w:p>
        </w:tc>
        <w:tc>
          <w:tcPr>
            <w:tcW w:w="2618" w:type="dxa"/>
          </w:tcPr>
          <w:p>
            <w:pPr>
              <w:pStyle w:val="TableParagraph"/>
              <w:spacing w:line="213" w:lineRule="exact"/>
              <w:ind w:left="301"/>
              <w:rPr>
                <w:b/>
                <w:sz w:val="20"/>
              </w:rPr>
            </w:pPr>
            <w:r>
              <w:rPr>
                <w:b/>
                <w:sz w:val="20"/>
              </w:rPr>
              <w:t>UL 152236</w:t>
            </w:r>
          </w:p>
        </w:tc>
      </w:tr>
      <w:tr>
        <w:trPr>
          <w:trHeight w:val="230" w:hRule="atLeast"/>
        </w:trPr>
        <w:tc>
          <w:tcPr>
            <w:tcW w:w="1596" w:type="dxa"/>
          </w:tcPr>
          <w:p>
            <w:pPr>
              <w:pStyle w:val="TableParagraph"/>
              <w:spacing w:line="210" w:lineRule="exact"/>
              <w:rPr>
                <w:b/>
                <w:sz w:val="20"/>
              </w:rPr>
            </w:pPr>
            <w:r>
              <w:rPr>
                <w:b/>
                <w:sz w:val="20"/>
              </w:rPr>
              <w:t>110/1.5TSI 6MP</w:t>
            </w:r>
          </w:p>
        </w:tc>
        <w:tc>
          <w:tcPr>
            <w:tcW w:w="2951" w:type="dxa"/>
          </w:tcPr>
          <w:p>
            <w:pPr>
              <w:pStyle w:val="TableParagraph"/>
              <w:ind w:left="0"/>
              <w:rPr>
                <w:sz w:val="16"/>
              </w:rPr>
            </w:pPr>
          </w:p>
        </w:tc>
        <w:tc>
          <w:tcPr>
            <w:tcW w:w="2009" w:type="dxa"/>
          </w:tcPr>
          <w:p>
            <w:pPr>
              <w:pStyle w:val="TableParagraph"/>
              <w:spacing w:line="210" w:lineRule="exact"/>
              <w:ind w:left="608"/>
              <w:rPr>
                <w:sz w:val="20"/>
              </w:rPr>
            </w:pPr>
            <w:r>
              <w:rPr>
                <w:sz w:val="20"/>
              </w:rPr>
              <w:t>Kód barvy</w:t>
            </w:r>
          </w:p>
        </w:tc>
        <w:tc>
          <w:tcPr>
            <w:tcW w:w="2618" w:type="dxa"/>
          </w:tcPr>
          <w:p>
            <w:pPr>
              <w:pStyle w:val="TableParagraph"/>
              <w:spacing w:line="210" w:lineRule="exact"/>
              <w:ind w:left="301"/>
              <w:rPr>
                <w:b/>
                <w:sz w:val="20"/>
              </w:rPr>
            </w:pPr>
            <w:r>
              <w:rPr>
                <w:b/>
                <w:sz w:val="20"/>
              </w:rPr>
              <w:t>K4K4HA</w:t>
            </w:r>
          </w:p>
        </w:tc>
      </w:tr>
      <w:tr>
        <w:trPr>
          <w:trHeight w:val="226" w:hRule="atLeast"/>
        </w:trPr>
        <w:tc>
          <w:tcPr>
            <w:tcW w:w="1596" w:type="dxa"/>
          </w:tcPr>
          <w:p>
            <w:pPr>
              <w:pStyle w:val="TableParagraph"/>
              <w:spacing w:line="207" w:lineRule="exact"/>
              <w:rPr>
                <w:sz w:val="20"/>
              </w:rPr>
            </w:pPr>
            <w:r>
              <w:rPr>
                <w:sz w:val="20"/>
              </w:rPr>
              <w:t>Rok výroby</w:t>
            </w:r>
          </w:p>
        </w:tc>
        <w:tc>
          <w:tcPr>
            <w:tcW w:w="2951" w:type="dxa"/>
          </w:tcPr>
          <w:p>
            <w:pPr>
              <w:pStyle w:val="TableParagraph"/>
              <w:spacing w:line="207" w:lineRule="exact"/>
              <w:ind w:left="155"/>
              <w:rPr>
                <w:b/>
                <w:sz w:val="20"/>
              </w:rPr>
            </w:pPr>
            <w:r>
              <w:rPr>
                <w:b/>
                <w:sz w:val="20"/>
              </w:rPr>
              <w:t>2020</w:t>
            </w:r>
          </w:p>
        </w:tc>
        <w:tc>
          <w:tcPr>
            <w:tcW w:w="2009" w:type="dxa"/>
          </w:tcPr>
          <w:p>
            <w:pPr>
              <w:pStyle w:val="TableParagraph"/>
              <w:spacing w:line="207" w:lineRule="exact"/>
              <w:ind w:left="608"/>
              <w:rPr>
                <w:sz w:val="20"/>
              </w:rPr>
            </w:pPr>
            <w:r>
              <w:rPr>
                <w:sz w:val="20"/>
              </w:rPr>
              <w:t>Barva</w:t>
            </w:r>
          </w:p>
        </w:tc>
        <w:tc>
          <w:tcPr>
            <w:tcW w:w="2618" w:type="dxa"/>
          </w:tcPr>
          <w:p>
            <w:pPr>
              <w:pStyle w:val="TableParagraph"/>
              <w:spacing w:line="207" w:lineRule="exact"/>
              <w:ind w:left="301"/>
              <w:rPr>
                <w:b/>
                <w:sz w:val="20"/>
              </w:rPr>
            </w:pPr>
            <w:r>
              <w:rPr>
                <w:b/>
                <w:sz w:val="20"/>
              </w:rPr>
              <w:t>Modrá Energy, Int: Černá</w:t>
            </w:r>
          </w:p>
        </w:tc>
      </w:tr>
      <w:tr>
        <w:trPr>
          <w:trHeight w:val="229" w:hRule="atLeast"/>
        </w:trPr>
        <w:tc>
          <w:tcPr>
            <w:tcW w:w="1596" w:type="dxa"/>
          </w:tcPr>
          <w:p>
            <w:pPr>
              <w:pStyle w:val="TableParagraph"/>
              <w:spacing w:line="209" w:lineRule="exact"/>
              <w:rPr>
                <w:sz w:val="20"/>
              </w:rPr>
            </w:pPr>
            <w:r>
              <w:rPr>
                <w:sz w:val="20"/>
              </w:rPr>
              <w:t>Stav km</w:t>
            </w:r>
          </w:p>
        </w:tc>
        <w:tc>
          <w:tcPr>
            <w:tcW w:w="2951" w:type="dxa"/>
          </w:tcPr>
          <w:p>
            <w:pPr>
              <w:pStyle w:val="TableParagraph"/>
              <w:spacing w:line="209" w:lineRule="exact"/>
              <w:ind w:left="155"/>
              <w:rPr>
                <w:b/>
                <w:sz w:val="20"/>
              </w:rPr>
            </w:pPr>
            <w:r>
              <w:rPr>
                <w:b/>
                <w:sz w:val="20"/>
              </w:rPr>
              <w:t>28040</w:t>
            </w:r>
          </w:p>
        </w:tc>
        <w:tc>
          <w:tcPr>
            <w:tcW w:w="2009" w:type="dxa"/>
          </w:tcPr>
          <w:p>
            <w:pPr>
              <w:pStyle w:val="TableParagraph"/>
              <w:spacing w:line="209" w:lineRule="exact"/>
              <w:ind w:left="608"/>
              <w:rPr>
                <w:sz w:val="20"/>
              </w:rPr>
            </w:pPr>
            <w:r>
              <w:rPr>
                <w:sz w:val="20"/>
              </w:rPr>
              <w:t>Objem/palivo</w:t>
            </w:r>
          </w:p>
        </w:tc>
        <w:tc>
          <w:tcPr>
            <w:tcW w:w="2618" w:type="dxa"/>
          </w:tcPr>
          <w:p>
            <w:pPr>
              <w:pStyle w:val="TableParagraph"/>
              <w:spacing w:line="209" w:lineRule="exact"/>
              <w:ind w:left="301"/>
              <w:rPr>
                <w:b/>
                <w:sz w:val="20"/>
              </w:rPr>
            </w:pPr>
            <w:r>
              <w:rPr>
                <w:b/>
                <w:sz w:val="20"/>
              </w:rPr>
              <w:t>1500/Benzín</w:t>
            </w:r>
          </w:p>
        </w:tc>
      </w:tr>
      <w:tr>
        <w:trPr>
          <w:trHeight w:val="225" w:hRule="atLeast"/>
        </w:trPr>
        <w:tc>
          <w:tcPr>
            <w:tcW w:w="1596" w:type="dxa"/>
          </w:tcPr>
          <w:p>
            <w:pPr>
              <w:pStyle w:val="TableParagraph"/>
              <w:spacing w:line="205" w:lineRule="exact"/>
              <w:rPr>
                <w:sz w:val="20"/>
              </w:rPr>
            </w:pPr>
            <w:r>
              <w:rPr>
                <w:sz w:val="20"/>
              </w:rPr>
              <w:t>SPZ</w:t>
            </w:r>
          </w:p>
        </w:tc>
        <w:tc>
          <w:tcPr>
            <w:tcW w:w="2951" w:type="dxa"/>
          </w:tcPr>
          <w:p>
            <w:pPr>
              <w:pStyle w:val="TableParagraph"/>
              <w:spacing w:line="205" w:lineRule="exact"/>
              <w:ind w:left="155"/>
              <w:rPr>
                <w:b/>
                <w:sz w:val="20"/>
              </w:rPr>
            </w:pPr>
            <w:r>
              <w:rPr>
                <w:b/>
                <w:sz w:val="20"/>
              </w:rPr>
              <w:t>5SE 1550</w:t>
            </w:r>
          </w:p>
        </w:tc>
        <w:tc>
          <w:tcPr>
            <w:tcW w:w="2009" w:type="dxa"/>
          </w:tcPr>
          <w:p>
            <w:pPr>
              <w:pStyle w:val="TableParagraph"/>
              <w:ind w:left="0"/>
              <w:rPr>
                <w:sz w:val="16"/>
              </w:rPr>
            </w:pPr>
          </w:p>
        </w:tc>
        <w:tc>
          <w:tcPr>
            <w:tcW w:w="2618" w:type="dxa"/>
          </w:tcPr>
          <w:p>
            <w:pPr>
              <w:pStyle w:val="TableParagraph"/>
              <w:ind w:left="0"/>
              <w:rPr>
                <w:sz w:val="16"/>
              </w:rPr>
            </w:pPr>
          </w:p>
        </w:tc>
      </w:tr>
    </w:tbl>
    <w:p>
      <w:pPr>
        <w:pStyle w:val="BodyText"/>
        <w:spacing w:before="5"/>
        <w:ind w:left="0"/>
      </w:pPr>
    </w:p>
    <w:p>
      <w:pPr>
        <w:pStyle w:val="Heading1"/>
        <w:spacing w:before="1"/>
        <w:ind w:left="4459"/>
      </w:pPr>
      <w:r>
        <w:rPr/>
        <w:t>II.</w:t>
      </w:r>
    </w:p>
    <w:p>
      <w:pPr>
        <w:pStyle w:val="BodyText"/>
        <w:ind w:right="195"/>
      </w:pPr>
      <w:r>
        <w:rPr/>
        <w:t>Kupující prohlašuje, že byl před uzavřením této smlouvy řádně seznámen se záznamy o technickém stavu výše uvedeného vozidla, seznámil se s obsahem technického průkazu a bylo mu umožněno, aby se osobně přesvědčil o jeho technickém stavu, zejména zkušební jízdou. Současně s tímto stvrzuje převzetí stejnopisu záznamu o prohlídce technického stavu vozidla, který je nedílnou součástí této smlouvy, a prohlašuje, že zjištěný</w:t>
      </w:r>
    </w:p>
    <w:p>
      <w:pPr>
        <w:pStyle w:val="BodyText"/>
        <w:ind w:right="316"/>
      </w:pPr>
      <w:r>
        <w:rPr/>
        <w:t>technický stav a vlastnosti předmětného vozidla jsou v souladu s údaji v záznamu. Prodávající prohlašuje, že je výhradním vlastníkem vozidla a že na vozidle neváznou závazky třetích osob a nemá žádnou právní vadu.</w:t>
      </w:r>
    </w:p>
    <w:p>
      <w:pPr>
        <w:pStyle w:val="BodyText"/>
        <w:spacing w:before="2"/>
        <w:ind w:left="0"/>
        <w:rPr>
          <w:sz w:val="12"/>
        </w:rPr>
      </w:pPr>
    </w:p>
    <w:p>
      <w:pPr>
        <w:pStyle w:val="Heading1"/>
        <w:spacing w:before="91"/>
        <w:ind w:left="4459"/>
      </w:pPr>
      <w:r>
        <w:rPr/>
        <w:t>III.</w:t>
      </w:r>
    </w:p>
    <w:p>
      <w:pPr>
        <w:pStyle w:val="BodyText"/>
        <w:spacing w:line="228" w:lineRule="exact"/>
        <w:rPr>
          <w:b/>
        </w:rPr>
      </w:pPr>
      <w:r>
        <w:rPr/>
        <w:t>Smluvní cena prodávaného vozidla činí: </w:t>
      </w:r>
      <w:r>
        <w:rPr>
          <w:b/>
        </w:rPr>
        <w:t>495000 Kč</w:t>
      </w:r>
    </w:p>
    <w:p>
      <w:pPr>
        <w:pStyle w:val="BodyText"/>
        <w:ind w:right="893"/>
      </w:pPr>
      <w:r>
        <w:rPr/>
        <w:t>s tím, že v případě možnosti odpočtu DPH je tato skutečnost promítnuta v příslušném daňovém dokladu k vozidlu.</w:t>
      </w:r>
    </w:p>
    <w:p>
      <w:pPr>
        <w:pStyle w:val="BodyText"/>
        <w:spacing w:before="6"/>
        <w:ind w:left="0"/>
      </w:pPr>
    </w:p>
    <w:p>
      <w:pPr>
        <w:pStyle w:val="Heading1"/>
        <w:spacing w:line="227" w:lineRule="exact"/>
      </w:pPr>
      <w:r>
        <w:rPr/>
        <w:t>IV.</w:t>
      </w:r>
    </w:p>
    <w:p>
      <w:pPr>
        <w:pStyle w:val="BodyText"/>
        <w:spacing w:line="227" w:lineRule="exact"/>
      </w:pPr>
      <w:r>
        <w:rPr/>
        <w:t>Kupující se zavazuje zaplatit za dodané vozidlo kupní cenu podle článku III. této smlouvy.</w:t>
      </w:r>
    </w:p>
    <w:p>
      <w:pPr>
        <w:pStyle w:val="BodyText"/>
        <w:spacing w:before="1"/>
        <w:ind w:left="0"/>
      </w:pPr>
    </w:p>
    <w:p>
      <w:pPr>
        <w:pStyle w:val="BodyText"/>
        <w:ind w:right="153"/>
        <w:jc w:val="both"/>
      </w:pPr>
      <w:r>
        <w:rPr>
          <w:b/>
        </w:rPr>
        <w:t>Ujednání výhrady vlastnického práva. </w:t>
      </w:r>
      <w:r>
        <w:rPr/>
        <w:t>Pokud kupující neuhradil celou kupní cenu před převzetím vozidla, nabývá kupující vlastnické právo k vozidlu až okamžikem, kdy celou kupní cenu zaplatí. Po dobu výhrady vlastnictví má prodávající právo ponechat si technický průkaz vozidla. Po dobu výhrady vlastnictví je kupující povinen mít uzavřenou pojistnou smlouvu na pojištění odpovědnosti za újmu způsobenou provozem vozidla, tzv. povinné ručení (dále jen „pojistná smlouva“) a je povinen o tom předložit prodávajícímu doklad, a to jak v den uzavření pojistné smlouvy, tak i kdykoli o to prodávající požádá. Při pojištění musí kupující prodávajícímu zajistit, aby mohl v případě potřeby svých práv neomezeně využít. Pokud kupující ani přes písemné upozornění ze strany prodávajícího pojistnou smlouvu neuzavře, případně o tom nepředloží prodávajícímu doklad, může prodávající</w:t>
      </w:r>
    </w:p>
    <w:p>
      <w:pPr>
        <w:pStyle w:val="ListParagraph"/>
        <w:numPr>
          <w:ilvl w:val="0"/>
          <w:numId w:val="1"/>
        </w:numPr>
        <w:tabs>
          <w:tab w:pos="800" w:val="left" w:leader="none"/>
        </w:tabs>
        <w:spacing w:line="240" w:lineRule="auto" w:before="0" w:after="0"/>
        <w:ind w:left="799" w:right="163" w:hanging="360"/>
        <w:jc w:val="both"/>
        <w:rPr>
          <w:sz w:val="20"/>
        </w:rPr>
      </w:pPr>
      <w:r>
        <w:rPr>
          <w:sz w:val="20"/>
        </w:rPr>
        <w:t>pojistnou smlouvu uzavřít na náklady kupujícího sám; náklady na toto pojištění je kupující povinen prodávajícímu uhradit na základě jeho písemné výzvy se splatností do deseti (10)</w:t>
      </w:r>
      <w:r>
        <w:rPr>
          <w:spacing w:val="-8"/>
          <w:sz w:val="20"/>
        </w:rPr>
        <w:t> </w:t>
      </w:r>
      <w:r>
        <w:rPr>
          <w:sz w:val="20"/>
        </w:rPr>
        <w:t>dnů;</w:t>
      </w:r>
    </w:p>
    <w:p>
      <w:pPr>
        <w:pStyle w:val="ListParagraph"/>
        <w:numPr>
          <w:ilvl w:val="0"/>
          <w:numId w:val="1"/>
        </w:numPr>
        <w:tabs>
          <w:tab w:pos="800" w:val="left" w:leader="none"/>
        </w:tabs>
        <w:spacing w:line="240" w:lineRule="auto" w:before="0" w:after="0"/>
        <w:ind w:left="799" w:right="158" w:hanging="360"/>
        <w:jc w:val="both"/>
        <w:rPr>
          <w:sz w:val="20"/>
        </w:rPr>
      </w:pPr>
      <w:r>
        <w:rPr>
          <w:sz w:val="20"/>
        </w:rPr>
        <w:t>požadovat, aby mu kupující předal vozidlo na dobu, než bude pojistná smlouva uzavřena a prodávajícímu o uzavření pojistné smlouvy předložen</w:t>
      </w:r>
      <w:r>
        <w:rPr>
          <w:spacing w:val="-5"/>
          <w:sz w:val="20"/>
        </w:rPr>
        <w:t> </w:t>
      </w:r>
      <w:r>
        <w:rPr>
          <w:sz w:val="20"/>
        </w:rPr>
        <w:t>doklad.</w:t>
      </w:r>
    </w:p>
    <w:p>
      <w:pPr>
        <w:spacing w:after="0" w:line="240" w:lineRule="auto"/>
        <w:jc w:val="both"/>
        <w:rPr>
          <w:sz w:val="20"/>
        </w:rPr>
        <w:sectPr>
          <w:type w:val="continuous"/>
          <w:pgSz w:w="11910" w:h="16840"/>
          <w:pgMar w:top="1320" w:bottom="280" w:left="1260" w:right="1260"/>
        </w:sectPr>
      </w:pPr>
    </w:p>
    <w:p>
      <w:pPr>
        <w:pStyle w:val="BodyText"/>
        <w:spacing w:before="71"/>
        <w:ind w:right="155"/>
        <w:jc w:val="both"/>
      </w:pPr>
      <w:r>
        <w:rPr/>
        <w:t>Kupující je povinen udržovat po dobu trvání výhrady vlastnictví vozidlo v řádném stavu a nechat bez prodlevy provádět veškerou údržbu a opravy předepsané výrobcem buď u prodávajícího, nebo v servise, který prodávající pověřil.</w:t>
      </w:r>
    </w:p>
    <w:p>
      <w:pPr>
        <w:pStyle w:val="BodyText"/>
        <w:spacing w:before="6"/>
        <w:ind w:left="0"/>
      </w:pPr>
    </w:p>
    <w:p>
      <w:pPr>
        <w:pStyle w:val="Heading1"/>
      </w:pPr>
      <w:r>
        <w:rPr/>
        <w:t>V.</w:t>
      </w:r>
    </w:p>
    <w:p>
      <w:pPr>
        <w:pStyle w:val="BodyText"/>
        <w:spacing w:line="237" w:lineRule="auto"/>
      </w:pPr>
      <w:r>
        <w:rPr/>
        <w:t>Kupující potvrzuje podpisem této smlouvy, že vozidlo převzal před podpisem této smlouvy. Převzetím vozidla přechází na kupujícího nebezpečí na věci.</w:t>
      </w:r>
    </w:p>
    <w:p>
      <w:pPr>
        <w:pStyle w:val="BodyText"/>
        <w:spacing w:before="6"/>
        <w:ind w:left="0"/>
      </w:pPr>
    </w:p>
    <w:p>
      <w:pPr>
        <w:pStyle w:val="Heading1"/>
        <w:spacing w:before="1"/>
        <w:ind w:right="4460"/>
      </w:pPr>
      <w:r>
        <w:rPr/>
        <w:t>VI.</w:t>
      </w:r>
    </w:p>
    <w:p>
      <w:pPr>
        <w:pStyle w:val="BodyText"/>
        <w:ind w:right="155"/>
        <w:jc w:val="both"/>
      </w:pPr>
      <w:r>
        <w:rPr/>
        <w:t>Kupující je povinen zajistit v registru silničních vozidel vyznačení změny vlastníka vozidla ( do 10 dnů od data převzetí vozidla a technického průkazu k vozidlu, podle toho, která z uvedených skutečností nastane později) a doložit prodávajícímu kopii technického průkazu s vyznačenou změnou vlastníka (15 dnů od data převzetí vozidla), a to  oboje pokud  se  smluvní  strany  nedohodnou  jinak.  V případě  trvání  výhrady vlastnictví  bude v registru vozidel vyznačena změna nikoli vlastníka, ale provozovatele vozidla, a to ve stejných</w:t>
      </w:r>
      <w:r>
        <w:rPr>
          <w:spacing w:val="-17"/>
        </w:rPr>
        <w:t> </w:t>
      </w:r>
      <w:r>
        <w:rPr/>
        <w:t>lhůtách.</w:t>
      </w:r>
    </w:p>
    <w:p>
      <w:pPr>
        <w:pStyle w:val="BodyText"/>
        <w:ind w:right="161"/>
        <w:jc w:val="both"/>
      </w:pPr>
      <w:r>
        <w:rPr/>
        <w:t>Pro případ porušení kterékoli z uvedených povinností kupujícím je kupující povinen zaplatit prodávajícímu smluvní pokutu ve výši 10.000,-Kč za každé porušení; ujednání o smluvní pokutě se nedotýká nároku na náhradu škody.</w:t>
      </w:r>
    </w:p>
    <w:p>
      <w:pPr>
        <w:pStyle w:val="BodyText"/>
        <w:spacing w:before="2"/>
        <w:ind w:left="0"/>
      </w:pPr>
    </w:p>
    <w:p>
      <w:pPr>
        <w:pStyle w:val="Heading1"/>
      </w:pPr>
      <w:r>
        <w:rPr/>
        <w:t>VII.</w:t>
      </w:r>
    </w:p>
    <w:p>
      <w:pPr>
        <w:pStyle w:val="BodyText"/>
        <w:spacing w:line="228" w:lineRule="exact"/>
      </w:pPr>
      <w:r>
        <w:rPr/>
        <w:t>Kupující současně s vozidlem uvedeným v čl.I. přebírá tyto doklady:</w:t>
      </w:r>
    </w:p>
    <w:p>
      <w:pPr>
        <w:pStyle w:val="ListParagraph"/>
        <w:numPr>
          <w:ilvl w:val="0"/>
          <w:numId w:val="2"/>
        </w:numPr>
        <w:tabs>
          <w:tab w:pos="516" w:val="left" w:leader="none"/>
          <w:tab w:pos="517" w:val="left" w:leader="none"/>
        </w:tabs>
        <w:spacing w:line="240" w:lineRule="auto" w:before="0" w:after="0"/>
        <w:ind w:left="516" w:right="0" w:hanging="361"/>
        <w:jc w:val="left"/>
        <w:rPr>
          <w:sz w:val="20"/>
        </w:rPr>
      </w:pPr>
      <w:r>
        <w:rPr>
          <w:sz w:val="20"/>
        </w:rPr>
        <w:t>technický průkaz k vozidlu</w:t>
      </w:r>
      <w:r>
        <w:rPr>
          <w:spacing w:val="-2"/>
          <w:sz w:val="20"/>
        </w:rPr>
        <w:t> </w:t>
      </w:r>
      <w:r>
        <w:rPr>
          <w:sz w:val="20"/>
        </w:rPr>
        <w:t>(TP),</w:t>
      </w:r>
    </w:p>
    <w:p>
      <w:pPr>
        <w:pStyle w:val="ListParagraph"/>
        <w:numPr>
          <w:ilvl w:val="0"/>
          <w:numId w:val="2"/>
        </w:numPr>
        <w:tabs>
          <w:tab w:pos="516" w:val="left" w:leader="none"/>
          <w:tab w:pos="517" w:val="left" w:leader="none"/>
        </w:tabs>
        <w:spacing w:line="240" w:lineRule="auto" w:before="1" w:after="0"/>
        <w:ind w:left="516" w:right="0" w:hanging="361"/>
        <w:jc w:val="left"/>
        <w:rPr>
          <w:sz w:val="20"/>
        </w:rPr>
      </w:pPr>
      <w:r>
        <w:rPr>
          <w:sz w:val="20"/>
        </w:rPr>
        <w:t>osvědčení o registraci vozidla</w:t>
      </w:r>
      <w:r>
        <w:rPr>
          <w:spacing w:val="1"/>
          <w:sz w:val="20"/>
        </w:rPr>
        <w:t> </w:t>
      </w:r>
      <w:r>
        <w:rPr>
          <w:sz w:val="20"/>
        </w:rPr>
        <w:t>(ORV),</w:t>
      </w:r>
    </w:p>
    <w:p>
      <w:pPr>
        <w:pStyle w:val="BodyText"/>
        <w:tabs>
          <w:tab w:pos="5802" w:val="left" w:leader="dot"/>
        </w:tabs>
        <w:spacing w:line="229" w:lineRule="exact"/>
      </w:pPr>
      <w:r>
        <w:rPr/>
        <w:t>(pro případ nepředání TP a OoTP bude předáno ve</w:t>
      </w:r>
      <w:r>
        <w:rPr>
          <w:spacing w:val="-19"/>
        </w:rPr>
        <w:t> </w:t>
      </w:r>
      <w:r>
        <w:rPr/>
        <w:t>lhůtě</w:t>
      </w:r>
      <w:r>
        <w:rPr>
          <w:spacing w:val="-2"/>
        </w:rPr>
        <w:t> </w:t>
      </w:r>
      <w:r>
        <w:rPr/>
        <w:t>do</w:t>
        <w:tab/>
        <w:t>dnů od podpisu této</w:t>
      </w:r>
      <w:r>
        <w:rPr>
          <w:spacing w:val="1"/>
        </w:rPr>
        <w:t> </w:t>
      </w:r>
      <w:r>
        <w:rPr/>
        <w:t>smlouvy)</w:t>
      </w:r>
    </w:p>
    <w:p>
      <w:pPr>
        <w:pStyle w:val="ListParagraph"/>
        <w:numPr>
          <w:ilvl w:val="0"/>
          <w:numId w:val="2"/>
        </w:numPr>
        <w:tabs>
          <w:tab w:pos="523" w:val="left" w:leader="none"/>
          <w:tab w:pos="524" w:val="left" w:leader="none"/>
        </w:tabs>
        <w:spacing w:line="229" w:lineRule="exact" w:before="0" w:after="0"/>
        <w:ind w:left="523" w:right="0" w:hanging="368"/>
        <w:jc w:val="left"/>
        <w:rPr>
          <w:sz w:val="20"/>
        </w:rPr>
      </w:pPr>
      <w:r>
        <w:rPr>
          <w:sz w:val="20"/>
        </w:rPr>
        <w:t>originální klíče od vozidla v počtu </w:t>
      </w:r>
      <w:r>
        <w:rPr>
          <w:b/>
          <w:sz w:val="20"/>
        </w:rPr>
        <w:t>2</w:t>
      </w:r>
      <w:r>
        <w:rPr>
          <w:b/>
          <w:spacing w:val="1"/>
          <w:sz w:val="20"/>
        </w:rPr>
        <w:t> </w:t>
      </w:r>
      <w:r>
        <w:rPr>
          <w:sz w:val="20"/>
        </w:rPr>
        <w:t>ks.</w:t>
      </w:r>
    </w:p>
    <w:p>
      <w:pPr>
        <w:pStyle w:val="ListParagraph"/>
        <w:numPr>
          <w:ilvl w:val="0"/>
          <w:numId w:val="2"/>
        </w:numPr>
        <w:tabs>
          <w:tab w:pos="523" w:val="left" w:leader="none"/>
          <w:tab w:pos="524" w:val="left" w:leader="none"/>
        </w:tabs>
        <w:spacing w:line="240" w:lineRule="auto" w:before="0" w:after="0"/>
        <w:ind w:left="523" w:right="0" w:hanging="368"/>
        <w:jc w:val="left"/>
        <w:rPr>
          <w:sz w:val="20"/>
        </w:rPr>
      </w:pPr>
      <w:r>
        <w:rPr>
          <w:sz w:val="20"/>
        </w:rPr>
        <w:t>ovladač nezávislého topení v případě, že je vozidlo nezávislým topením</w:t>
      </w:r>
      <w:r>
        <w:rPr>
          <w:spacing w:val="-9"/>
          <w:sz w:val="20"/>
        </w:rPr>
        <w:t> </w:t>
      </w:r>
      <w:r>
        <w:rPr>
          <w:sz w:val="20"/>
        </w:rPr>
        <w:t>vybaveno</w:t>
      </w:r>
    </w:p>
    <w:p>
      <w:pPr>
        <w:pStyle w:val="ListParagraph"/>
        <w:numPr>
          <w:ilvl w:val="0"/>
          <w:numId w:val="2"/>
        </w:numPr>
        <w:tabs>
          <w:tab w:pos="516" w:val="left" w:leader="none"/>
          <w:tab w:pos="517" w:val="left" w:leader="none"/>
        </w:tabs>
        <w:spacing w:line="240" w:lineRule="auto" w:before="1" w:after="0"/>
        <w:ind w:left="516" w:right="0" w:hanging="361"/>
        <w:jc w:val="left"/>
        <w:rPr>
          <w:sz w:val="20"/>
        </w:rPr>
      </w:pPr>
      <w:r>
        <w:rPr>
          <w:sz w:val="20"/>
        </w:rPr>
        <w:t>palubní literaturu vč. elektronické servisní knížky / servisní knížky</w:t>
      </w:r>
      <w:r>
        <w:rPr>
          <w:spacing w:val="3"/>
          <w:sz w:val="20"/>
        </w:rPr>
        <w:t> </w:t>
      </w:r>
      <w:r>
        <w:rPr>
          <w:sz w:val="20"/>
          <w:vertAlign w:val="superscript"/>
        </w:rPr>
        <w:t>1</w:t>
      </w:r>
    </w:p>
    <w:p>
      <w:pPr>
        <w:pStyle w:val="ListParagraph"/>
        <w:numPr>
          <w:ilvl w:val="0"/>
          <w:numId w:val="2"/>
        </w:numPr>
        <w:tabs>
          <w:tab w:pos="516" w:val="left" w:leader="none"/>
          <w:tab w:pos="517" w:val="left" w:leader="none"/>
        </w:tabs>
        <w:spacing w:line="240" w:lineRule="auto" w:before="0" w:after="0"/>
        <w:ind w:left="516" w:right="0" w:hanging="361"/>
        <w:jc w:val="left"/>
        <w:rPr>
          <w:sz w:val="20"/>
        </w:rPr>
      </w:pPr>
      <w:r>
        <w:rPr>
          <w:sz w:val="20"/>
        </w:rPr>
        <w:t>originál plné moci k provedení změny v registru silničních</w:t>
      </w:r>
      <w:r>
        <w:rPr>
          <w:spacing w:val="1"/>
          <w:sz w:val="20"/>
        </w:rPr>
        <w:t> </w:t>
      </w:r>
      <w:r>
        <w:rPr>
          <w:sz w:val="20"/>
        </w:rPr>
        <w:t>vozidel.</w:t>
      </w:r>
    </w:p>
    <w:p>
      <w:pPr>
        <w:pStyle w:val="BodyText"/>
        <w:spacing w:before="6"/>
        <w:ind w:left="0"/>
      </w:pPr>
    </w:p>
    <w:p>
      <w:pPr>
        <w:pStyle w:val="Heading1"/>
        <w:spacing w:line="227" w:lineRule="exact"/>
      </w:pPr>
      <w:r>
        <w:rPr/>
        <w:t>VIII.</w:t>
      </w:r>
    </w:p>
    <w:p>
      <w:pPr>
        <w:pStyle w:val="BodyText"/>
        <w:ind w:right="160"/>
        <w:jc w:val="both"/>
      </w:pPr>
      <w:r>
        <w:rPr/>
        <w:t>Není-li ve smlouvě stanoveno jinak, řídí se práva a povinnosti smluvních stran příslušným ustanovením občanského zákoníku (OZ). Práva z vadného plnění se řídí ustanoveními § 2165 a násl. OZ. Pokud je kupující    v postavení spotřebitele, sjednaly smluvní strany zkrácení doby pro uplatnění práv z vadného plnění na polovinu zákonné doby (12</w:t>
      </w:r>
      <w:r>
        <w:rPr>
          <w:spacing w:val="-2"/>
        </w:rPr>
        <w:t> </w:t>
      </w:r>
      <w:r>
        <w:rPr/>
        <w:t>měsíců).</w:t>
      </w:r>
    </w:p>
    <w:p>
      <w:pPr>
        <w:pStyle w:val="BodyText"/>
        <w:spacing w:before="8"/>
        <w:ind w:left="0"/>
        <w:rPr>
          <w:sz w:val="19"/>
        </w:rPr>
      </w:pPr>
    </w:p>
    <w:p>
      <w:pPr>
        <w:pStyle w:val="BodyText"/>
        <w:ind w:right="195"/>
      </w:pPr>
      <w:r>
        <w:rPr/>
        <w:t>Kupující prohlašuje, že byl v dostatečném předstihu před uzavřením této smlouvy prodávajícím jasně, srozumitelně a v jazyce shodném s jazykem smlouvy informován o:</w:t>
      </w:r>
    </w:p>
    <w:p>
      <w:pPr>
        <w:pStyle w:val="ListParagraph"/>
        <w:numPr>
          <w:ilvl w:val="0"/>
          <w:numId w:val="3"/>
        </w:numPr>
        <w:tabs>
          <w:tab w:pos="363" w:val="left" w:leader="none"/>
        </w:tabs>
        <w:spacing w:line="240" w:lineRule="auto" w:before="1" w:after="0"/>
        <w:ind w:left="362" w:right="0" w:hanging="207"/>
        <w:jc w:val="left"/>
        <w:rPr>
          <w:sz w:val="20"/>
        </w:rPr>
      </w:pPr>
      <w:r>
        <w:rPr>
          <w:sz w:val="20"/>
        </w:rPr>
        <w:t>jeho totožnosti, telefonních číslech a adrese pro doručování elektronické</w:t>
      </w:r>
      <w:r>
        <w:rPr>
          <w:spacing w:val="-4"/>
          <w:sz w:val="20"/>
        </w:rPr>
        <w:t> </w:t>
      </w:r>
      <w:r>
        <w:rPr>
          <w:sz w:val="20"/>
        </w:rPr>
        <w:t>pošty,</w:t>
      </w:r>
    </w:p>
    <w:p>
      <w:pPr>
        <w:pStyle w:val="ListParagraph"/>
        <w:numPr>
          <w:ilvl w:val="0"/>
          <w:numId w:val="3"/>
        </w:numPr>
        <w:tabs>
          <w:tab w:pos="375" w:val="left" w:leader="none"/>
        </w:tabs>
        <w:spacing w:line="240" w:lineRule="auto" w:before="0" w:after="0"/>
        <w:ind w:left="374" w:right="0" w:hanging="219"/>
        <w:jc w:val="left"/>
        <w:rPr>
          <w:sz w:val="20"/>
        </w:rPr>
      </w:pPr>
      <w:r>
        <w:rPr>
          <w:sz w:val="20"/>
        </w:rPr>
        <w:t>označení vozidla, výbavy, doplňků a popis jejich hlavních</w:t>
      </w:r>
      <w:r>
        <w:rPr>
          <w:spacing w:val="-5"/>
          <w:sz w:val="20"/>
        </w:rPr>
        <w:t> </w:t>
      </w:r>
      <w:r>
        <w:rPr>
          <w:sz w:val="20"/>
        </w:rPr>
        <w:t>vlastností,</w:t>
      </w:r>
    </w:p>
    <w:p>
      <w:pPr>
        <w:pStyle w:val="ListParagraph"/>
        <w:numPr>
          <w:ilvl w:val="0"/>
          <w:numId w:val="3"/>
        </w:numPr>
        <w:tabs>
          <w:tab w:pos="363" w:val="left" w:leader="none"/>
        </w:tabs>
        <w:spacing w:line="240" w:lineRule="auto" w:before="1" w:after="0"/>
        <w:ind w:left="362" w:right="0" w:hanging="207"/>
        <w:jc w:val="left"/>
        <w:rPr>
          <w:sz w:val="20"/>
        </w:rPr>
      </w:pPr>
      <w:r>
        <w:rPr>
          <w:sz w:val="20"/>
        </w:rPr>
        <w:t>ceně vozidla, výbavy a doplňků včetně všech daní a</w:t>
      </w:r>
      <w:r>
        <w:rPr>
          <w:spacing w:val="-5"/>
          <w:sz w:val="20"/>
        </w:rPr>
        <w:t> </w:t>
      </w:r>
      <w:r>
        <w:rPr>
          <w:sz w:val="20"/>
        </w:rPr>
        <w:t>poplatků,</w:t>
      </w:r>
    </w:p>
    <w:p>
      <w:pPr>
        <w:pStyle w:val="ListParagraph"/>
        <w:numPr>
          <w:ilvl w:val="0"/>
          <w:numId w:val="3"/>
        </w:numPr>
        <w:tabs>
          <w:tab w:pos="375" w:val="left" w:leader="none"/>
        </w:tabs>
        <w:spacing w:line="229" w:lineRule="exact" w:before="0" w:after="0"/>
        <w:ind w:left="374" w:right="0" w:hanging="219"/>
        <w:jc w:val="left"/>
        <w:rPr>
          <w:sz w:val="20"/>
        </w:rPr>
      </w:pPr>
      <w:r>
        <w:rPr>
          <w:sz w:val="20"/>
        </w:rPr>
        <w:t>způsobu platby a způsobu</w:t>
      </w:r>
      <w:r>
        <w:rPr>
          <w:spacing w:val="-6"/>
          <w:sz w:val="20"/>
        </w:rPr>
        <w:t> </w:t>
      </w:r>
      <w:r>
        <w:rPr>
          <w:sz w:val="20"/>
        </w:rPr>
        <w:t>dodání,</w:t>
      </w:r>
    </w:p>
    <w:p>
      <w:pPr>
        <w:pStyle w:val="ListParagraph"/>
        <w:numPr>
          <w:ilvl w:val="0"/>
          <w:numId w:val="3"/>
        </w:numPr>
        <w:tabs>
          <w:tab w:pos="363" w:val="left" w:leader="none"/>
        </w:tabs>
        <w:spacing w:line="229" w:lineRule="exact" w:before="0" w:after="0"/>
        <w:ind w:left="362" w:right="0" w:hanging="207"/>
        <w:jc w:val="left"/>
        <w:rPr>
          <w:sz w:val="20"/>
        </w:rPr>
      </w:pPr>
      <w:r>
        <w:rPr>
          <w:sz w:val="20"/>
        </w:rPr>
        <w:t>nákladech</w:t>
      </w:r>
      <w:r>
        <w:rPr>
          <w:spacing w:val="-2"/>
          <w:sz w:val="20"/>
        </w:rPr>
        <w:t> </w:t>
      </w:r>
      <w:r>
        <w:rPr>
          <w:sz w:val="20"/>
        </w:rPr>
        <w:t>dodání,</w:t>
      </w:r>
    </w:p>
    <w:p>
      <w:pPr>
        <w:pStyle w:val="ListParagraph"/>
        <w:numPr>
          <w:ilvl w:val="0"/>
          <w:numId w:val="3"/>
        </w:numPr>
        <w:tabs>
          <w:tab w:pos="375" w:val="left" w:leader="none"/>
        </w:tabs>
        <w:spacing w:line="240" w:lineRule="auto" w:before="1" w:after="0"/>
        <w:ind w:left="156" w:right="165" w:firstLine="0"/>
        <w:jc w:val="left"/>
        <w:rPr>
          <w:sz w:val="20"/>
        </w:rPr>
      </w:pPr>
      <w:r>
        <w:rPr>
          <w:sz w:val="20"/>
        </w:rPr>
        <w:t>údajích o právech vznikajících z vadného plnění, jakož i o právech ze záruky a dalších podmínkách pro uplatňování těchto</w:t>
      </w:r>
      <w:r>
        <w:rPr>
          <w:spacing w:val="-1"/>
          <w:sz w:val="20"/>
        </w:rPr>
        <w:t> </w:t>
      </w:r>
      <w:r>
        <w:rPr>
          <w:sz w:val="20"/>
        </w:rPr>
        <w:t>práv,</w:t>
      </w:r>
    </w:p>
    <w:p>
      <w:pPr>
        <w:pStyle w:val="ListParagraph"/>
        <w:numPr>
          <w:ilvl w:val="0"/>
          <w:numId w:val="4"/>
        </w:numPr>
        <w:tabs>
          <w:tab w:pos="373" w:val="left" w:leader="none"/>
        </w:tabs>
        <w:spacing w:line="240" w:lineRule="auto" w:before="0" w:after="0"/>
        <w:ind w:left="372" w:right="0" w:hanging="217"/>
        <w:jc w:val="left"/>
        <w:rPr>
          <w:sz w:val="20"/>
        </w:rPr>
      </w:pPr>
      <w:r>
        <w:rPr>
          <w:sz w:val="20"/>
        </w:rPr>
        <w:t>údajích o funkčnosti digitálního obsahu, včetně technických ochranných</w:t>
      </w:r>
      <w:r>
        <w:rPr>
          <w:spacing w:val="-5"/>
          <w:sz w:val="20"/>
        </w:rPr>
        <w:t> </w:t>
      </w:r>
      <w:r>
        <w:rPr>
          <w:sz w:val="20"/>
        </w:rPr>
        <w:t>opatření.</w:t>
      </w:r>
    </w:p>
    <w:p>
      <w:pPr>
        <w:pStyle w:val="ListParagraph"/>
        <w:numPr>
          <w:ilvl w:val="0"/>
          <w:numId w:val="4"/>
        </w:numPr>
        <w:tabs>
          <w:tab w:pos="329" w:val="left" w:leader="none"/>
        </w:tabs>
        <w:spacing w:line="240" w:lineRule="auto" w:before="1" w:after="0"/>
        <w:ind w:left="328" w:right="0" w:hanging="173"/>
        <w:jc w:val="left"/>
        <w:rPr>
          <w:sz w:val="20"/>
        </w:rPr>
      </w:pPr>
      <w:r>
        <w:rPr>
          <w:sz w:val="20"/>
        </w:rPr>
        <w:t>údajích o součinnosti digitálního obsahu s hardwarem a softwarem, které jsou prodávajícímu</w:t>
      </w:r>
      <w:r>
        <w:rPr>
          <w:spacing w:val="-15"/>
          <w:sz w:val="20"/>
        </w:rPr>
        <w:t> </w:t>
      </w:r>
      <w:r>
        <w:rPr>
          <w:sz w:val="20"/>
        </w:rPr>
        <w:t>známy.</w:t>
      </w:r>
    </w:p>
    <w:p>
      <w:pPr>
        <w:pStyle w:val="BodyText"/>
      </w:pPr>
      <w:r>
        <w:rPr/>
        <w:t>Obsah takto sdělených informací byl v souladu s údaji uvedenými v této smlouvě, což kupující stvrzuje svým podpisem této smlouvy.</w:t>
      </w:r>
    </w:p>
    <w:p>
      <w:pPr>
        <w:pStyle w:val="BodyText"/>
        <w:spacing w:before="4"/>
        <w:ind w:left="0"/>
      </w:pPr>
    </w:p>
    <w:p>
      <w:pPr>
        <w:pStyle w:val="Heading1"/>
      </w:pPr>
      <w:r>
        <w:rPr/>
        <w:t>IX.</w:t>
      </w:r>
    </w:p>
    <w:p>
      <w:pPr>
        <w:pStyle w:val="BodyText"/>
        <w:spacing w:line="482" w:lineRule="auto"/>
        <w:ind w:right="1399"/>
      </w:pPr>
      <w:r>
        <w:rPr/>
        <w:t>Tato smlouva je vyhotovena ve dvou originálech z nichž jeden obdrží prodávající, jeden kupující. Jičín, Dne: 19 05.2021 15:04:19</w:t>
      </w:r>
    </w:p>
    <w:p>
      <w:pPr>
        <w:pStyle w:val="BodyText"/>
        <w:tabs>
          <w:tab w:pos="6529" w:val="left" w:leader="none"/>
        </w:tabs>
        <w:spacing w:line="225" w:lineRule="exact"/>
      </w:pPr>
      <w:r>
        <w:rPr/>
        <w:t>Kupující:</w:t>
        <w:tab/>
        <w:t>Prodávající:</w:t>
      </w:r>
    </w:p>
    <w:p>
      <w:pPr>
        <w:pStyle w:val="BodyText"/>
        <w:ind w:left="0"/>
      </w:pPr>
    </w:p>
    <w:p>
      <w:pPr>
        <w:pStyle w:val="BodyText"/>
        <w:ind w:left="0"/>
      </w:pPr>
    </w:p>
    <w:p>
      <w:pPr>
        <w:pStyle w:val="BodyText"/>
        <w:ind w:left="0"/>
      </w:pPr>
    </w:p>
    <w:p>
      <w:pPr>
        <w:pStyle w:val="BodyText"/>
        <w:ind w:left="0"/>
      </w:pPr>
    </w:p>
    <w:p>
      <w:pPr>
        <w:pStyle w:val="BodyText"/>
        <w:spacing w:before="2"/>
        <w:ind w:left="0"/>
        <w:rPr>
          <w:sz w:val="26"/>
        </w:rPr>
      </w:pPr>
      <w:r>
        <w:rPr/>
        <w:pict>
          <v:shape style="position:absolute;margin-left:70.823997pt;margin-top:17.25873pt;width:144.050pt;height:.1pt;mso-position-horizontal-relative:page;mso-position-vertical-relative:paragraph;z-index:-251658240;mso-wrap-distance-left:0;mso-wrap-distance-right:0" coordorigin="1416,345" coordsize="2881,0" path="m1416,345l4297,345e" filled="false" stroked="true" strokeweight=".48pt" strokecolor="#000000">
            <v:path arrowok="t"/>
            <v:stroke dashstyle="solid"/>
            <w10:wrap type="topAndBottom"/>
          </v:shape>
        </w:pict>
      </w:r>
    </w:p>
    <w:p>
      <w:pPr>
        <w:spacing w:before="30"/>
        <w:ind w:left="156" w:right="0" w:firstLine="0"/>
        <w:jc w:val="left"/>
        <w:rPr>
          <w:sz w:val="16"/>
        </w:rPr>
      </w:pPr>
      <w:r>
        <w:rPr>
          <w:position w:val="9"/>
          <w:sz w:val="13"/>
        </w:rPr>
        <w:t>1 </w:t>
      </w:r>
      <w:r>
        <w:rPr>
          <w:sz w:val="16"/>
        </w:rPr>
        <w:t>Nehodící se škrtněte</w:t>
      </w:r>
    </w:p>
    <w:p>
      <w:pPr>
        <w:spacing w:after="0"/>
        <w:jc w:val="left"/>
        <w:rPr>
          <w:sz w:val="16"/>
        </w:rPr>
        <w:sectPr>
          <w:pgSz w:w="11910" w:h="16840"/>
          <w:pgMar w:top="1320" w:bottom="280" w:left="1260" w:right="1260"/>
        </w:sectPr>
      </w:pPr>
    </w:p>
    <w:p>
      <w:pPr>
        <w:pStyle w:val="BodyText"/>
        <w:spacing w:before="4"/>
        <w:ind w:left="0"/>
        <w:rPr>
          <w:sz w:val="17"/>
        </w:rPr>
      </w:pPr>
    </w:p>
    <w:sectPr>
      <w:pgSz w:w="11910" w:h="16840"/>
      <w:pgMar w:top="1580" w:bottom="28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8"/>
      <w:numFmt w:val="lowerLetter"/>
      <w:lvlText w:val="%1)"/>
      <w:lvlJc w:val="left"/>
      <w:pPr>
        <w:ind w:left="372" w:hanging="216"/>
        <w:jc w:val="left"/>
      </w:pPr>
      <w:rPr>
        <w:rFonts w:hint="default" w:ascii="Times New Roman" w:hAnsi="Times New Roman" w:eastAsia="Times New Roman" w:cs="Times New Roman"/>
        <w:spacing w:val="-2"/>
        <w:w w:val="99"/>
        <w:sz w:val="20"/>
        <w:szCs w:val="20"/>
        <w:lang w:val="cs-CZ" w:eastAsia="cs-CZ" w:bidi="cs-CZ"/>
      </w:rPr>
    </w:lvl>
    <w:lvl w:ilvl="1">
      <w:start w:val="0"/>
      <w:numFmt w:val="bullet"/>
      <w:lvlText w:val="•"/>
      <w:lvlJc w:val="left"/>
      <w:pPr>
        <w:ind w:left="1280" w:hanging="216"/>
      </w:pPr>
      <w:rPr>
        <w:rFonts w:hint="default"/>
        <w:lang w:val="cs-CZ" w:eastAsia="cs-CZ" w:bidi="cs-CZ"/>
      </w:rPr>
    </w:lvl>
    <w:lvl w:ilvl="2">
      <w:start w:val="0"/>
      <w:numFmt w:val="bullet"/>
      <w:lvlText w:val="•"/>
      <w:lvlJc w:val="left"/>
      <w:pPr>
        <w:ind w:left="2181" w:hanging="216"/>
      </w:pPr>
      <w:rPr>
        <w:rFonts w:hint="default"/>
        <w:lang w:val="cs-CZ" w:eastAsia="cs-CZ" w:bidi="cs-CZ"/>
      </w:rPr>
    </w:lvl>
    <w:lvl w:ilvl="3">
      <w:start w:val="0"/>
      <w:numFmt w:val="bullet"/>
      <w:lvlText w:val="•"/>
      <w:lvlJc w:val="left"/>
      <w:pPr>
        <w:ind w:left="3081" w:hanging="216"/>
      </w:pPr>
      <w:rPr>
        <w:rFonts w:hint="default"/>
        <w:lang w:val="cs-CZ" w:eastAsia="cs-CZ" w:bidi="cs-CZ"/>
      </w:rPr>
    </w:lvl>
    <w:lvl w:ilvl="4">
      <w:start w:val="0"/>
      <w:numFmt w:val="bullet"/>
      <w:lvlText w:val="•"/>
      <w:lvlJc w:val="left"/>
      <w:pPr>
        <w:ind w:left="3982" w:hanging="216"/>
      </w:pPr>
      <w:rPr>
        <w:rFonts w:hint="default"/>
        <w:lang w:val="cs-CZ" w:eastAsia="cs-CZ" w:bidi="cs-CZ"/>
      </w:rPr>
    </w:lvl>
    <w:lvl w:ilvl="5">
      <w:start w:val="0"/>
      <w:numFmt w:val="bullet"/>
      <w:lvlText w:val="•"/>
      <w:lvlJc w:val="left"/>
      <w:pPr>
        <w:ind w:left="4883" w:hanging="216"/>
      </w:pPr>
      <w:rPr>
        <w:rFonts w:hint="default"/>
        <w:lang w:val="cs-CZ" w:eastAsia="cs-CZ" w:bidi="cs-CZ"/>
      </w:rPr>
    </w:lvl>
    <w:lvl w:ilvl="6">
      <w:start w:val="0"/>
      <w:numFmt w:val="bullet"/>
      <w:lvlText w:val="•"/>
      <w:lvlJc w:val="left"/>
      <w:pPr>
        <w:ind w:left="5783" w:hanging="216"/>
      </w:pPr>
      <w:rPr>
        <w:rFonts w:hint="default"/>
        <w:lang w:val="cs-CZ" w:eastAsia="cs-CZ" w:bidi="cs-CZ"/>
      </w:rPr>
    </w:lvl>
    <w:lvl w:ilvl="7">
      <w:start w:val="0"/>
      <w:numFmt w:val="bullet"/>
      <w:lvlText w:val="•"/>
      <w:lvlJc w:val="left"/>
      <w:pPr>
        <w:ind w:left="6684" w:hanging="216"/>
      </w:pPr>
      <w:rPr>
        <w:rFonts w:hint="default"/>
        <w:lang w:val="cs-CZ" w:eastAsia="cs-CZ" w:bidi="cs-CZ"/>
      </w:rPr>
    </w:lvl>
    <w:lvl w:ilvl="8">
      <w:start w:val="0"/>
      <w:numFmt w:val="bullet"/>
      <w:lvlText w:val="•"/>
      <w:lvlJc w:val="left"/>
      <w:pPr>
        <w:ind w:left="7585" w:hanging="216"/>
      </w:pPr>
      <w:rPr>
        <w:rFonts w:hint="default"/>
        <w:lang w:val="cs-CZ" w:eastAsia="cs-CZ" w:bidi="cs-CZ"/>
      </w:rPr>
    </w:lvl>
  </w:abstractNum>
  <w:abstractNum w:abstractNumId="2">
    <w:multiLevelType w:val="hybridMultilevel"/>
    <w:lvl w:ilvl="0">
      <w:start w:val="1"/>
      <w:numFmt w:val="lowerLetter"/>
      <w:lvlText w:val="%1)"/>
      <w:lvlJc w:val="left"/>
      <w:pPr>
        <w:ind w:left="362" w:hanging="206"/>
        <w:jc w:val="left"/>
      </w:pPr>
      <w:rPr>
        <w:rFonts w:hint="default" w:ascii="Times New Roman" w:hAnsi="Times New Roman" w:eastAsia="Times New Roman" w:cs="Times New Roman"/>
        <w:w w:val="99"/>
        <w:sz w:val="20"/>
        <w:szCs w:val="20"/>
        <w:lang w:val="cs-CZ" w:eastAsia="cs-CZ" w:bidi="cs-CZ"/>
      </w:rPr>
    </w:lvl>
    <w:lvl w:ilvl="1">
      <w:start w:val="0"/>
      <w:numFmt w:val="bullet"/>
      <w:lvlText w:val="•"/>
      <w:lvlJc w:val="left"/>
      <w:pPr>
        <w:ind w:left="1262" w:hanging="206"/>
      </w:pPr>
      <w:rPr>
        <w:rFonts w:hint="default"/>
        <w:lang w:val="cs-CZ" w:eastAsia="cs-CZ" w:bidi="cs-CZ"/>
      </w:rPr>
    </w:lvl>
    <w:lvl w:ilvl="2">
      <w:start w:val="0"/>
      <w:numFmt w:val="bullet"/>
      <w:lvlText w:val="•"/>
      <w:lvlJc w:val="left"/>
      <w:pPr>
        <w:ind w:left="2165" w:hanging="206"/>
      </w:pPr>
      <w:rPr>
        <w:rFonts w:hint="default"/>
        <w:lang w:val="cs-CZ" w:eastAsia="cs-CZ" w:bidi="cs-CZ"/>
      </w:rPr>
    </w:lvl>
    <w:lvl w:ilvl="3">
      <w:start w:val="0"/>
      <w:numFmt w:val="bullet"/>
      <w:lvlText w:val="•"/>
      <w:lvlJc w:val="left"/>
      <w:pPr>
        <w:ind w:left="3067" w:hanging="206"/>
      </w:pPr>
      <w:rPr>
        <w:rFonts w:hint="default"/>
        <w:lang w:val="cs-CZ" w:eastAsia="cs-CZ" w:bidi="cs-CZ"/>
      </w:rPr>
    </w:lvl>
    <w:lvl w:ilvl="4">
      <w:start w:val="0"/>
      <w:numFmt w:val="bullet"/>
      <w:lvlText w:val="•"/>
      <w:lvlJc w:val="left"/>
      <w:pPr>
        <w:ind w:left="3970" w:hanging="206"/>
      </w:pPr>
      <w:rPr>
        <w:rFonts w:hint="default"/>
        <w:lang w:val="cs-CZ" w:eastAsia="cs-CZ" w:bidi="cs-CZ"/>
      </w:rPr>
    </w:lvl>
    <w:lvl w:ilvl="5">
      <w:start w:val="0"/>
      <w:numFmt w:val="bullet"/>
      <w:lvlText w:val="•"/>
      <w:lvlJc w:val="left"/>
      <w:pPr>
        <w:ind w:left="4873" w:hanging="206"/>
      </w:pPr>
      <w:rPr>
        <w:rFonts w:hint="default"/>
        <w:lang w:val="cs-CZ" w:eastAsia="cs-CZ" w:bidi="cs-CZ"/>
      </w:rPr>
    </w:lvl>
    <w:lvl w:ilvl="6">
      <w:start w:val="0"/>
      <w:numFmt w:val="bullet"/>
      <w:lvlText w:val="•"/>
      <w:lvlJc w:val="left"/>
      <w:pPr>
        <w:ind w:left="5775" w:hanging="206"/>
      </w:pPr>
      <w:rPr>
        <w:rFonts w:hint="default"/>
        <w:lang w:val="cs-CZ" w:eastAsia="cs-CZ" w:bidi="cs-CZ"/>
      </w:rPr>
    </w:lvl>
    <w:lvl w:ilvl="7">
      <w:start w:val="0"/>
      <w:numFmt w:val="bullet"/>
      <w:lvlText w:val="•"/>
      <w:lvlJc w:val="left"/>
      <w:pPr>
        <w:ind w:left="6678" w:hanging="206"/>
      </w:pPr>
      <w:rPr>
        <w:rFonts w:hint="default"/>
        <w:lang w:val="cs-CZ" w:eastAsia="cs-CZ" w:bidi="cs-CZ"/>
      </w:rPr>
    </w:lvl>
    <w:lvl w:ilvl="8">
      <w:start w:val="0"/>
      <w:numFmt w:val="bullet"/>
      <w:lvlText w:val="•"/>
      <w:lvlJc w:val="left"/>
      <w:pPr>
        <w:ind w:left="7581" w:hanging="206"/>
      </w:pPr>
      <w:rPr>
        <w:rFonts w:hint="default"/>
        <w:lang w:val="cs-CZ" w:eastAsia="cs-CZ" w:bidi="cs-CZ"/>
      </w:rPr>
    </w:lvl>
  </w:abstractNum>
  <w:abstractNum w:abstractNumId="1">
    <w:multiLevelType w:val="hybridMultilevel"/>
    <w:lvl w:ilvl="0">
      <w:start w:val="0"/>
      <w:numFmt w:val="bullet"/>
      <w:lvlText w:val="-"/>
      <w:lvlJc w:val="left"/>
      <w:pPr>
        <w:ind w:left="516" w:hanging="360"/>
      </w:pPr>
      <w:rPr>
        <w:rFonts w:hint="default" w:ascii="Times New Roman" w:hAnsi="Times New Roman" w:eastAsia="Times New Roman" w:cs="Times New Roman"/>
        <w:w w:val="99"/>
        <w:sz w:val="20"/>
        <w:szCs w:val="20"/>
        <w:lang w:val="cs-CZ" w:eastAsia="cs-CZ" w:bidi="cs-CZ"/>
      </w:rPr>
    </w:lvl>
    <w:lvl w:ilvl="1">
      <w:start w:val="0"/>
      <w:numFmt w:val="bullet"/>
      <w:lvlText w:val="•"/>
      <w:lvlJc w:val="left"/>
      <w:pPr>
        <w:ind w:left="1406" w:hanging="360"/>
      </w:pPr>
      <w:rPr>
        <w:rFonts w:hint="default"/>
        <w:lang w:val="cs-CZ" w:eastAsia="cs-CZ" w:bidi="cs-CZ"/>
      </w:rPr>
    </w:lvl>
    <w:lvl w:ilvl="2">
      <w:start w:val="0"/>
      <w:numFmt w:val="bullet"/>
      <w:lvlText w:val="•"/>
      <w:lvlJc w:val="left"/>
      <w:pPr>
        <w:ind w:left="2293" w:hanging="360"/>
      </w:pPr>
      <w:rPr>
        <w:rFonts w:hint="default"/>
        <w:lang w:val="cs-CZ" w:eastAsia="cs-CZ" w:bidi="cs-CZ"/>
      </w:rPr>
    </w:lvl>
    <w:lvl w:ilvl="3">
      <w:start w:val="0"/>
      <w:numFmt w:val="bullet"/>
      <w:lvlText w:val="•"/>
      <w:lvlJc w:val="left"/>
      <w:pPr>
        <w:ind w:left="3179" w:hanging="360"/>
      </w:pPr>
      <w:rPr>
        <w:rFonts w:hint="default"/>
        <w:lang w:val="cs-CZ" w:eastAsia="cs-CZ" w:bidi="cs-CZ"/>
      </w:rPr>
    </w:lvl>
    <w:lvl w:ilvl="4">
      <w:start w:val="0"/>
      <w:numFmt w:val="bullet"/>
      <w:lvlText w:val="•"/>
      <w:lvlJc w:val="left"/>
      <w:pPr>
        <w:ind w:left="4066" w:hanging="360"/>
      </w:pPr>
      <w:rPr>
        <w:rFonts w:hint="default"/>
        <w:lang w:val="cs-CZ" w:eastAsia="cs-CZ" w:bidi="cs-CZ"/>
      </w:rPr>
    </w:lvl>
    <w:lvl w:ilvl="5">
      <w:start w:val="0"/>
      <w:numFmt w:val="bullet"/>
      <w:lvlText w:val="•"/>
      <w:lvlJc w:val="left"/>
      <w:pPr>
        <w:ind w:left="4953" w:hanging="360"/>
      </w:pPr>
      <w:rPr>
        <w:rFonts w:hint="default"/>
        <w:lang w:val="cs-CZ" w:eastAsia="cs-CZ" w:bidi="cs-CZ"/>
      </w:rPr>
    </w:lvl>
    <w:lvl w:ilvl="6">
      <w:start w:val="0"/>
      <w:numFmt w:val="bullet"/>
      <w:lvlText w:val="•"/>
      <w:lvlJc w:val="left"/>
      <w:pPr>
        <w:ind w:left="5839" w:hanging="360"/>
      </w:pPr>
      <w:rPr>
        <w:rFonts w:hint="default"/>
        <w:lang w:val="cs-CZ" w:eastAsia="cs-CZ" w:bidi="cs-CZ"/>
      </w:rPr>
    </w:lvl>
    <w:lvl w:ilvl="7">
      <w:start w:val="0"/>
      <w:numFmt w:val="bullet"/>
      <w:lvlText w:val="•"/>
      <w:lvlJc w:val="left"/>
      <w:pPr>
        <w:ind w:left="6726" w:hanging="360"/>
      </w:pPr>
      <w:rPr>
        <w:rFonts w:hint="default"/>
        <w:lang w:val="cs-CZ" w:eastAsia="cs-CZ" w:bidi="cs-CZ"/>
      </w:rPr>
    </w:lvl>
    <w:lvl w:ilvl="8">
      <w:start w:val="0"/>
      <w:numFmt w:val="bullet"/>
      <w:lvlText w:val="•"/>
      <w:lvlJc w:val="left"/>
      <w:pPr>
        <w:ind w:left="7613" w:hanging="360"/>
      </w:pPr>
      <w:rPr>
        <w:rFonts w:hint="default"/>
        <w:lang w:val="cs-CZ" w:eastAsia="cs-CZ" w:bidi="cs-CZ"/>
      </w:rPr>
    </w:lvl>
  </w:abstractNum>
  <w:abstractNum w:abstractNumId="0">
    <w:multiLevelType w:val="hybridMultilevel"/>
    <w:lvl w:ilvl="0">
      <w:start w:val="0"/>
      <w:numFmt w:val="bullet"/>
      <w:lvlText w:val="-"/>
      <w:lvlJc w:val="left"/>
      <w:pPr>
        <w:ind w:left="799" w:hanging="360"/>
      </w:pPr>
      <w:rPr>
        <w:rFonts w:hint="default" w:ascii="Times New Roman" w:hAnsi="Times New Roman" w:eastAsia="Times New Roman" w:cs="Times New Roman"/>
        <w:w w:val="99"/>
        <w:sz w:val="20"/>
        <w:szCs w:val="20"/>
        <w:lang w:val="cs-CZ" w:eastAsia="cs-CZ" w:bidi="cs-CZ"/>
      </w:rPr>
    </w:lvl>
    <w:lvl w:ilvl="1">
      <w:start w:val="0"/>
      <w:numFmt w:val="bullet"/>
      <w:lvlText w:val="•"/>
      <w:lvlJc w:val="left"/>
      <w:pPr>
        <w:ind w:left="1658" w:hanging="360"/>
      </w:pPr>
      <w:rPr>
        <w:rFonts w:hint="default"/>
        <w:lang w:val="cs-CZ" w:eastAsia="cs-CZ" w:bidi="cs-CZ"/>
      </w:rPr>
    </w:lvl>
    <w:lvl w:ilvl="2">
      <w:start w:val="0"/>
      <w:numFmt w:val="bullet"/>
      <w:lvlText w:val="•"/>
      <w:lvlJc w:val="left"/>
      <w:pPr>
        <w:ind w:left="2517" w:hanging="360"/>
      </w:pPr>
      <w:rPr>
        <w:rFonts w:hint="default"/>
        <w:lang w:val="cs-CZ" w:eastAsia="cs-CZ" w:bidi="cs-CZ"/>
      </w:rPr>
    </w:lvl>
    <w:lvl w:ilvl="3">
      <w:start w:val="0"/>
      <w:numFmt w:val="bullet"/>
      <w:lvlText w:val="•"/>
      <w:lvlJc w:val="left"/>
      <w:pPr>
        <w:ind w:left="3375" w:hanging="360"/>
      </w:pPr>
      <w:rPr>
        <w:rFonts w:hint="default"/>
        <w:lang w:val="cs-CZ" w:eastAsia="cs-CZ" w:bidi="cs-CZ"/>
      </w:rPr>
    </w:lvl>
    <w:lvl w:ilvl="4">
      <w:start w:val="0"/>
      <w:numFmt w:val="bullet"/>
      <w:lvlText w:val="•"/>
      <w:lvlJc w:val="left"/>
      <w:pPr>
        <w:ind w:left="4234" w:hanging="360"/>
      </w:pPr>
      <w:rPr>
        <w:rFonts w:hint="default"/>
        <w:lang w:val="cs-CZ" w:eastAsia="cs-CZ" w:bidi="cs-CZ"/>
      </w:rPr>
    </w:lvl>
    <w:lvl w:ilvl="5">
      <w:start w:val="0"/>
      <w:numFmt w:val="bullet"/>
      <w:lvlText w:val="•"/>
      <w:lvlJc w:val="left"/>
      <w:pPr>
        <w:ind w:left="5093" w:hanging="360"/>
      </w:pPr>
      <w:rPr>
        <w:rFonts w:hint="default"/>
        <w:lang w:val="cs-CZ" w:eastAsia="cs-CZ" w:bidi="cs-CZ"/>
      </w:rPr>
    </w:lvl>
    <w:lvl w:ilvl="6">
      <w:start w:val="0"/>
      <w:numFmt w:val="bullet"/>
      <w:lvlText w:val="•"/>
      <w:lvlJc w:val="left"/>
      <w:pPr>
        <w:ind w:left="5951" w:hanging="360"/>
      </w:pPr>
      <w:rPr>
        <w:rFonts w:hint="default"/>
        <w:lang w:val="cs-CZ" w:eastAsia="cs-CZ" w:bidi="cs-CZ"/>
      </w:rPr>
    </w:lvl>
    <w:lvl w:ilvl="7">
      <w:start w:val="0"/>
      <w:numFmt w:val="bullet"/>
      <w:lvlText w:val="•"/>
      <w:lvlJc w:val="left"/>
      <w:pPr>
        <w:ind w:left="6810" w:hanging="360"/>
      </w:pPr>
      <w:rPr>
        <w:rFonts w:hint="default"/>
        <w:lang w:val="cs-CZ" w:eastAsia="cs-CZ" w:bidi="cs-CZ"/>
      </w:rPr>
    </w:lvl>
    <w:lvl w:ilvl="8">
      <w:start w:val="0"/>
      <w:numFmt w:val="bullet"/>
      <w:lvlText w:val="•"/>
      <w:lvlJc w:val="left"/>
      <w:pPr>
        <w:ind w:left="7669" w:hanging="360"/>
      </w:pPr>
      <w:rPr>
        <w:rFonts w:hint="default"/>
        <w:lang w:val="cs-CZ" w:eastAsia="cs-CZ" w:bidi="cs-CZ"/>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cs-CZ" w:bidi="cs-CZ"/>
    </w:rPr>
  </w:style>
  <w:style w:styleId="BodyText" w:type="paragraph">
    <w:name w:val="Body Text"/>
    <w:basedOn w:val="Normal"/>
    <w:uiPriority w:val="1"/>
    <w:qFormat/>
    <w:pPr>
      <w:ind w:left="156"/>
    </w:pPr>
    <w:rPr>
      <w:rFonts w:ascii="Times New Roman" w:hAnsi="Times New Roman" w:eastAsia="Times New Roman" w:cs="Times New Roman"/>
      <w:sz w:val="20"/>
      <w:szCs w:val="20"/>
      <w:lang w:val="cs-CZ" w:eastAsia="cs-CZ" w:bidi="cs-CZ"/>
    </w:rPr>
  </w:style>
  <w:style w:styleId="Heading1" w:type="paragraph">
    <w:name w:val="Heading 1"/>
    <w:basedOn w:val="Normal"/>
    <w:uiPriority w:val="1"/>
    <w:qFormat/>
    <w:pPr>
      <w:spacing w:line="228" w:lineRule="exact"/>
      <w:ind w:left="4460" w:right="4461"/>
      <w:jc w:val="center"/>
      <w:outlineLvl w:val="1"/>
    </w:pPr>
    <w:rPr>
      <w:rFonts w:ascii="Times New Roman" w:hAnsi="Times New Roman" w:eastAsia="Times New Roman" w:cs="Times New Roman"/>
      <w:b/>
      <w:bCs/>
      <w:sz w:val="20"/>
      <w:szCs w:val="20"/>
      <w:lang w:val="cs-CZ" w:eastAsia="cs-CZ" w:bidi="cs-CZ"/>
    </w:rPr>
  </w:style>
  <w:style w:styleId="ListParagraph" w:type="paragraph">
    <w:name w:val="List Paragraph"/>
    <w:basedOn w:val="Normal"/>
    <w:uiPriority w:val="1"/>
    <w:qFormat/>
    <w:pPr>
      <w:ind w:left="516" w:hanging="361"/>
    </w:pPr>
    <w:rPr>
      <w:rFonts w:ascii="Times New Roman" w:hAnsi="Times New Roman" w:eastAsia="Times New Roman" w:cs="Times New Roman"/>
      <w:lang w:val="cs-CZ" w:eastAsia="cs-CZ" w:bidi="cs-CZ"/>
    </w:rPr>
  </w:style>
  <w:style w:styleId="TableParagraph" w:type="paragraph">
    <w:name w:val="Table Paragraph"/>
    <w:basedOn w:val="Normal"/>
    <w:uiPriority w:val="1"/>
    <w:qFormat/>
    <w:pPr>
      <w:ind w:left="50"/>
    </w:pPr>
    <w:rPr>
      <w:rFonts w:ascii="Times New Roman" w:hAnsi="Times New Roman" w:eastAsia="Times New Roman" w:cs="Times New Roman"/>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bohunovska</dc:creator>
  <dcterms:created xsi:type="dcterms:W3CDTF">2021-05-26T05:16:25Z</dcterms:created>
  <dcterms:modified xsi:type="dcterms:W3CDTF">2021-05-26T05:16:25Z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2010</vt:lpwstr>
  </property>
  <property fmtid="{D5CDD505-2E9C-101B-9397-08002B2CF9AE}" pid="4" name="LastSaved">
    <vt:filetime>2021-05-26T00:00:00Z</vt:filetime>
  </property>
</Properties>
</file>