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2E1C" w14:textId="14EB0FEA" w:rsidR="00AF4BB3" w:rsidRDefault="00ED1D75" w:rsidP="00C17E2B">
      <w:pPr>
        <w:pStyle w:val="Standard"/>
        <w:spacing w:after="120" w:line="240" w:lineRule="atLeast"/>
        <w:jc w:val="right"/>
      </w:pP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sz w:val="20"/>
          <w:szCs w:val="20"/>
          <w:lang w:eastAsia="cs-CZ"/>
        </w:rPr>
        <w:tab/>
        <w:t xml:space="preserve">               </w:t>
      </w:r>
      <w:r w:rsidR="00C17E2B">
        <w:rPr>
          <w:rFonts w:eastAsia="Times New Roman" w:cs="Calibri"/>
          <w:b/>
          <w:bCs/>
          <w:sz w:val="20"/>
          <w:szCs w:val="20"/>
          <w:lang w:eastAsia="cs-CZ"/>
        </w:rPr>
        <w:tab/>
        <w:t xml:space="preserve">                         </w:t>
      </w:r>
      <w:r w:rsidR="00C17E2B" w:rsidRPr="00A56B96">
        <w:rPr>
          <w:rFonts w:eastAsia="Times New Roman" w:cs="Calibri"/>
          <w:color w:val="BFBFBF" w:themeColor="background1" w:themeShade="BF"/>
          <w:sz w:val="20"/>
          <w:szCs w:val="20"/>
          <w:lang w:eastAsia="cs-CZ"/>
        </w:rPr>
        <w:t>2021/2264/NM (KGŘ2)</w:t>
      </w:r>
      <w:r w:rsidRPr="00A56B96">
        <w:rPr>
          <w:rFonts w:eastAsia="Times New Roman" w:cs="Calibri"/>
          <w:color w:val="BFBFBF" w:themeColor="background1" w:themeShade="BF"/>
          <w:sz w:val="20"/>
          <w:szCs w:val="20"/>
          <w:lang w:eastAsia="cs-CZ"/>
        </w:rPr>
        <w:t xml:space="preserve"> </w:t>
      </w:r>
      <w:r>
        <w:rPr>
          <w:rFonts w:eastAsia="Times New Roman" w:cs="Calibri"/>
          <w:color w:val="FFFFFF"/>
          <w:sz w:val="20"/>
          <w:szCs w:val="20"/>
          <w:lang w:eastAsia="cs-CZ"/>
        </w:rPr>
        <w:t>(K</w:t>
      </w:r>
      <w:r>
        <w:rPr>
          <w:rFonts w:eastAsia="Times New Roman" w:cs="Calibri"/>
          <w:color w:val="FFFFFF"/>
          <w:sz w:val="20"/>
          <w:szCs w:val="20"/>
          <w:lang w:eastAsia="cs-CZ"/>
        </w:rPr>
        <w:t>Ř2)/2</w:t>
      </w:r>
    </w:p>
    <w:p w14:paraId="79D22E1D" w14:textId="77777777" w:rsidR="00AF4BB3" w:rsidRDefault="00ED1D75">
      <w:pPr>
        <w:pStyle w:val="Standard"/>
        <w:spacing w:after="120" w:line="240" w:lineRule="atLeast"/>
        <w:jc w:val="center"/>
        <w:rPr>
          <w:rFonts w:eastAsia="Times New Roman" w:cs="Calibri"/>
          <w:b/>
          <w:sz w:val="24"/>
          <w:szCs w:val="24"/>
          <w:lang w:eastAsia="cs-CZ"/>
        </w:rPr>
      </w:pPr>
      <w:r>
        <w:rPr>
          <w:rFonts w:eastAsia="Times New Roman" w:cs="Calibri"/>
          <w:b/>
          <w:sz w:val="24"/>
          <w:szCs w:val="24"/>
          <w:lang w:eastAsia="cs-CZ"/>
        </w:rPr>
        <w:t xml:space="preserve">Dodatek č. 1 </w:t>
      </w:r>
    </w:p>
    <w:p w14:paraId="79D22E1E" w14:textId="77777777" w:rsidR="00AF4BB3" w:rsidRDefault="00ED1D75">
      <w:pPr>
        <w:pStyle w:val="Standard"/>
        <w:spacing w:after="120" w:line="240" w:lineRule="atLeast"/>
        <w:jc w:val="center"/>
        <w:rPr>
          <w:rFonts w:eastAsia="Times New Roman" w:cs="Calibri"/>
          <w:b/>
          <w:sz w:val="24"/>
          <w:szCs w:val="24"/>
          <w:lang w:eastAsia="cs-CZ"/>
        </w:rPr>
      </w:pPr>
      <w:r>
        <w:rPr>
          <w:rFonts w:eastAsia="Times New Roman" w:cs="Calibri"/>
          <w:b/>
          <w:sz w:val="24"/>
          <w:szCs w:val="24"/>
          <w:lang w:eastAsia="cs-CZ"/>
        </w:rPr>
        <w:t>ke Smlouvě o poskytování překladatelských služeb č. 200686</w:t>
      </w:r>
    </w:p>
    <w:p w14:paraId="79D22E1F" w14:textId="77777777" w:rsidR="00AF4BB3" w:rsidRDefault="00ED1D75">
      <w:pPr>
        <w:pStyle w:val="Standard"/>
        <w:spacing w:after="120" w:line="240" w:lineRule="atLeast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uzavřený níže uvedeného dne, měsíce a roku na základě ustanovení § 2631 a násl. Zákona č. 89/2012 Sb., </w:t>
      </w:r>
      <w:r>
        <w:rPr>
          <w:rFonts w:cs="Calibri"/>
          <w:sz w:val="20"/>
          <w:szCs w:val="20"/>
        </w:rPr>
        <w:t>občanský zákoník, mezi těmito smluvními stranami:</w:t>
      </w:r>
      <w:r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(dále jen „občanský zákoník“)</w:t>
      </w:r>
    </w:p>
    <w:p w14:paraId="79D22E20" w14:textId="77777777" w:rsidR="00AF4BB3" w:rsidRDefault="00AF4BB3">
      <w:pPr>
        <w:pStyle w:val="Standard"/>
        <w:spacing w:after="120" w:line="240" w:lineRule="atLeast"/>
        <w:jc w:val="center"/>
      </w:pPr>
    </w:p>
    <w:p w14:paraId="79D22E21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b/>
          <w:bCs/>
          <w:sz w:val="20"/>
          <w:szCs w:val="20"/>
          <w:lang w:eastAsia="cs-CZ"/>
        </w:rPr>
      </w:pPr>
      <w:r>
        <w:rPr>
          <w:rFonts w:eastAsia="Times New Roman" w:cs="Calibri"/>
          <w:b/>
          <w:bCs/>
          <w:sz w:val="20"/>
          <w:szCs w:val="20"/>
          <w:lang w:eastAsia="cs-CZ"/>
        </w:rPr>
        <w:t>Národní muzeum</w:t>
      </w:r>
    </w:p>
    <w:p w14:paraId="79D22E22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příspěvková organizace nepodléhající zápisu do obchodního rejstříku, zřizovací listina MK ČR</w:t>
      </w:r>
    </w:p>
    <w:p w14:paraId="79D22E23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se sídlem: Václavské náměstí 68, 110 00  Praha 1</w:t>
      </w:r>
    </w:p>
    <w:p w14:paraId="79D22E24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zastoupen: Ing. Ev</w:t>
      </w:r>
      <w:r>
        <w:rPr>
          <w:rFonts w:eastAsia="Times New Roman" w:cs="Calibri"/>
          <w:sz w:val="20"/>
          <w:szCs w:val="20"/>
          <w:lang w:eastAsia="cs-CZ"/>
        </w:rPr>
        <w:t>a Ruferová, vedoucí oddělení marketingu</w:t>
      </w:r>
    </w:p>
    <w:p w14:paraId="79D22E25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IČ: 00023272, DIČ: CZ00023272</w:t>
      </w:r>
    </w:p>
    <w:p w14:paraId="79D22E26" w14:textId="77777777" w:rsidR="00AF4BB3" w:rsidRDefault="00ED1D75">
      <w:pPr>
        <w:pStyle w:val="Standard"/>
        <w:spacing w:before="240" w:after="0" w:line="240" w:lineRule="auto"/>
      </w:pPr>
      <w:r>
        <w:rPr>
          <w:rFonts w:eastAsia="Times New Roman" w:cs="Calibri"/>
          <w:sz w:val="20"/>
          <w:szCs w:val="20"/>
          <w:lang w:eastAsia="cs-CZ"/>
        </w:rPr>
        <w:t>dále jen „</w:t>
      </w:r>
      <w:r>
        <w:rPr>
          <w:rFonts w:eastAsia="Times New Roman" w:cs="Calibri"/>
          <w:b/>
          <w:sz w:val="20"/>
          <w:szCs w:val="20"/>
          <w:lang w:eastAsia="cs-CZ"/>
        </w:rPr>
        <w:t>objednatel</w:t>
      </w:r>
      <w:r>
        <w:rPr>
          <w:rFonts w:eastAsia="Times New Roman" w:cs="Calibri"/>
          <w:sz w:val="20"/>
          <w:szCs w:val="20"/>
          <w:lang w:eastAsia="cs-CZ"/>
        </w:rPr>
        <w:t>“ na straně jedné</w:t>
      </w:r>
    </w:p>
    <w:p w14:paraId="79D22E27" w14:textId="77777777" w:rsidR="00AF4BB3" w:rsidRDefault="00ED1D75">
      <w:pPr>
        <w:pStyle w:val="Standard"/>
        <w:spacing w:before="240" w:after="240" w:line="240" w:lineRule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a</w:t>
      </w:r>
    </w:p>
    <w:p w14:paraId="79D22E28" w14:textId="77777777" w:rsidR="00AF4BB3" w:rsidRDefault="00ED1D75">
      <w:pPr>
        <w:pStyle w:val="Standard"/>
        <w:spacing w:after="0"/>
        <w:rPr>
          <w:rFonts w:eastAsia="Times New Roman" w:cs="Calibri"/>
          <w:b/>
          <w:bCs/>
          <w:sz w:val="20"/>
          <w:szCs w:val="20"/>
          <w:lang w:eastAsia="cs-CZ"/>
        </w:rPr>
      </w:pPr>
      <w:r>
        <w:rPr>
          <w:rFonts w:eastAsia="Times New Roman" w:cs="Calibri"/>
          <w:b/>
          <w:bCs/>
          <w:sz w:val="20"/>
          <w:szCs w:val="20"/>
          <w:lang w:eastAsia="cs-CZ"/>
        </w:rPr>
        <w:t>HT International s.r.o.</w:t>
      </w:r>
    </w:p>
    <w:p w14:paraId="79D22E29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se sídlem: Seifertova 823/9, 130 00 Praha 3 - Žižkov</w:t>
      </w:r>
      <w:r>
        <w:rPr>
          <w:rFonts w:eastAsia="Times New Roman" w:cs="Calibri"/>
          <w:sz w:val="20"/>
          <w:szCs w:val="20"/>
          <w:lang w:eastAsia="cs-CZ"/>
        </w:rPr>
        <w:tab/>
      </w:r>
    </w:p>
    <w:p w14:paraId="79D22E2A" w14:textId="48B88ADC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 xml:space="preserve">zastoupen: </w:t>
      </w:r>
      <w:r w:rsidR="00C17E2B">
        <w:rPr>
          <w:rFonts w:eastAsia="Times New Roman" w:cs="Calibri"/>
          <w:sz w:val="20"/>
          <w:szCs w:val="20"/>
          <w:lang w:eastAsia="cs-CZ"/>
        </w:rPr>
        <w:t>Mgr. Matouš Hájek</w:t>
      </w:r>
      <w:r w:rsidR="00A56B96">
        <w:rPr>
          <w:rFonts w:eastAsia="Times New Roman" w:cs="Calibri"/>
          <w:sz w:val="20"/>
          <w:szCs w:val="20"/>
          <w:lang w:eastAsia="cs-CZ"/>
        </w:rPr>
        <w:t>, jednatel</w:t>
      </w:r>
      <w:r>
        <w:rPr>
          <w:rFonts w:eastAsia="Times New Roman" w:cs="Calibri"/>
          <w:sz w:val="20"/>
          <w:szCs w:val="20"/>
          <w:lang w:eastAsia="cs-CZ"/>
        </w:rPr>
        <w:t xml:space="preserve">          </w:t>
      </w:r>
      <w:r>
        <w:rPr>
          <w:rFonts w:eastAsia="Times New Roman" w:cs="Calibri"/>
          <w:sz w:val="20"/>
          <w:szCs w:val="20"/>
          <w:lang w:eastAsia="cs-CZ"/>
        </w:rPr>
        <w:tab/>
      </w:r>
    </w:p>
    <w:p w14:paraId="79D22E2B" w14:textId="77777777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 xml:space="preserve">IČ: 27526941, DIČ: </w:t>
      </w:r>
      <w:r>
        <w:rPr>
          <w:rFonts w:eastAsia="Times New Roman" w:cs="Calibri"/>
          <w:sz w:val="20"/>
          <w:szCs w:val="20"/>
          <w:lang w:eastAsia="cs-CZ"/>
        </w:rPr>
        <w:t>CZ2752641</w:t>
      </w:r>
      <w:r>
        <w:rPr>
          <w:rFonts w:eastAsia="Times New Roman" w:cs="Calibri"/>
          <w:sz w:val="20"/>
          <w:szCs w:val="20"/>
          <w:lang w:eastAsia="cs-CZ"/>
        </w:rPr>
        <w:tab/>
      </w:r>
    </w:p>
    <w:p w14:paraId="79D22E2C" w14:textId="49376302" w:rsidR="00AF4BB3" w:rsidRDefault="00ED1D75">
      <w:pPr>
        <w:pStyle w:val="Standard"/>
        <w:tabs>
          <w:tab w:val="left" w:pos="1701"/>
        </w:tabs>
        <w:spacing w:after="0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 xml:space="preserve">číslo účtu: </w:t>
      </w:r>
      <w:r w:rsidR="007A2DF9">
        <w:rPr>
          <w:rFonts w:eastAsia="Times New Roman" w:cs="Calibri"/>
          <w:sz w:val="20"/>
          <w:szCs w:val="20"/>
          <w:lang w:eastAsia="cs-CZ"/>
        </w:rPr>
        <w:t>xxxxxxx</w:t>
      </w:r>
    </w:p>
    <w:p w14:paraId="79D22E2D" w14:textId="77777777" w:rsidR="00AF4BB3" w:rsidRDefault="00ED1D75">
      <w:pPr>
        <w:pStyle w:val="Standard"/>
        <w:spacing w:before="240" w:after="0" w:line="240" w:lineRule="auto"/>
      </w:pPr>
      <w:r>
        <w:rPr>
          <w:rFonts w:eastAsia="Times New Roman" w:cs="Calibri"/>
          <w:sz w:val="20"/>
          <w:szCs w:val="20"/>
          <w:lang w:eastAsia="cs-CZ"/>
        </w:rPr>
        <w:t>dále jen „</w:t>
      </w:r>
      <w:r>
        <w:rPr>
          <w:rFonts w:eastAsia="Times New Roman" w:cs="Calibri"/>
          <w:b/>
          <w:sz w:val="20"/>
          <w:szCs w:val="20"/>
          <w:lang w:eastAsia="cs-CZ"/>
        </w:rPr>
        <w:t>poskytovatel</w:t>
      </w:r>
      <w:r>
        <w:rPr>
          <w:rFonts w:eastAsia="Times New Roman" w:cs="Calibri"/>
          <w:sz w:val="20"/>
          <w:szCs w:val="20"/>
          <w:lang w:eastAsia="cs-CZ"/>
        </w:rPr>
        <w:t>“ na straně druhé</w:t>
      </w:r>
    </w:p>
    <w:p w14:paraId="79D22E2E" w14:textId="77777777" w:rsidR="00AF4BB3" w:rsidRDefault="00AF4BB3">
      <w:pPr>
        <w:pStyle w:val="Standard"/>
        <w:spacing w:after="120" w:line="240" w:lineRule="atLeast"/>
        <w:jc w:val="both"/>
        <w:rPr>
          <w:rFonts w:eastAsia="Times New Roman" w:cs="Calibri"/>
          <w:sz w:val="20"/>
          <w:szCs w:val="20"/>
          <w:lang w:eastAsia="cs-CZ"/>
        </w:rPr>
      </w:pPr>
    </w:p>
    <w:p w14:paraId="79D22E2F" w14:textId="77777777" w:rsidR="00AF4BB3" w:rsidRDefault="00AF4BB3">
      <w:pPr>
        <w:pStyle w:val="Standard"/>
        <w:spacing w:after="120" w:line="240" w:lineRule="atLeast"/>
        <w:jc w:val="both"/>
        <w:rPr>
          <w:rFonts w:eastAsia="Times New Roman" w:cs="Calibri"/>
          <w:sz w:val="20"/>
          <w:szCs w:val="20"/>
          <w:lang w:eastAsia="cs-CZ"/>
        </w:rPr>
      </w:pPr>
    </w:p>
    <w:p w14:paraId="79D22E30" w14:textId="77777777" w:rsidR="00AF4BB3" w:rsidRDefault="00ED1D75">
      <w:pPr>
        <w:pStyle w:val="Standard"/>
        <w:spacing w:after="120" w:line="240" w:lineRule="atLeast"/>
        <w:jc w:val="both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 xml:space="preserve">Shora jmenované smluvní strany uzavřely dne 5. 6. 2020 Smlouvu o poskytování služeb č. 200686 (dále jen Smlouva). </w:t>
      </w:r>
    </w:p>
    <w:p w14:paraId="79D22E31" w14:textId="77777777" w:rsidR="00AF4BB3" w:rsidRDefault="00ED1D75">
      <w:pPr>
        <w:pStyle w:val="Standard"/>
        <w:spacing w:after="120" w:line="240" w:lineRule="atLeast"/>
        <w:jc w:val="both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S ohledem na vyhlášení nouzového stavu a z</w:t>
      </w:r>
      <w:r>
        <w:rPr>
          <w:rFonts w:eastAsia="Times New Roman" w:cs="Calibri"/>
          <w:sz w:val="20"/>
          <w:szCs w:val="20"/>
          <w:lang w:eastAsia="cs-CZ"/>
        </w:rPr>
        <w:t>avedení vládních opatření se smluvní strany dohodly na následující změně Smlouvy.</w:t>
      </w:r>
    </w:p>
    <w:p w14:paraId="79D22E32" w14:textId="77777777" w:rsidR="00AF4BB3" w:rsidRDefault="00AF4BB3">
      <w:pPr>
        <w:pStyle w:val="Standard"/>
        <w:spacing w:before="240" w:after="240" w:line="240" w:lineRule="atLeast"/>
        <w:ind w:left="3540" w:firstLine="708"/>
        <w:rPr>
          <w:rFonts w:eastAsia="Times New Roman" w:cs="Calibri"/>
          <w:b/>
          <w:sz w:val="20"/>
          <w:szCs w:val="20"/>
          <w:lang w:eastAsia="cs-CZ"/>
        </w:rPr>
      </w:pPr>
    </w:p>
    <w:p w14:paraId="79D22E33" w14:textId="77777777" w:rsidR="00AF4BB3" w:rsidRDefault="00ED1D75">
      <w:pPr>
        <w:pStyle w:val="Standard"/>
        <w:spacing w:after="120" w:line="240" w:lineRule="atLeast"/>
        <w:jc w:val="center"/>
        <w:rPr>
          <w:rFonts w:eastAsia="Times New Roman" w:cs="Calibri"/>
          <w:b/>
          <w:sz w:val="20"/>
          <w:szCs w:val="20"/>
          <w:lang w:eastAsia="cs-CZ"/>
        </w:rPr>
      </w:pPr>
      <w:r>
        <w:rPr>
          <w:rFonts w:eastAsia="Times New Roman" w:cs="Calibri"/>
          <w:b/>
          <w:sz w:val="20"/>
          <w:szCs w:val="20"/>
          <w:lang w:eastAsia="cs-CZ"/>
        </w:rPr>
        <w:t>Čl. I.</w:t>
      </w:r>
    </w:p>
    <w:p w14:paraId="79D22E34" w14:textId="77777777" w:rsidR="00AF4BB3" w:rsidRDefault="00ED1D75">
      <w:pPr>
        <w:pStyle w:val="Standard"/>
        <w:spacing w:after="120" w:line="240" w:lineRule="atLeast"/>
        <w:jc w:val="center"/>
        <w:rPr>
          <w:rFonts w:eastAsia="Times New Roman" w:cs="Calibri"/>
          <w:b/>
          <w:sz w:val="20"/>
          <w:szCs w:val="20"/>
          <w:lang w:eastAsia="cs-CZ"/>
        </w:rPr>
      </w:pPr>
      <w:r>
        <w:rPr>
          <w:rFonts w:eastAsia="Times New Roman" w:cs="Calibri"/>
          <w:b/>
          <w:sz w:val="20"/>
          <w:szCs w:val="20"/>
          <w:lang w:eastAsia="cs-CZ"/>
        </w:rPr>
        <w:t>Předmět dodatku</w:t>
      </w:r>
    </w:p>
    <w:p w14:paraId="79D22E35" w14:textId="77777777" w:rsidR="00AF4BB3" w:rsidRDefault="00ED1D7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Článek II. Smlouvy se upravuje takto:</w:t>
      </w:r>
    </w:p>
    <w:p w14:paraId="79D22E36" w14:textId="77777777" w:rsidR="00AF4BB3" w:rsidRDefault="00AF4BB3">
      <w:pPr>
        <w:pStyle w:val="Bezmezer"/>
        <w:spacing w:after="120" w:line="240" w:lineRule="atLeast"/>
        <w:jc w:val="both"/>
        <w:rPr>
          <w:rFonts w:cs="Calibri"/>
          <w:sz w:val="20"/>
          <w:szCs w:val="20"/>
          <w:lang w:eastAsia="cs-CZ"/>
        </w:rPr>
      </w:pPr>
    </w:p>
    <w:p w14:paraId="79D22E37" w14:textId="77777777" w:rsidR="00AF4BB3" w:rsidRDefault="00ED1D75">
      <w:pPr>
        <w:pStyle w:val="Bezmezer"/>
        <w:spacing w:after="120" w:line="240" w:lineRule="atLeast"/>
        <w:jc w:val="both"/>
        <w:rPr>
          <w:rFonts w:cs="Calibri"/>
          <w:sz w:val="20"/>
          <w:szCs w:val="20"/>
          <w:lang w:eastAsia="cs-CZ"/>
        </w:rPr>
      </w:pPr>
      <w:r>
        <w:rPr>
          <w:rFonts w:cs="Calibri"/>
          <w:sz w:val="20"/>
          <w:szCs w:val="20"/>
          <w:lang w:eastAsia="cs-CZ"/>
        </w:rPr>
        <w:t>Smlouva se uzavírá po dobu určitou 24 měsíců od podpisu smlouvy nebo do vyčerpání veškerých prostředků, které m</w:t>
      </w:r>
      <w:r>
        <w:rPr>
          <w:rFonts w:cs="Calibri"/>
          <w:sz w:val="20"/>
          <w:szCs w:val="20"/>
          <w:lang w:eastAsia="cs-CZ"/>
        </w:rPr>
        <w:t>á zadavatel k dispozici k realizaci této smlouvy (tj. maximální celkové ceny za plnění této smlouvy), podle toho, která skutečnost nastane dříve. Smluvní strany nejsou oprávněny tuto smlouvu vypovědět nebo od ní odstoupit, nestanoví-li tato smlouva nebo zá</w:t>
      </w:r>
      <w:r>
        <w:rPr>
          <w:rFonts w:cs="Calibri"/>
          <w:sz w:val="20"/>
          <w:szCs w:val="20"/>
          <w:lang w:eastAsia="cs-CZ"/>
        </w:rPr>
        <w:t xml:space="preserve">kon jinak. </w:t>
      </w:r>
    </w:p>
    <w:p w14:paraId="79D22E38" w14:textId="77777777" w:rsidR="00AF4BB3" w:rsidRDefault="00ED1D75">
      <w:pPr>
        <w:pStyle w:val="Odstavecseseznamem"/>
        <w:spacing w:before="360" w:after="120" w:line="240" w:lineRule="atLeast"/>
        <w:ind w:left="0"/>
        <w:jc w:val="center"/>
      </w:pPr>
      <w:r>
        <w:rPr>
          <w:rFonts w:eastAsia="Times New Roman" w:cs="Calibri"/>
          <w:b/>
          <w:sz w:val="20"/>
          <w:szCs w:val="20"/>
          <w:lang w:eastAsia="cs-CZ"/>
        </w:rPr>
        <w:t>Čl. II.</w:t>
      </w:r>
    </w:p>
    <w:p w14:paraId="79D22E39" w14:textId="77777777" w:rsidR="00AF4BB3" w:rsidRDefault="00ED1D75">
      <w:pPr>
        <w:pStyle w:val="Standard"/>
        <w:spacing w:after="120" w:line="240" w:lineRule="atLeast"/>
        <w:jc w:val="center"/>
        <w:rPr>
          <w:rFonts w:eastAsia="Times New Roman" w:cs="Calibri"/>
          <w:b/>
          <w:sz w:val="20"/>
          <w:szCs w:val="20"/>
          <w:lang w:eastAsia="cs-CZ"/>
        </w:rPr>
      </w:pPr>
      <w:r>
        <w:rPr>
          <w:rFonts w:eastAsia="Times New Roman" w:cs="Calibri"/>
          <w:b/>
          <w:sz w:val="20"/>
          <w:szCs w:val="20"/>
          <w:lang w:eastAsia="cs-CZ"/>
        </w:rPr>
        <w:t>Závěrečná ustanovení</w:t>
      </w:r>
    </w:p>
    <w:p w14:paraId="79D22E3A" w14:textId="77777777" w:rsidR="00AF4BB3" w:rsidRDefault="00ED1D75">
      <w:pPr>
        <w:spacing w:after="120" w:line="24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shodně prohlašují, že v ostatním zůstává obsah Smlouvy Dodatkem č. 1 nedotčen.</w:t>
      </w:r>
    </w:p>
    <w:p w14:paraId="79D22E3B" w14:textId="77777777" w:rsidR="00AF4BB3" w:rsidRDefault="00ED1D75">
      <w:pPr>
        <w:spacing w:after="120" w:line="24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Tento dodatek je vyhotoven ve třech stejnopisech, dva obdrží objednavatel a jeden dodavatel. Tento dodatek nabývá </w:t>
      </w:r>
      <w:r>
        <w:rPr>
          <w:rFonts w:ascii="Calibri" w:eastAsia="Calibri" w:hAnsi="Calibri" w:cs="Calibri"/>
        </w:rPr>
        <w:t>platnosti dnem jeho zveřejněním v registru smluv.</w:t>
      </w:r>
    </w:p>
    <w:p w14:paraId="79D22E3C" w14:textId="77777777" w:rsidR="00AF4BB3" w:rsidRDefault="00ED1D75">
      <w:pPr>
        <w:spacing w:after="120" w:line="24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Smluvní strany prohlašují, že tato smlouva byla sepsána podle jejich pravé a svobodné vůle, že si smlouvu přečetly, s jejím obsahem souhlasí a na důkaz toho připojují vlastnoruční podpisy.</w:t>
      </w:r>
    </w:p>
    <w:p w14:paraId="79D22E3D" w14:textId="77777777" w:rsidR="00AF4BB3" w:rsidRDefault="00AF4BB3">
      <w:pPr>
        <w:pStyle w:val="Standard"/>
        <w:spacing w:after="120" w:line="240" w:lineRule="atLeast"/>
        <w:jc w:val="both"/>
        <w:rPr>
          <w:rFonts w:eastAsia="Times New Roman" w:cs="Calibri"/>
          <w:sz w:val="20"/>
          <w:szCs w:val="20"/>
          <w:lang w:eastAsia="cs-CZ"/>
        </w:rPr>
      </w:pPr>
    </w:p>
    <w:p w14:paraId="79D22E3E" w14:textId="77777777" w:rsidR="00AF4BB3" w:rsidRDefault="00ED1D75">
      <w:pPr>
        <w:pStyle w:val="Odstavecseseznamem"/>
        <w:tabs>
          <w:tab w:val="left" w:pos="993"/>
        </w:tabs>
        <w:spacing w:after="0" w:line="240" w:lineRule="auto"/>
        <w:ind w:left="0"/>
      </w:pPr>
      <w:r>
        <w:rPr>
          <w:rFonts w:eastAsia="Times New Roman" w:cs="Calibri"/>
          <w:i/>
          <w:sz w:val="20"/>
          <w:szCs w:val="20"/>
          <w:lang w:eastAsia="cs-CZ"/>
        </w:rPr>
        <w:tab/>
      </w:r>
    </w:p>
    <w:p w14:paraId="79D22E3F" w14:textId="77777777" w:rsidR="00AF4BB3" w:rsidRDefault="00AF4BB3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eastAsia="Times New Roman" w:cs="Calibri"/>
          <w:sz w:val="20"/>
          <w:szCs w:val="20"/>
          <w:lang w:eastAsia="cs-CZ"/>
        </w:rPr>
      </w:pPr>
    </w:p>
    <w:p w14:paraId="79D22E40" w14:textId="77777777" w:rsidR="00AF4BB3" w:rsidRDefault="00ED1D75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</w:pPr>
      <w:r>
        <w:rPr>
          <w:rFonts w:eastAsia="Times New Roman" w:cs="Calibri"/>
          <w:sz w:val="20"/>
          <w:szCs w:val="20"/>
          <w:lang w:eastAsia="cs-CZ"/>
        </w:rPr>
        <w:tab/>
        <w:t xml:space="preserve">V Praze dne </w:t>
      </w:r>
      <w:r>
        <w:rPr>
          <w:rFonts w:eastAsia="Times New Roman" w:cs="Calibri"/>
          <w:sz w:val="20"/>
          <w:szCs w:val="20"/>
          <w:lang w:eastAsia="cs-CZ"/>
        </w:rPr>
        <w:tab/>
        <w:t xml:space="preserve">V Praze dne </w:t>
      </w:r>
    </w:p>
    <w:p w14:paraId="79D22E41" w14:textId="77777777" w:rsidR="00AF4BB3" w:rsidRDefault="00AF4BB3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eastAsia="Times New Roman" w:cs="Calibri"/>
          <w:sz w:val="20"/>
          <w:szCs w:val="20"/>
          <w:lang w:eastAsia="cs-CZ"/>
        </w:rPr>
      </w:pPr>
    </w:p>
    <w:p w14:paraId="79D22E42" w14:textId="77777777" w:rsidR="00AF4BB3" w:rsidRDefault="00AF4BB3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eastAsia="Times New Roman" w:cs="Calibri"/>
          <w:sz w:val="20"/>
          <w:szCs w:val="20"/>
          <w:lang w:eastAsia="cs-CZ"/>
        </w:rPr>
      </w:pPr>
    </w:p>
    <w:p w14:paraId="79D22E43" w14:textId="77777777" w:rsidR="00AF4BB3" w:rsidRDefault="00AF4BB3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eastAsia="Times New Roman" w:cs="Calibri"/>
          <w:sz w:val="20"/>
          <w:szCs w:val="20"/>
          <w:lang w:eastAsia="cs-CZ"/>
        </w:rPr>
      </w:pPr>
    </w:p>
    <w:p w14:paraId="79D22E44" w14:textId="77777777" w:rsidR="00AF4BB3" w:rsidRDefault="00ED1D75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0"/>
      </w:pP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cs="Calibri"/>
          <w:sz w:val="20"/>
          <w:szCs w:val="20"/>
        </w:rPr>
        <w:t>______________________________</w:t>
      </w: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cs="Calibri"/>
          <w:sz w:val="20"/>
          <w:szCs w:val="20"/>
        </w:rPr>
        <w:t>______________________________</w:t>
      </w:r>
    </w:p>
    <w:p w14:paraId="79D22E45" w14:textId="10F6EBBA" w:rsidR="00AF4BB3" w:rsidRDefault="00ED1D75">
      <w:pPr>
        <w:pStyle w:val="Standard"/>
        <w:tabs>
          <w:tab w:val="center" w:pos="2268"/>
          <w:tab w:val="center" w:pos="6804"/>
        </w:tabs>
        <w:spacing w:after="120" w:line="240" w:lineRule="atLeast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ab/>
      </w:r>
      <w:r w:rsidR="00C17E2B">
        <w:rPr>
          <w:rFonts w:eastAsia="Times New Roman" w:cs="Calibri"/>
          <w:sz w:val="20"/>
          <w:szCs w:val="20"/>
          <w:lang w:eastAsia="cs-CZ"/>
        </w:rPr>
        <w:t>Mgr. Matouš Hájek</w:t>
      </w:r>
      <w:r>
        <w:rPr>
          <w:rFonts w:eastAsia="Times New Roman" w:cs="Calibri"/>
          <w:sz w:val="20"/>
          <w:szCs w:val="20"/>
          <w:lang w:eastAsia="cs-CZ"/>
        </w:rPr>
        <w:tab/>
        <w:t>Ing. Eva Ruferová</w:t>
      </w:r>
      <w:r>
        <w:rPr>
          <w:rFonts w:eastAsia="Times New Roman" w:cs="Calibri"/>
          <w:sz w:val="20"/>
          <w:szCs w:val="20"/>
          <w:lang w:eastAsia="cs-CZ"/>
        </w:rPr>
        <w:tab/>
      </w:r>
    </w:p>
    <w:p w14:paraId="79D22E46" w14:textId="77777777" w:rsidR="00AF4BB3" w:rsidRDefault="00ED1D75">
      <w:pPr>
        <w:pStyle w:val="Standard"/>
        <w:tabs>
          <w:tab w:val="center" w:pos="2268"/>
          <w:tab w:val="center" w:pos="6804"/>
        </w:tabs>
        <w:spacing w:after="120" w:line="240" w:lineRule="atLeast"/>
      </w:pPr>
      <w:r>
        <w:rPr>
          <w:rFonts w:eastAsia="Times New Roman" w:cs="Calibri"/>
          <w:sz w:val="20"/>
          <w:szCs w:val="20"/>
          <w:lang w:eastAsia="cs-CZ"/>
        </w:rPr>
        <w:tab/>
        <w:t>HT International s.r.o.</w:t>
      </w:r>
      <w:r>
        <w:rPr>
          <w:rFonts w:eastAsia="Times New Roman" w:cs="Calibri"/>
          <w:sz w:val="20"/>
          <w:szCs w:val="20"/>
          <w:lang w:eastAsia="cs-CZ"/>
        </w:rPr>
        <w:tab/>
        <w:t>Národní muzeum</w:t>
      </w:r>
    </w:p>
    <w:p w14:paraId="79D22E47" w14:textId="77777777" w:rsidR="00AF4BB3" w:rsidRDefault="00AF4BB3">
      <w:pPr>
        <w:pStyle w:val="Standard"/>
        <w:tabs>
          <w:tab w:val="center" w:pos="2268"/>
          <w:tab w:val="center" w:pos="6804"/>
        </w:tabs>
        <w:spacing w:after="120" w:line="240" w:lineRule="atLeast"/>
      </w:pPr>
    </w:p>
    <w:sectPr w:rsidR="00AF4BB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F5C4C" w14:textId="77777777" w:rsidR="00ED1D75" w:rsidRDefault="00ED1D75">
      <w:r>
        <w:separator/>
      </w:r>
    </w:p>
  </w:endnote>
  <w:endnote w:type="continuationSeparator" w:id="0">
    <w:p w14:paraId="5AEE120F" w14:textId="77777777" w:rsidR="00ED1D75" w:rsidRDefault="00ED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2E24" w14:textId="77777777" w:rsidR="00FC0A1E" w:rsidRDefault="00ED1D75">
    <w:pPr>
      <w:pStyle w:val="Zpat"/>
    </w:pPr>
    <w:r>
      <w:rPr>
        <w:color w:val="5B9BD5"/>
      </w:rPr>
      <w:t xml:space="preserve"> </w:t>
    </w:r>
    <w:r>
      <w:rPr>
        <w:color w:val="5B9BD5"/>
      </w:rPr>
      <w:tab/>
    </w:r>
    <w:r>
      <w:rPr>
        <w:color w:val="5B9BD5"/>
      </w:rPr>
      <w:tab/>
    </w:r>
    <w:r>
      <w:rPr>
        <w:rFonts w:ascii="Calibri Light" w:eastAsia="Times New Roman" w:hAnsi="Calibri Light"/>
        <w:color w:val="5B9BD5"/>
        <w:sz w:val="20"/>
        <w:szCs w:val="20"/>
      </w:rPr>
      <w:fldChar w:fldCharType="begin"/>
    </w:r>
    <w:r>
      <w:rPr>
        <w:rFonts w:ascii="Calibri Light" w:eastAsia="Times New Roman" w:hAnsi="Calibri Light"/>
        <w:color w:val="5B9BD5"/>
        <w:sz w:val="20"/>
        <w:szCs w:val="20"/>
      </w:rPr>
      <w:instrText xml:space="preserve"> PAGE </w:instrText>
    </w:r>
    <w:r>
      <w:rPr>
        <w:rFonts w:ascii="Calibri Light" w:eastAsia="Times New Roman" w:hAnsi="Calibri Light"/>
        <w:color w:val="5B9BD5"/>
        <w:sz w:val="20"/>
        <w:szCs w:val="20"/>
      </w:rPr>
      <w:fldChar w:fldCharType="separate"/>
    </w:r>
    <w:r>
      <w:rPr>
        <w:rFonts w:ascii="Calibri Light" w:eastAsia="Times New Roman" w:hAnsi="Calibri Light"/>
        <w:color w:val="5B9BD5"/>
        <w:sz w:val="20"/>
        <w:szCs w:val="20"/>
      </w:rPr>
      <w:t>1</w:t>
    </w:r>
    <w:r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53B19" w14:textId="77777777" w:rsidR="00ED1D75" w:rsidRDefault="00ED1D75">
      <w:r>
        <w:rPr>
          <w:color w:val="000000"/>
        </w:rPr>
        <w:separator/>
      </w:r>
    </w:p>
  </w:footnote>
  <w:footnote w:type="continuationSeparator" w:id="0">
    <w:p w14:paraId="745CE904" w14:textId="77777777" w:rsidR="00ED1D75" w:rsidRDefault="00ED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0AD3"/>
    <w:multiLevelType w:val="multilevel"/>
    <w:tmpl w:val="F2483E34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C9E4B47"/>
    <w:multiLevelType w:val="multilevel"/>
    <w:tmpl w:val="73B8CAF4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E477449"/>
    <w:multiLevelType w:val="multilevel"/>
    <w:tmpl w:val="A5C0257A"/>
    <w:styleLink w:val="WWNum8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F3F2163"/>
    <w:multiLevelType w:val="multilevel"/>
    <w:tmpl w:val="0C440D9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004190C"/>
    <w:multiLevelType w:val="multilevel"/>
    <w:tmpl w:val="223CCB06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1592F77"/>
    <w:multiLevelType w:val="multilevel"/>
    <w:tmpl w:val="4106CE0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37C2E07"/>
    <w:multiLevelType w:val="multilevel"/>
    <w:tmpl w:val="128855B6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3D516C4"/>
    <w:multiLevelType w:val="multilevel"/>
    <w:tmpl w:val="454CCEFE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B4A1F87"/>
    <w:multiLevelType w:val="multilevel"/>
    <w:tmpl w:val="7AEAD138"/>
    <w:styleLink w:val="WWNum21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3CE3FD4"/>
    <w:multiLevelType w:val="multilevel"/>
    <w:tmpl w:val="E91423A0"/>
    <w:styleLink w:val="WWNum18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7D67FC5"/>
    <w:multiLevelType w:val="multilevel"/>
    <w:tmpl w:val="E95AD9C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1DC737E"/>
    <w:multiLevelType w:val="multilevel"/>
    <w:tmpl w:val="05BC580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9842B25"/>
    <w:multiLevelType w:val="multilevel"/>
    <w:tmpl w:val="CF0A585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BC40E7F"/>
    <w:multiLevelType w:val="multilevel"/>
    <w:tmpl w:val="C26C4C7C"/>
    <w:styleLink w:val="WWNum14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41F1793"/>
    <w:multiLevelType w:val="multilevel"/>
    <w:tmpl w:val="1EFAAF0C"/>
    <w:styleLink w:val="WWNum2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45202034"/>
    <w:multiLevelType w:val="multilevel"/>
    <w:tmpl w:val="5C000A5E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45980A33"/>
    <w:multiLevelType w:val="multilevel"/>
    <w:tmpl w:val="F7FAE148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62829F5"/>
    <w:multiLevelType w:val="multilevel"/>
    <w:tmpl w:val="C4E8AD1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4CD7245C"/>
    <w:multiLevelType w:val="multilevel"/>
    <w:tmpl w:val="4920CF7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4EE16231"/>
    <w:multiLevelType w:val="multilevel"/>
    <w:tmpl w:val="9C004FD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4E06AB0"/>
    <w:multiLevelType w:val="multilevel"/>
    <w:tmpl w:val="482E603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C0D7631"/>
    <w:multiLevelType w:val="multilevel"/>
    <w:tmpl w:val="31A046A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0524368"/>
    <w:multiLevelType w:val="multilevel"/>
    <w:tmpl w:val="808CF2CC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58C42A3"/>
    <w:multiLevelType w:val="multilevel"/>
    <w:tmpl w:val="478C273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AC52D9B"/>
    <w:multiLevelType w:val="multilevel"/>
    <w:tmpl w:val="782CB20C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1"/>
  </w:num>
  <w:num w:numId="5">
    <w:abstractNumId w:val="23"/>
  </w:num>
  <w:num w:numId="6">
    <w:abstractNumId w:val="10"/>
  </w:num>
  <w:num w:numId="7">
    <w:abstractNumId w:val="20"/>
  </w:num>
  <w:num w:numId="8">
    <w:abstractNumId w:val="2"/>
  </w:num>
  <w:num w:numId="9">
    <w:abstractNumId w:val="5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13"/>
  </w:num>
  <w:num w:numId="15">
    <w:abstractNumId w:val="17"/>
  </w:num>
  <w:num w:numId="16">
    <w:abstractNumId w:val="7"/>
  </w:num>
  <w:num w:numId="17">
    <w:abstractNumId w:val="16"/>
  </w:num>
  <w:num w:numId="18">
    <w:abstractNumId w:val="9"/>
  </w:num>
  <w:num w:numId="19">
    <w:abstractNumId w:val="0"/>
  </w:num>
  <w:num w:numId="20">
    <w:abstractNumId w:val="22"/>
  </w:num>
  <w:num w:numId="21">
    <w:abstractNumId w:val="8"/>
  </w:num>
  <w:num w:numId="22">
    <w:abstractNumId w:val="24"/>
  </w:num>
  <w:num w:numId="23">
    <w:abstractNumId w:val="4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4BB3"/>
    <w:rsid w:val="00022C24"/>
    <w:rsid w:val="007A2DF9"/>
    <w:rsid w:val="00A56B96"/>
    <w:rsid w:val="00AF4BB3"/>
    <w:rsid w:val="00C17E2B"/>
    <w:rsid w:val="00E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2E1C"/>
  <w15:docId w15:val="{57C8D422-08AB-437C-986D-09759606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kladntextodsazen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ZhlavChar">
    <w:name w:val="Záhlaví Char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rPr>
      <w:rFonts w:ascii="Calibri" w:eastAsia="Calibri" w:hAnsi="Calibri"/>
      <w:sz w:val="22"/>
      <w:szCs w:val="22"/>
      <w:lang w:eastAsia="en-US"/>
    </w:rPr>
  </w:style>
  <w:style w:type="character" w:customStyle="1" w:styleId="Zkladntextodsazen3Char">
    <w:name w:val="Základní text odsazený 3 Char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rPr>
      <w:rFonts w:ascii="Calibri" w:eastAsia="Calibri" w:hAnsi="Calibri"/>
      <w:b/>
      <w:bCs/>
      <w:lang w:eastAsia="en-US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alibri"/>
    </w:rPr>
  </w:style>
  <w:style w:type="paragraph" w:customStyle="1" w:styleId="Identifikace">
    <w:name w:val="Identifikace"/>
    <w:basedOn w:val="Normln"/>
    <w:pPr>
      <w:widowControl/>
      <w:suppressAutoHyphens w:val="0"/>
      <w:jc w:val="both"/>
      <w:textAlignment w:val="auto"/>
    </w:pPr>
    <w:rPr>
      <w:rFonts w:ascii="Arial" w:hAnsi="Arial"/>
      <w:kern w:val="0"/>
      <w:sz w:val="22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kancelar</dc:creator>
  <cp:lastModifiedBy>Dryje Dagmar</cp:lastModifiedBy>
  <cp:revision>3</cp:revision>
  <cp:lastPrinted>2021-05-11T08:07:00Z</cp:lastPrinted>
  <dcterms:created xsi:type="dcterms:W3CDTF">2021-05-11T08:09:00Z</dcterms:created>
  <dcterms:modified xsi:type="dcterms:W3CDTF">2021-05-11T08:11:00Z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Apetit Praha v.o.s.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