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2F4F" w14:textId="77777777"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bookmarkStart w:id="0" w:name="_GoBack"/>
      <w:bookmarkEnd w:id="0"/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13033E">
        <w:rPr>
          <w:b/>
          <w:caps/>
          <w:spacing w:val="36"/>
          <w:szCs w:val="24"/>
        </w:rPr>
        <w:t xml:space="preserve">školení </w:t>
      </w:r>
    </w:p>
    <w:p w14:paraId="793B01F4" w14:textId="77777777" w:rsidR="00F12AC1" w:rsidRDefault="00F12AC1" w:rsidP="0013033E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szCs w:val="24"/>
        </w:rPr>
      </w:pPr>
      <w:r w:rsidRPr="00F12AC1">
        <w:rPr>
          <w:b/>
          <w:caps/>
          <w:spacing w:val="36"/>
          <w:szCs w:val="24"/>
        </w:rPr>
        <w:t>„</w:t>
      </w:r>
      <w:r w:rsidRPr="00F12AC1">
        <w:rPr>
          <w:rFonts w:cs="Arial"/>
          <w:b/>
          <w:szCs w:val="24"/>
        </w:rPr>
        <w:t xml:space="preserve">II. KONFERENCE K HISTORII SOCIÁLNÍ PRÁCE V ČR A SR </w:t>
      </w:r>
    </w:p>
    <w:p w14:paraId="184B8CBE" w14:textId="67C6D63D" w:rsidR="0040380E" w:rsidRPr="00F12AC1" w:rsidRDefault="00F12AC1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F12AC1">
        <w:rPr>
          <w:rFonts w:cs="Arial"/>
          <w:b/>
          <w:szCs w:val="24"/>
        </w:rPr>
        <w:t>– 21. 3. 2017 PRAHA“</w:t>
      </w:r>
    </w:p>
    <w:p w14:paraId="43B8E511" w14:textId="77777777" w:rsidR="00E5568B" w:rsidRPr="00F12AC1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14:paraId="16D219D2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169BE9E7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7FCEEAD2" w14:textId="526155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65D94966" w14:textId="507F19C6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71C5E81F" w14:textId="022649F5" w:rsidR="005A4AB5" w:rsidRPr="00C12979" w:rsidRDefault="00994791" w:rsidP="005A4AB5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D14BFB">
        <w:rPr>
          <w:rFonts w:cs="Arial"/>
          <w:sz w:val="20"/>
        </w:rPr>
        <w:t>XXXXXXXXXX</w:t>
      </w:r>
    </w:p>
    <w:p w14:paraId="45742138" w14:textId="2FEAA6A8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6AA637E1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7678467A" w14:textId="29F1B30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2255FEAB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991393A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F1A6429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7669023B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634D3D23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1B0B98E9" w14:textId="77777777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Moudrý překlad,s.r.o. </w:t>
      </w:r>
    </w:p>
    <w:p w14:paraId="26F5DCF1" w14:textId="3E07BFF9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Václavské náměstí 1/846, 110 00 Praha 1</w:t>
      </w:r>
      <w:r w:rsidRPr="00503EF6">
        <w:rPr>
          <w:rFonts w:ascii="Arial" w:hAnsi="Arial" w:cs="Arial"/>
          <w:sz w:val="20"/>
          <w:szCs w:val="20"/>
        </w:rPr>
        <w:t xml:space="preserve"> </w:t>
      </w:r>
    </w:p>
    <w:p w14:paraId="4129C92A" w14:textId="77777777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27156052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7B173243" w14:textId="77777777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CZ27156052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43F024A8" w14:textId="77777777" w:rsidR="005A4AB5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>
        <w:rPr>
          <w:rFonts w:ascii="Arial" w:hAnsi="Arial" w:cs="Arial"/>
          <w:sz w:val="20"/>
          <w:szCs w:val="20"/>
        </w:rPr>
        <w:t>u měst. Soudu v Praze v odd. C, vložka               č. 101503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6EBB25A8" w14:textId="7D4F83A0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ank. spojení: </w:t>
      </w:r>
      <w:r>
        <w:rPr>
          <w:rFonts w:ascii="Arial" w:hAnsi="Arial" w:cs="Arial"/>
          <w:sz w:val="20"/>
          <w:szCs w:val="20"/>
        </w:rPr>
        <w:tab/>
        <w:t>Československá obchodní banka, a.s., Anglická 140/20, 120 00 Praha 2</w:t>
      </w:r>
    </w:p>
    <w:p w14:paraId="1CA09C10" w14:textId="77777777" w:rsidR="005A4AB5" w:rsidRPr="00503EF6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254186976/0300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14:paraId="588FD95E" w14:textId="4FBDC3A7" w:rsidR="005A4AB5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Michalem Moudrým, jednatelem</w:t>
      </w:r>
    </w:p>
    <w:p w14:paraId="2192D6E6" w14:textId="77777777" w:rsidR="005A4AB5" w:rsidRPr="007B50F5" w:rsidRDefault="005A4AB5" w:rsidP="005A4AB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>2dqntve</w:t>
      </w:r>
      <w:r w:rsidRPr="007B50F5">
        <w:rPr>
          <w:rFonts w:ascii="Arial" w:hAnsi="Arial" w:cs="Arial"/>
          <w:sz w:val="20"/>
          <w:szCs w:val="20"/>
        </w:rPr>
        <w:t xml:space="preserve"> </w:t>
      </w:r>
    </w:p>
    <w:p w14:paraId="31782D9D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03CA74" w14:textId="38AF7170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148B2B9C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516D94F" w14:textId="5F4CEF66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66A73C07" w14:textId="2D6476DB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9F1805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9D7ADF4" w14:textId="3AAF449E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15F50">
        <w:rPr>
          <w:rFonts w:cs="Arial"/>
          <w:sz w:val="20"/>
        </w:rPr>
        <w:t>školení</w:t>
      </w:r>
      <w:r w:rsidR="000E4010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04061A">
        <w:rPr>
          <w:rFonts w:cs="Arial"/>
          <w:sz w:val="20"/>
        </w:rPr>
        <w:t>1746 odst. 2</w:t>
      </w:r>
      <w:r w:rsidR="0004061A" w:rsidRPr="00503EF6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>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02393BFE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274DA2B0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63B4B754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180A6FF3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75066429" w14:textId="1FF513EF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734F2F9A" w14:textId="3844F4A4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9017146" w14:textId="484F1B0B" w:rsidR="00E5568B" w:rsidRPr="00BA1BF3" w:rsidRDefault="00E5568B" w:rsidP="00BA1BF3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BA1BF3" w:rsidRPr="00BA1BF3">
        <w:rPr>
          <w:rFonts w:cs="Arial"/>
          <w:b/>
          <w:i/>
          <w:sz w:val="20"/>
          <w:lang w:eastAsia="en-US"/>
        </w:rPr>
        <w:t xml:space="preserve">DNS </w:t>
      </w:r>
      <w:r w:rsidR="00E620A5" w:rsidRPr="00BA1BF3">
        <w:rPr>
          <w:rFonts w:cs="Arial"/>
          <w:b/>
          <w:i/>
          <w:sz w:val="20"/>
          <w:lang w:eastAsia="en-US"/>
        </w:rPr>
        <w:t>0</w:t>
      </w:r>
      <w:r w:rsidR="00E620A5">
        <w:rPr>
          <w:rFonts w:cs="Arial"/>
          <w:b/>
          <w:i/>
          <w:sz w:val="20"/>
          <w:lang w:eastAsia="en-US"/>
        </w:rPr>
        <w:t>3</w:t>
      </w:r>
      <w:r w:rsidR="00E620A5" w:rsidRPr="00BA1BF3">
        <w:rPr>
          <w:rFonts w:cs="Arial"/>
          <w:b/>
          <w:i/>
          <w:sz w:val="20"/>
          <w:lang w:eastAsia="en-US"/>
        </w:rPr>
        <w:t xml:space="preserve"> </w:t>
      </w:r>
      <w:r w:rsidR="00BA1BF3" w:rsidRPr="00BA1BF3">
        <w:rPr>
          <w:rFonts w:cs="Arial"/>
          <w:b/>
          <w:i/>
          <w:sz w:val="20"/>
          <w:lang w:eastAsia="en-US"/>
        </w:rPr>
        <w:t>(2016/</w:t>
      </w:r>
      <w:r w:rsidR="00E620A5" w:rsidRPr="00BA1BF3">
        <w:rPr>
          <w:rFonts w:cs="Arial"/>
          <w:b/>
          <w:i/>
          <w:sz w:val="20"/>
          <w:lang w:eastAsia="en-US"/>
        </w:rPr>
        <w:t>0</w:t>
      </w:r>
      <w:r w:rsidR="00E620A5">
        <w:rPr>
          <w:rFonts w:cs="Arial"/>
          <w:b/>
          <w:i/>
          <w:sz w:val="20"/>
          <w:lang w:eastAsia="en-US"/>
        </w:rPr>
        <w:t>3</w:t>
      </w:r>
      <w:r w:rsidR="00BA1BF3" w:rsidRPr="00BA1BF3">
        <w:rPr>
          <w:rFonts w:cs="Arial"/>
          <w:b/>
          <w:i/>
          <w:sz w:val="20"/>
          <w:lang w:eastAsia="en-US"/>
        </w:rPr>
        <w:t xml:space="preserve">) - </w:t>
      </w:r>
      <w:r w:rsidR="00F12AC1" w:rsidRPr="00F12AC1">
        <w:rPr>
          <w:b/>
          <w:i/>
          <w:sz w:val="20"/>
        </w:rPr>
        <w:t>II. Konference k historii sociální práce v ČR a SR</w:t>
      </w:r>
      <w:r w:rsidR="00F12AC1" w:rsidRPr="00F12AC1">
        <w:rPr>
          <w:rFonts w:cs="Arial"/>
          <w:b/>
          <w:i/>
          <w:sz w:val="20"/>
          <w:lang w:eastAsia="en-US"/>
        </w:rPr>
        <w:t xml:space="preserve"> </w:t>
      </w:r>
      <w:r w:rsidR="00BA1BF3" w:rsidRPr="00BA1BF3">
        <w:rPr>
          <w:rFonts w:cs="Arial"/>
          <w:b/>
          <w:i/>
          <w:sz w:val="20"/>
          <w:lang w:eastAsia="en-US"/>
        </w:rPr>
        <w:t>- 2</w:t>
      </w:r>
      <w:r w:rsidR="00F12AC1">
        <w:rPr>
          <w:rFonts w:cs="Arial"/>
          <w:b/>
          <w:i/>
          <w:sz w:val="20"/>
          <w:lang w:eastAsia="en-US"/>
        </w:rPr>
        <w:t>1. 3. 2017 Praha</w:t>
      </w:r>
      <w:r w:rsidR="00850A15" w:rsidRPr="00BA1BF3">
        <w:rPr>
          <w:rFonts w:cs="Arial"/>
          <w:b/>
          <w:i/>
          <w:sz w:val="20"/>
          <w:lang w:eastAsia="en-US"/>
        </w:rPr>
        <w:t>“</w:t>
      </w:r>
      <w:r w:rsidRPr="00BA1BF3">
        <w:rPr>
          <w:rFonts w:cs="Arial"/>
          <w:sz w:val="20"/>
          <w:lang w:eastAsia="en-US"/>
        </w:rPr>
        <w:t xml:space="preserve"> </w:t>
      </w:r>
      <w:r w:rsidR="001C0773" w:rsidRPr="00BA1BF3">
        <w:rPr>
          <w:rFonts w:cs="Arial"/>
          <w:sz w:val="20"/>
          <w:lang w:eastAsia="en-US"/>
        </w:rPr>
        <w:t xml:space="preserve">(dále jen „Veřejná zakázka“)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 souladu se zadávacími podmínkami veřejné zakázky, nabídku ze dne </w:t>
      </w:r>
      <w:r w:rsidR="005A4AB5">
        <w:rPr>
          <w:rFonts w:cs="Arial"/>
          <w:sz w:val="20"/>
          <w:lang w:eastAsia="en-US"/>
        </w:rPr>
        <w:t>9.1.2017</w:t>
      </w:r>
      <w:r w:rsidR="007B50F5" w:rsidRPr="00BA1BF3">
        <w:rPr>
          <w:rFonts w:cs="Arial"/>
          <w:sz w:val="20"/>
          <w:lang w:eastAsia="en-US"/>
        </w:rPr>
        <w:t xml:space="preserve"> </w:t>
      </w:r>
      <w:r w:rsidRPr="00BA1BF3">
        <w:rPr>
          <w:rFonts w:cs="Arial"/>
          <w:sz w:val="20"/>
          <w:lang w:eastAsia="en-US"/>
        </w:rPr>
        <w:t>(dále jen „Nabídka“) a tato byla pro plnění veřejné zakázky vybrána jako nejvhodnější. V návaznosti na tuto skutečnost se smluvní strany dohodly na uzavření této Smlouvy.</w:t>
      </w:r>
    </w:p>
    <w:p w14:paraId="63E0B7F5" w14:textId="287B6CDB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7C527F42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1BEFCCED" w14:textId="088CD5E4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59955260" w14:textId="54C9A16B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2B1DB40B" w14:textId="011BE780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E15F50">
        <w:rPr>
          <w:rFonts w:cs="Arial"/>
          <w:iCs/>
          <w:sz w:val="20"/>
          <w:szCs w:val="20"/>
        </w:rPr>
        <w:t xml:space="preserve">školení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15F50">
        <w:rPr>
          <w:rFonts w:cs="Arial"/>
          <w:iCs/>
          <w:sz w:val="20"/>
          <w:szCs w:val="20"/>
        </w:rPr>
        <w:t>Školení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656F0C6C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3" w:name="_Ref359941196"/>
    </w:p>
    <w:p w14:paraId="10379E2D" w14:textId="478664AD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2049BA8D" w14:textId="6748CE58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35B88224" w14:textId="2B6D632D" w:rsidR="002447B7" w:rsidRPr="00D2010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</w:t>
      </w:r>
      <w:r w:rsidRPr="004369CA">
        <w:rPr>
          <w:rFonts w:cs="Arial"/>
          <w:sz w:val="20"/>
          <w:szCs w:val="20"/>
        </w:rPr>
        <w:t xml:space="preserve">je </w:t>
      </w:r>
      <w:r w:rsidR="00D14BFB">
        <w:rPr>
          <w:rFonts w:cs="Arial"/>
          <w:sz w:val="20"/>
          <w:szCs w:val="20"/>
        </w:rPr>
        <w:t>XXXXXXXXXXXXXX</w:t>
      </w:r>
      <w:r w:rsidR="000E4010" w:rsidRPr="004369CA">
        <w:rPr>
          <w:rFonts w:cs="Arial"/>
          <w:sz w:val="20"/>
          <w:szCs w:val="20"/>
        </w:rPr>
        <w:t>.</w:t>
      </w:r>
      <w:r w:rsidR="00D20107" w:rsidRPr="00D20107">
        <w:rPr>
          <w:rFonts w:cs="Arial"/>
          <w:sz w:val="20"/>
          <w:szCs w:val="20"/>
        </w:rPr>
        <w:t xml:space="preserve"> Kontaktní osoba, která se bude pohybovat na místě ve dnech pořádání </w:t>
      </w:r>
      <w:r w:rsidR="00D20107">
        <w:rPr>
          <w:rFonts w:cs="Arial"/>
          <w:sz w:val="20"/>
          <w:szCs w:val="20"/>
        </w:rPr>
        <w:t>školení bude D</w:t>
      </w:r>
      <w:r w:rsidR="00D20107" w:rsidRPr="00D20107">
        <w:rPr>
          <w:rFonts w:cs="Arial"/>
          <w:sz w:val="20"/>
          <w:szCs w:val="20"/>
        </w:rPr>
        <w:t xml:space="preserve">odavateli sdělena 14 dní před pořádáním </w:t>
      </w:r>
      <w:r w:rsidR="00D20107">
        <w:rPr>
          <w:rFonts w:cs="Arial"/>
          <w:sz w:val="20"/>
          <w:szCs w:val="20"/>
        </w:rPr>
        <w:t>školení</w:t>
      </w:r>
      <w:r w:rsidR="00D20107" w:rsidRPr="00D20107">
        <w:rPr>
          <w:rFonts w:cs="Arial"/>
          <w:sz w:val="20"/>
          <w:szCs w:val="20"/>
        </w:rPr>
        <w:t xml:space="preserve"> elektronickou poštou</w:t>
      </w:r>
      <w:r w:rsidR="00D20107">
        <w:rPr>
          <w:rFonts w:cs="Arial"/>
          <w:sz w:val="20"/>
          <w:szCs w:val="20"/>
        </w:rPr>
        <w:t>.</w:t>
      </w:r>
    </w:p>
    <w:p w14:paraId="02C37AC6" w14:textId="40258896"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5A4AB5">
        <w:rPr>
          <w:rFonts w:cs="Arial"/>
          <w:sz w:val="20"/>
          <w:szCs w:val="20"/>
        </w:rPr>
        <w:t>Michal Moudrý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 </w:t>
      </w:r>
      <w:r w:rsidR="005A4AB5">
        <w:rPr>
          <w:rFonts w:cs="Arial"/>
          <w:sz w:val="20"/>
          <w:szCs w:val="20"/>
        </w:rPr>
        <w:t>michal@moudrypreklad.cz</w:t>
      </w:r>
      <w:r w:rsidRPr="00A428E7">
        <w:rPr>
          <w:rFonts w:cs="Arial"/>
          <w:sz w:val="20"/>
          <w:szCs w:val="20"/>
        </w:rPr>
        <w:t>.</w:t>
      </w:r>
    </w:p>
    <w:p w14:paraId="57091A7D" w14:textId="77777777" w:rsidR="000C3D67" w:rsidRDefault="000C3D67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470FCC7C" w14:textId="7D7AF00E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109BC0EF" w14:textId="66AA1789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75FCA2DD" w14:textId="2F7107FB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233D172C" w14:textId="5A4679D9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46EB5A81" w14:textId="77777777"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1D629F48" w14:textId="57EC8F23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6B85566F" w14:textId="4552450E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575FC9D6" w14:textId="48F0A9A0" w:rsidR="00732EAA" w:rsidRPr="00221EF0" w:rsidRDefault="00DF50B1" w:rsidP="00E24E2E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0E4010">
        <w:rPr>
          <w:rFonts w:cs="Arial"/>
          <w:sz w:val="20"/>
          <w:szCs w:val="20"/>
        </w:rPr>
        <w:t xml:space="preserve">Místem plnění </w:t>
      </w:r>
      <w:r w:rsidR="00C86C2F" w:rsidRPr="000E4010">
        <w:rPr>
          <w:rFonts w:cs="Arial"/>
          <w:sz w:val="20"/>
          <w:szCs w:val="20"/>
        </w:rPr>
        <w:t xml:space="preserve">je </w:t>
      </w:r>
      <w:r w:rsidR="00C054F4">
        <w:rPr>
          <w:rFonts w:cs="Arial"/>
          <w:sz w:val="20"/>
          <w:szCs w:val="20"/>
        </w:rPr>
        <w:t>IRIS HOTEL EDEN **** Vladivostocká 1539/2, 100 00 Praha 10</w:t>
      </w:r>
      <w:r w:rsidR="00221EF0">
        <w:rPr>
          <w:rFonts w:cs="Arial"/>
          <w:sz w:val="20"/>
          <w:szCs w:val="20"/>
        </w:rPr>
        <w:t xml:space="preserve">. </w:t>
      </w:r>
      <w:r w:rsidR="009335E4">
        <w:rPr>
          <w:rFonts w:cs="Arial"/>
          <w:sz w:val="20"/>
          <w:szCs w:val="20"/>
        </w:rPr>
        <w:t>L</w:t>
      </w:r>
      <w:r w:rsidR="009335E4" w:rsidRPr="009335E4">
        <w:rPr>
          <w:rFonts w:cs="Arial"/>
          <w:sz w:val="20"/>
          <w:szCs w:val="20"/>
        </w:rPr>
        <w:t xml:space="preserve">okalita musí být dosažitelná městskou hromadnou dopravou dostupnou z Hlavního nádraží ČD a Autobusového nádraží </w:t>
      </w:r>
      <w:r w:rsidR="00192BF7">
        <w:rPr>
          <w:rFonts w:cs="Arial"/>
          <w:sz w:val="20"/>
          <w:szCs w:val="20"/>
        </w:rPr>
        <w:t xml:space="preserve">Florenc </w:t>
      </w:r>
      <w:r w:rsidR="009335E4" w:rsidRPr="009335E4">
        <w:rPr>
          <w:rFonts w:cs="Arial"/>
          <w:sz w:val="20"/>
          <w:szCs w:val="20"/>
        </w:rPr>
        <w:t>do 20 minut, maximálně do 5 minut chůze od stanice MHD</w:t>
      </w:r>
      <w:r w:rsidR="006C02FB">
        <w:rPr>
          <w:rFonts w:cs="Arial"/>
          <w:sz w:val="20"/>
          <w:szCs w:val="20"/>
        </w:rPr>
        <w:t xml:space="preserve">. </w:t>
      </w:r>
    </w:p>
    <w:p w14:paraId="099DCA43" w14:textId="691B587E" w:rsidR="00A007C7" w:rsidRPr="00BB5A42" w:rsidRDefault="00891AD7" w:rsidP="00E24E2E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09935830"/>
      <w:r>
        <w:rPr>
          <w:rFonts w:cs="Arial"/>
          <w:sz w:val="20"/>
          <w:szCs w:val="20"/>
        </w:rPr>
        <w:t>Školení</w:t>
      </w:r>
      <w:r w:rsidR="00BB5A42">
        <w:rPr>
          <w:rFonts w:cs="Arial"/>
          <w:sz w:val="20"/>
          <w:szCs w:val="20"/>
        </w:rPr>
        <w:t xml:space="preserve"> bude </w:t>
      </w:r>
      <w:r w:rsidR="000C022F">
        <w:rPr>
          <w:rFonts w:cs="Arial"/>
          <w:sz w:val="20"/>
          <w:szCs w:val="20"/>
        </w:rPr>
        <w:t>jednodenní</w:t>
      </w:r>
      <w:r w:rsidR="00BB5A42">
        <w:rPr>
          <w:rFonts w:cs="Arial"/>
          <w:sz w:val="20"/>
          <w:szCs w:val="20"/>
        </w:rPr>
        <w:t xml:space="preserve"> a bude se konat v termínu </w:t>
      </w:r>
      <w:r w:rsidR="00E620A5">
        <w:rPr>
          <w:rFonts w:cs="Arial"/>
          <w:sz w:val="20"/>
          <w:szCs w:val="20"/>
        </w:rPr>
        <w:t>21.3.2017</w:t>
      </w:r>
      <w:r w:rsidR="000C022F" w:rsidRPr="000C022F">
        <w:rPr>
          <w:rFonts w:cs="Arial"/>
          <w:sz w:val="20"/>
          <w:szCs w:val="20"/>
        </w:rPr>
        <w:t xml:space="preserve"> od </w:t>
      </w:r>
      <w:r w:rsidR="00E620A5">
        <w:rPr>
          <w:rFonts w:cs="Arial"/>
          <w:sz w:val="20"/>
          <w:szCs w:val="20"/>
        </w:rPr>
        <w:t>08:00</w:t>
      </w:r>
      <w:r w:rsidR="000C022F" w:rsidRPr="000C022F">
        <w:rPr>
          <w:rFonts w:cs="Arial"/>
          <w:sz w:val="20"/>
          <w:szCs w:val="20"/>
        </w:rPr>
        <w:t xml:space="preserve"> do </w:t>
      </w:r>
      <w:r w:rsidR="00E620A5">
        <w:rPr>
          <w:rFonts w:cs="Arial"/>
          <w:sz w:val="20"/>
          <w:szCs w:val="20"/>
        </w:rPr>
        <w:t>18:00</w:t>
      </w:r>
      <w:r w:rsidR="000C022F">
        <w:rPr>
          <w:rFonts w:cs="Arial"/>
          <w:sz w:val="20"/>
          <w:szCs w:val="20"/>
        </w:rPr>
        <w:t xml:space="preserve"> hodin</w:t>
      </w:r>
      <w:r w:rsidR="00A007C7" w:rsidRPr="00A31E3B">
        <w:rPr>
          <w:rFonts w:cs="Arial"/>
          <w:sz w:val="20"/>
          <w:szCs w:val="20"/>
        </w:rPr>
        <w:t>.</w:t>
      </w:r>
    </w:p>
    <w:p w14:paraId="3E2EB7C7" w14:textId="77777777" w:rsidR="006A2366" w:rsidRPr="000C022F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sz w:val="20"/>
        </w:rPr>
      </w:pPr>
      <w:bookmarkStart w:id="6" w:name="_Ref359937099"/>
      <w:bookmarkEnd w:id="4"/>
      <w:bookmarkEnd w:id="5"/>
    </w:p>
    <w:p w14:paraId="2C774EB4" w14:textId="368CF5D9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14:paraId="78130CC1" w14:textId="1C1567BB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0DDD3F41" w14:textId="232A3B48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C054F4">
        <w:rPr>
          <w:rFonts w:cs="Arial"/>
          <w:sz w:val="20"/>
          <w:szCs w:val="20"/>
        </w:rPr>
        <w:t>68 000,-</w:t>
      </w:r>
      <w:r>
        <w:rPr>
          <w:rFonts w:cs="Arial"/>
          <w:sz w:val="20"/>
          <w:szCs w:val="20"/>
        </w:rPr>
        <w:t xml:space="preserve"> Kč bez DPH, výše </w:t>
      </w:r>
      <w:r w:rsidR="00C054F4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7A1781">
        <w:rPr>
          <w:rFonts w:cs="Arial"/>
          <w:sz w:val="20"/>
          <w:szCs w:val="20"/>
        </w:rPr>
        <w:t xml:space="preserve">2 543,40 </w:t>
      </w:r>
      <w:r>
        <w:rPr>
          <w:rFonts w:cs="Arial"/>
          <w:sz w:val="20"/>
          <w:szCs w:val="20"/>
        </w:rPr>
        <w:t>K</w:t>
      </w:r>
      <w:r w:rsidR="00C054F4">
        <w:rPr>
          <w:rFonts w:cs="Arial"/>
          <w:sz w:val="20"/>
          <w:szCs w:val="20"/>
        </w:rPr>
        <w:t>č,</w:t>
      </w:r>
      <w:r w:rsidR="00C054F4" w:rsidRPr="00C054F4">
        <w:rPr>
          <w:rFonts w:cs="Arial"/>
          <w:sz w:val="20"/>
          <w:szCs w:val="20"/>
        </w:rPr>
        <w:t xml:space="preserve"> </w:t>
      </w:r>
      <w:r w:rsidR="00C054F4">
        <w:rPr>
          <w:rFonts w:cs="Arial"/>
          <w:sz w:val="20"/>
          <w:szCs w:val="20"/>
        </w:rPr>
        <w:t xml:space="preserve">výše 21% DPH činí </w:t>
      </w:r>
      <w:r w:rsidR="007A1781">
        <w:rPr>
          <w:rFonts w:cs="Arial"/>
          <w:sz w:val="20"/>
          <w:szCs w:val="20"/>
        </w:rPr>
        <w:t xml:space="preserve">10 719,24 </w:t>
      </w:r>
      <w:r w:rsidR="00C054F4">
        <w:rPr>
          <w:rFonts w:cs="Arial"/>
          <w:sz w:val="20"/>
          <w:szCs w:val="20"/>
        </w:rPr>
        <w:t xml:space="preserve">Kč 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7A1781">
        <w:rPr>
          <w:rFonts w:cs="Arial"/>
          <w:sz w:val="20"/>
          <w:szCs w:val="20"/>
        </w:rPr>
        <w:t xml:space="preserve">81 262,64 </w:t>
      </w:r>
      <w:r>
        <w:rPr>
          <w:rFonts w:cs="Arial"/>
          <w:sz w:val="20"/>
          <w:szCs w:val="20"/>
        </w:rPr>
        <w:t>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14:paraId="65DD431A" w14:textId="7E095993" w:rsidR="00475F18" w:rsidRPr="004F7F9F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0C47AA">
        <w:rPr>
          <w:rFonts w:cs="Arial"/>
          <w:sz w:val="20"/>
          <w:szCs w:val="20"/>
        </w:rPr>
        <w:t>Školení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6C02FB" w:rsidRPr="00A31E3B">
        <w:rPr>
          <w:rFonts w:cs="Arial"/>
          <w:sz w:val="20"/>
          <w:szCs w:val="20"/>
        </w:rPr>
        <w:t xml:space="preserve">ukončil plnění. </w:t>
      </w:r>
    </w:p>
    <w:p w14:paraId="04D8373C" w14:textId="46BCDCD0" w:rsidR="00CE0309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14:paraId="52E755E3" w14:textId="29CDA7BC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14:paraId="0FD6C7ED" w14:textId="61531D2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pronájem </w:t>
      </w:r>
      <w:r w:rsidR="002B1CB8" w:rsidRPr="002B1CB8">
        <w:rPr>
          <w:rFonts w:cs="Arial"/>
          <w:sz w:val="20"/>
        </w:rPr>
        <w:t>dalších prostor</w:t>
      </w:r>
    </w:p>
    <w:p w14:paraId="3DC07623" w14:textId="21A3A541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pronájem </w:t>
      </w:r>
      <w:r w:rsidR="002B1CB8" w:rsidRPr="002B1CB8">
        <w:rPr>
          <w:rFonts w:cs="Arial"/>
          <w:sz w:val="20"/>
        </w:rPr>
        <w:t>techniky</w:t>
      </w:r>
    </w:p>
    <w:p w14:paraId="1B80E88B" w14:textId="22D85C21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B1CB8" w:rsidRPr="002B1CB8">
        <w:rPr>
          <w:rFonts w:cs="Arial"/>
          <w:sz w:val="20"/>
        </w:rPr>
        <w:t>pronájem prostor</w:t>
      </w:r>
    </w:p>
    <w:p w14:paraId="3B65EF71" w14:textId="1E076A8F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B1CB8" w:rsidRPr="002B1CB8">
        <w:rPr>
          <w:rFonts w:cs="Arial"/>
          <w:sz w:val="20"/>
        </w:rPr>
        <w:t>cofee break /1 osoba</w:t>
      </w:r>
    </w:p>
    <w:p w14:paraId="303CD894" w14:textId="0C64229D" w:rsidR="00DF50B1" w:rsidRPr="000E4010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12510">
        <w:rPr>
          <w:rFonts w:cs="Arial"/>
          <w:sz w:val="20"/>
        </w:rPr>
        <w:t xml:space="preserve">coffee break / </w:t>
      </w:r>
      <w:r w:rsidR="00820C39">
        <w:rPr>
          <w:rFonts w:cs="Arial"/>
          <w:sz w:val="20"/>
        </w:rPr>
        <w:t>130</w:t>
      </w:r>
      <w:r w:rsidR="00820C39" w:rsidRPr="002B1CB8">
        <w:rPr>
          <w:rFonts w:cs="Arial"/>
          <w:sz w:val="20"/>
        </w:rPr>
        <w:t xml:space="preserve"> </w:t>
      </w:r>
      <w:r w:rsidR="002B1CB8" w:rsidRPr="002B1CB8">
        <w:rPr>
          <w:rFonts w:cs="Arial"/>
          <w:sz w:val="20"/>
        </w:rPr>
        <w:t>osob</w:t>
      </w:r>
      <w:r w:rsidR="006C02FB">
        <w:rPr>
          <w:rFonts w:cs="Arial"/>
          <w:sz w:val="20"/>
        </w:rPr>
        <w:t xml:space="preserve">. </w:t>
      </w:r>
    </w:p>
    <w:p w14:paraId="294D8454" w14:textId="1D0D1345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Doba splatnosti </w:t>
      </w:r>
      <w:r w:rsidR="00475F18" w:rsidRPr="00503EF6">
        <w:rPr>
          <w:rFonts w:cs="Arial"/>
          <w:sz w:val="20"/>
          <w:szCs w:val="20"/>
        </w:rPr>
        <w:t>faktury</w:t>
      </w:r>
      <w:r w:rsidRPr="00503EF6">
        <w:rPr>
          <w:rFonts w:cs="Arial"/>
          <w:sz w:val="20"/>
          <w:szCs w:val="20"/>
        </w:rPr>
        <w:t xml:space="preserve"> je stanovena na 30 kalendářních dnů ode dne jeho doručení Objednateli. Faktura se pro účely této </w:t>
      </w:r>
      <w:r w:rsidR="009B7383" w:rsidRPr="00503EF6">
        <w:rPr>
          <w:rFonts w:cs="Arial"/>
          <w:sz w:val="20"/>
          <w:szCs w:val="20"/>
        </w:rPr>
        <w:t>Smlouvy</w:t>
      </w:r>
      <w:r w:rsidRPr="00503EF6">
        <w:rPr>
          <w:rFonts w:cs="Arial"/>
          <w:sz w:val="20"/>
          <w:szCs w:val="20"/>
        </w:rPr>
        <w:t xml:space="preserve"> považuje za </w:t>
      </w:r>
      <w:r w:rsidR="002A6CD2">
        <w:rPr>
          <w:rFonts w:cs="Arial"/>
          <w:sz w:val="20"/>
          <w:szCs w:val="20"/>
        </w:rPr>
        <w:t>zaplacenou</w:t>
      </w:r>
      <w:r w:rsidRPr="00503EF6">
        <w:rPr>
          <w:rFonts w:cs="Arial"/>
          <w:sz w:val="20"/>
          <w:szCs w:val="20"/>
        </w:rPr>
        <w:t xml:space="preserve"> okamžikem odepsání fakturované částky z účtu Objednatele ve prospěch účtu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Platby budou probíhat výhradně v Kč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rovněž veškeré uvedené cenové údaje budou v Kč.</w:t>
      </w:r>
    </w:p>
    <w:p w14:paraId="1DDA5256" w14:textId="663D9B7A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79C83351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3168F58D" w14:textId="408FB68D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22A0E8BB" w14:textId="1BB71479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lastRenderedPageBreak/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7A53245C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14:paraId="1D4B8DA6" w14:textId="29177F27"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14:paraId="7685D399" w14:textId="326DAD78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7BC8BB51" w14:textId="78057076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2088E1B2" w14:textId="7981DB7D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28C87333" w14:textId="3577AA3E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02E1F3C9" w14:textId="6A38E6C9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4D4230C3" w14:textId="4324DDF8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31356C01" w14:textId="3E22B41D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65C939CC" w14:textId="71012AA5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6F1A571C" w14:textId="150B4D4B" w:rsidR="000E4B1B" w:rsidRPr="00CF646E" w:rsidRDefault="00967958" w:rsidP="00CF646E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05EAAC38" w14:textId="77777777"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14:paraId="3D848C45" w14:textId="4AAB316C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>Článek 8</w:t>
      </w:r>
    </w:p>
    <w:bookmarkEnd w:id="9"/>
    <w:p w14:paraId="1BDAAFD2" w14:textId="717B7D8D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14:paraId="2F97CF1A" w14:textId="0A8312D1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6DF0E881" w14:textId="1FF340A2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4E148D11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1A086205" w14:textId="631200F8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70582D52" w14:textId="7C2C16C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7E36E171" w14:textId="482B9BAD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277CEB66" w14:textId="1A73B83F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7E5F78E6" w14:textId="3AB16E15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2FAE0F62" w14:textId="3634A966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13CA87EA" w14:textId="77777777" w:rsidR="0092361D" w:rsidRPr="00E767A8" w:rsidRDefault="0092361D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3782237A" w14:textId="3577CAB8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14:paraId="566DB9DD" w14:textId="166F92AA" w:rsidR="00DF50B1" w:rsidRPr="00503EF6" w:rsidRDefault="005B1C17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</w:rPr>
        <w:t>ODPOVĚDNOST ZA ŠKODU, SANKCE</w:t>
      </w:r>
      <w:r w:rsidR="00DF50B1"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="00DF50B1"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="00DF50B1"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="00DF50B1"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="00DF50B1"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="00DF50B1" w:rsidRPr="00503EF6">
        <w:rPr>
          <w:rFonts w:cs="Arial"/>
          <w:sz w:val="20"/>
          <w:szCs w:val="20"/>
        </w:rPr>
        <w:t xml:space="preserve">dodavatele. </w:t>
      </w:r>
    </w:p>
    <w:p w14:paraId="4A803E35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7A1420BA" w14:textId="3D6D74DD" w:rsidR="000B1878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 xml:space="preserve">ve stanovené lhůtě plnění dle článku 5 odst. 5.2 této Smlouvy </w:t>
      </w:r>
      <w:r w:rsidR="00DF50B1" w:rsidRPr="0038088C">
        <w:rPr>
          <w:rFonts w:cs="Arial"/>
          <w:sz w:val="20"/>
          <w:szCs w:val="20"/>
        </w:rPr>
        <w:t xml:space="preserve">či </w:t>
      </w:r>
      <w:r w:rsidR="008534B8" w:rsidRPr="0038088C">
        <w:rPr>
          <w:rFonts w:cs="Arial"/>
          <w:sz w:val="20"/>
          <w:szCs w:val="20"/>
        </w:rPr>
        <w:t xml:space="preserve">plnění neposkytne </w:t>
      </w:r>
      <w:r w:rsidR="00DF50B1" w:rsidRPr="0038088C">
        <w:rPr>
          <w:rFonts w:cs="Arial"/>
          <w:sz w:val="20"/>
          <w:szCs w:val="20"/>
        </w:rPr>
        <w:t>v požadova</w:t>
      </w:r>
      <w:r w:rsidR="00444843" w:rsidRPr="0038088C">
        <w:rPr>
          <w:rFonts w:cs="Arial"/>
          <w:sz w:val="20"/>
          <w:szCs w:val="20"/>
        </w:rPr>
        <w:t>né kva</w:t>
      </w:r>
      <w:r w:rsidR="009321E3" w:rsidRPr="0038088C">
        <w:rPr>
          <w:rFonts w:cs="Arial"/>
          <w:sz w:val="20"/>
          <w:szCs w:val="20"/>
        </w:rPr>
        <w:t xml:space="preserve">litě,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14:paraId="759D0F59" w14:textId="45DC93C1"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</w:t>
      </w:r>
      <w:r w:rsidR="0075227B" w:rsidRPr="0038088C">
        <w:rPr>
          <w:rFonts w:cs="Arial"/>
          <w:sz w:val="20"/>
          <w:szCs w:val="20"/>
        </w:rPr>
        <w:lastRenderedPageBreak/>
        <w:t xml:space="preserve">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31803FCB" w14:textId="2017B501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56E17B77" w14:textId="489DE029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1A1E2551" w14:textId="6D4E4943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118A5701" w14:textId="201CED2B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03387089" w14:textId="738879B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2741E537" w14:textId="76AD71BB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4220B86E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65208F24" w14:textId="51731730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2D204BCE" w14:textId="3A890015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4B08F966" w14:textId="36628059"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65F71CC4" w14:textId="345C330C"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14:paraId="76F10D23" w14:textId="77777777" w:rsidR="003A3FD8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54178A21" w14:textId="41C7C34E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261B08A7" w14:textId="01B4D6BA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270F3C6F" w14:textId="3DCC4C0D" w:rsidR="0075227B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7627C163" w14:textId="04C4CE11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 xml:space="preserve">ytování plnění dle této </w:t>
      </w:r>
      <w:r w:rsidR="00C87430">
        <w:rPr>
          <w:rFonts w:cs="Arial"/>
          <w:sz w:val="20"/>
          <w:szCs w:val="20"/>
        </w:rPr>
        <w:lastRenderedPageBreak/>
        <w:t>Smlouvy</w:t>
      </w:r>
      <w:r w:rsidR="006470E2" w:rsidRPr="00F51FEA">
        <w:rPr>
          <w:rFonts w:cs="Arial"/>
          <w:sz w:val="20"/>
          <w:szCs w:val="20"/>
        </w:rPr>
        <w:t>.</w:t>
      </w:r>
    </w:p>
    <w:p w14:paraId="777E7194" w14:textId="47ABDB05"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7A714A72" w14:textId="57076FD8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68D6795E" w14:textId="3738C2B9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14:paraId="06FAF926" w14:textId="22805B7B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6534CCCB" w14:textId="4B1EBDAE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35A1651C" w14:textId="38345034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0BB0A317" w14:textId="2FCE52B1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335913BE" w14:textId="59BD199E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08360D10" w14:textId="5AE35058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1E6722B6" w14:textId="50C32F3A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32565AA9" w14:textId="2F898B7C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by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17357706" w14:textId="75FCCF5F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6AF7A94C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7C8A8F3D" w14:textId="77777777" w:rsidR="00C054F4" w:rsidRDefault="00C054F4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5B9CB727" w14:textId="2B777A8E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Článek 12</w:t>
      </w:r>
    </w:p>
    <w:p w14:paraId="482C2226" w14:textId="7B5C3B82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50D7DB9C" w14:textId="366C46A4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1BC8C780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4B027AD7" w14:textId="12C4B10C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363BCBAF" w14:textId="199D7173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příslušné soudy České republiky.</w:t>
      </w:r>
    </w:p>
    <w:p w14:paraId="16DBF887" w14:textId="3FA50FEC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6CD48D28" w14:textId="47C2A65C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31383350" w14:textId="2B45B60D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316B33D2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7B522BDC" w14:textId="77777777" w:rsidR="00CB4CCA" w:rsidRDefault="00971B85" w:rsidP="00CB4CCA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14:paraId="1E93203F" w14:textId="77777777"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16760E18" w14:textId="77777777" w:rsidTr="00C3279A">
        <w:tc>
          <w:tcPr>
            <w:tcW w:w="4605" w:type="dxa"/>
            <w:hideMark/>
          </w:tcPr>
          <w:p w14:paraId="32DAEEE5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36D451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5ABBD7D2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3537B70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ECF774" w14:textId="24B0E59C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140B981E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F91EB70" w14:textId="503E3328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3C01DAB7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D408B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7DDE3B8" w14:textId="6F328FF5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63284D74" w14:textId="77777777" w:rsidTr="00C3279A">
        <w:tc>
          <w:tcPr>
            <w:tcW w:w="4605" w:type="dxa"/>
          </w:tcPr>
          <w:p w14:paraId="4AD65BBE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C8A739F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166D5A0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92DA2DA" w14:textId="11B1120C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5066E226" w14:textId="0CE22DFB" w:rsidR="005A4AB5" w:rsidRPr="00C12979" w:rsidRDefault="00D14BFB" w:rsidP="005A4AB5">
            <w:pPr>
              <w:spacing w:line="280" w:lineRule="atLeast"/>
              <w:ind w:left="2127" w:right="23" w:hanging="212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XXXXXXXXXXXXXXX</w:t>
            </w:r>
          </w:p>
          <w:p w14:paraId="2333E661" w14:textId="617347F8" w:rsidR="0036293E" w:rsidRPr="00C3279A" w:rsidRDefault="00820C39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477361FC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6F1EE68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01A041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EE23BC" w14:textId="6A8B3A03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183FD057" w14:textId="403B4256" w:rsidR="0036293E" w:rsidRPr="00C3279A" w:rsidRDefault="00C054F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Michal Moudrý, jednatel</w:t>
            </w:r>
          </w:p>
        </w:tc>
      </w:tr>
    </w:tbl>
    <w:p w14:paraId="1E5F80C9" w14:textId="77777777" w:rsidR="0038088C" w:rsidRDefault="0038088C" w:rsidP="00971B85">
      <w:pPr>
        <w:jc w:val="both"/>
        <w:rPr>
          <w:rFonts w:cs="Arial"/>
          <w:b/>
          <w:sz w:val="20"/>
        </w:rPr>
      </w:pPr>
    </w:p>
    <w:p w14:paraId="109C9856" w14:textId="77777777" w:rsidR="00073A9A" w:rsidRDefault="00073A9A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6AA5FFC2" w14:textId="77777777" w:rsidR="00C054F4" w:rsidRDefault="00C054F4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1D1BB12A" w14:textId="57FC9994" w:rsidR="00971B85" w:rsidRPr="00507D80" w:rsidRDefault="00971B85" w:rsidP="00971B85">
      <w:pPr>
        <w:jc w:val="both"/>
        <w:rPr>
          <w:rFonts w:cs="Arial"/>
          <w:b/>
          <w:sz w:val="22"/>
        </w:rPr>
      </w:pPr>
      <w:r w:rsidRPr="00507D80">
        <w:rPr>
          <w:rFonts w:cs="Arial"/>
          <w:b/>
          <w:sz w:val="22"/>
        </w:rPr>
        <w:t xml:space="preserve">Příloha č. 1 – Specifikace předmětu </w:t>
      </w:r>
      <w:r w:rsidR="002A6537" w:rsidRPr="00507D80">
        <w:rPr>
          <w:rFonts w:cs="Arial"/>
          <w:b/>
          <w:sz w:val="22"/>
        </w:rPr>
        <w:t>plnění</w:t>
      </w:r>
    </w:p>
    <w:p w14:paraId="21F41184" w14:textId="77777777" w:rsidR="00971B85" w:rsidRPr="00971B85" w:rsidRDefault="00971B85" w:rsidP="00971B85">
      <w:pPr>
        <w:jc w:val="both"/>
        <w:rPr>
          <w:rFonts w:cs="Arial"/>
          <w:sz w:val="20"/>
        </w:rPr>
      </w:pPr>
    </w:p>
    <w:p w14:paraId="5BA21654" w14:textId="4E259E4D" w:rsidR="00D00773" w:rsidRPr="00A01B60" w:rsidRDefault="00D00773" w:rsidP="00820C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  <w:rPr>
          <w:rFonts w:cs="Arial"/>
          <w:sz w:val="20"/>
        </w:rPr>
      </w:pPr>
      <w:r w:rsidRPr="008B3EF1">
        <w:rPr>
          <w:rFonts w:cs="Arial"/>
          <w:sz w:val="20"/>
        </w:rPr>
        <w:t xml:space="preserve">Předmětem plnění </w:t>
      </w:r>
      <w:r w:rsidR="008B3EF1">
        <w:rPr>
          <w:rFonts w:cs="Arial"/>
          <w:sz w:val="20"/>
        </w:rPr>
        <w:t>této Smlouvy</w:t>
      </w:r>
      <w:r w:rsidRPr="008B3EF1">
        <w:rPr>
          <w:rFonts w:cs="Arial"/>
          <w:sz w:val="20"/>
        </w:rPr>
        <w:t xml:space="preserve"> jsou služby spočívající </w:t>
      </w:r>
      <w:r w:rsidR="00A01B60" w:rsidRPr="00A01B60">
        <w:rPr>
          <w:rFonts w:cs="Arial"/>
          <w:sz w:val="20"/>
        </w:rPr>
        <w:t xml:space="preserve">v komplexním technickém zajištění </w:t>
      </w:r>
      <w:r w:rsidR="0018013D">
        <w:rPr>
          <w:rFonts w:cs="Arial"/>
          <w:sz w:val="20"/>
        </w:rPr>
        <w:t>školení</w:t>
      </w:r>
      <w:r w:rsidR="00A01B60" w:rsidRPr="00A01B60">
        <w:rPr>
          <w:rFonts w:cs="Arial"/>
          <w:sz w:val="20"/>
        </w:rPr>
        <w:t xml:space="preserve"> s řádným plněním všech dalších služeb specifikovaných níže</w:t>
      </w:r>
      <w:r w:rsidRPr="008B3EF1">
        <w:rPr>
          <w:rFonts w:cs="Arial"/>
          <w:sz w:val="20"/>
        </w:rPr>
        <w:t>.</w:t>
      </w:r>
    </w:p>
    <w:tbl>
      <w:tblPr>
        <w:tblStyle w:val="Mkatabulky"/>
        <w:tblpPr w:leftFromText="141" w:rightFromText="141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3066"/>
        <w:gridCol w:w="6219"/>
      </w:tblGrid>
      <w:tr w:rsidR="000D50ED" w:rsidRPr="000D50ED" w14:paraId="73CF2E13" w14:textId="77777777" w:rsidTr="000D50ED">
        <w:trPr>
          <w:trHeight w:val="340"/>
        </w:trPr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77144DD0" w14:textId="77777777" w:rsidR="000D50ED" w:rsidRPr="000D50ED" w:rsidRDefault="000D50ED" w:rsidP="000D50ED">
            <w:pPr>
              <w:jc w:val="center"/>
              <w:rPr>
                <w:rFonts w:cs="Arial"/>
                <w:b/>
                <w:sz w:val="20"/>
              </w:rPr>
            </w:pPr>
            <w:bookmarkStart w:id="15" w:name="_Ref313894952"/>
            <w:r w:rsidRPr="000D50E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219" w:type="dxa"/>
            <w:shd w:val="clear" w:color="auto" w:fill="D9D9D9" w:themeFill="background1" w:themeFillShade="D9"/>
            <w:vAlign w:val="center"/>
          </w:tcPr>
          <w:p w14:paraId="60FA0CF0" w14:textId="77777777" w:rsidR="000D50ED" w:rsidRPr="000D50ED" w:rsidRDefault="000D50ED" w:rsidP="000D50ED">
            <w:pPr>
              <w:jc w:val="center"/>
              <w:rPr>
                <w:rFonts w:cs="Arial"/>
                <w:b/>
                <w:sz w:val="20"/>
              </w:rPr>
            </w:pPr>
            <w:r w:rsidRPr="000D50ED">
              <w:rPr>
                <w:rFonts w:cs="Arial"/>
                <w:b/>
                <w:sz w:val="20"/>
              </w:rPr>
              <w:t>Specifikace</w:t>
            </w:r>
          </w:p>
        </w:tc>
      </w:tr>
      <w:tr w:rsidR="000D50ED" w:rsidRPr="000D50ED" w14:paraId="1357F7A7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6E277567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Název akce</w:t>
            </w:r>
          </w:p>
        </w:tc>
        <w:tc>
          <w:tcPr>
            <w:tcW w:w="6219" w:type="dxa"/>
            <w:vAlign w:val="center"/>
          </w:tcPr>
          <w:p w14:paraId="7ACFDCD6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II. Konference k historii sociální práce v ČR a SR</w:t>
            </w:r>
          </w:p>
        </w:tc>
      </w:tr>
      <w:tr w:rsidR="000D50ED" w:rsidRPr="000D50ED" w14:paraId="74FC5A2F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30C48987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219" w:type="dxa"/>
            <w:vAlign w:val="center"/>
          </w:tcPr>
          <w:p w14:paraId="7EDCBAEF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21. 3. 2017 od 8:00 do 18:00</w:t>
            </w:r>
          </w:p>
        </w:tc>
      </w:tr>
      <w:tr w:rsidR="000D50ED" w:rsidRPr="000D50ED" w14:paraId="2859F493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101CA48E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Umístění akce</w:t>
            </w:r>
          </w:p>
        </w:tc>
        <w:tc>
          <w:tcPr>
            <w:tcW w:w="6219" w:type="dxa"/>
          </w:tcPr>
          <w:p w14:paraId="35E18938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Hl. město Praha – lokalita musí být dosažitelná městskou hromadnou dopravou dostupnou z Hlavního nádraží ČD a Autobusového nádraží Florenc do 20 minut, maximálně do 5 minut chůze od stanice MHD. </w:t>
            </w:r>
          </w:p>
        </w:tc>
      </w:tr>
      <w:tr w:rsidR="000D50ED" w:rsidRPr="000D50ED" w14:paraId="4307EBFB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1E086CF8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Parkování</w:t>
            </w:r>
          </w:p>
        </w:tc>
        <w:tc>
          <w:tcPr>
            <w:tcW w:w="6219" w:type="dxa"/>
            <w:vAlign w:val="center"/>
          </w:tcPr>
          <w:p w14:paraId="44491719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 ( parkovací místa min. 5.)</w:t>
            </w:r>
          </w:p>
        </w:tc>
      </w:tr>
      <w:tr w:rsidR="000D50ED" w:rsidRPr="000D50ED" w14:paraId="19D029B8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21F4C41E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219" w:type="dxa"/>
          </w:tcPr>
          <w:p w14:paraId="461474C3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Max. 130 osob. Přesný počet osob bude upřesněn 2 týdny před zahájením akce</w:t>
            </w:r>
          </w:p>
        </w:tc>
      </w:tr>
      <w:tr w:rsidR="000D50ED" w:rsidRPr="000D50ED" w14:paraId="2F3C59F3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61DD3941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219" w:type="dxa"/>
          </w:tcPr>
          <w:p w14:paraId="7EEA6267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- 1x velká konferenční místnost s kapacitou 130 osob </w:t>
            </w:r>
          </w:p>
          <w:p w14:paraId="00CE09ED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- Řečnický stůl pro 8 osob na vyvýšeném pódiu</w:t>
            </w:r>
          </w:p>
          <w:p w14:paraId="7B5F69FD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- Šatní prostory</w:t>
            </w:r>
          </w:p>
          <w:p w14:paraId="16720527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- Prostory pro catering</w:t>
            </w:r>
          </w:p>
        </w:tc>
      </w:tr>
      <w:tr w:rsidR="000D50ED" w:rsidRPr="000D50ED" w14:paraId="0BFFAB87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39537C45" w14:textId="77777777" w:rsidR="000D50ED" w:rsidRPr="000D50ED" w:rsidRDefault="000D50ED" w:rsidP="000D50ED">
            <w:pPr>
              <w:contextualSpacing/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219" w:type="dxa"/>
            <w:vAlign w:val="center"/>
          </w:tcPr>
          <w:p w14:paraId="52D3375C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 w:rsidDel="008A15B9">
              <w:rPr>
                <w:rFonts w:cs="Arial"/>
                <w:b/>
                <w:i/>
                <w:sz w:val="20"/>
              </w:rPr>
              <w:t xml:space="preserve"> </w:t>
            </w:r>
            <w:r w:rsidRPr="000D50ED">
              <w:rPr>
                <w:rFonts w:cs="Arial"/>
                <w:b/>
                <w:i/>
                <w:sz w:val="20"/>
              </w:rPr>
              <w:t>židle uspořádání divadelně</w:t>
            </w:r>
          </w:p>
        </w:tc>
      </w:tr>
      <w:tr w:rsidR="000D50ED" w:rsidRPr="000D50ED" w14:paraId="22CC1ECD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6A640B1E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219" w:type="dxa"/>
            <w:vAlign w:val="center"/>
          </w:tcPr>
          <w:p w14:paraId="1B0B7D21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Dataprojektor, plátno/bílá zeď, flipchart + fixy</w:t>
            </w:r>
          </w:p>
        </w:tc>
      </w:tr>
      <w:tr w:rsidR="000D50ED" w:rsidRPr="000D50ED" w14:paraId="62FD5767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0BC660B6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Ozvučení</w:t>
            </w:r>
          </w:p>
        </w:tc>
        <w:tc>
          <w:tcPr>
            <w:tcW w:w="6219" w:type="dxa"/>
          </w:tcPr>
          <w:p w14:paraId="5478EF79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 - 8 mikrofonů stoj. na řečnickém stole</w:t>
            </w:r>
          </w:p>
          <w:p w14:paraId="3E87C821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 - 1 přenosný mikrofon pro moderátora</w:t>
            </w:r>
          </w:p>
          <w:p w14:paraId="7A15654A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 - 3 přenosné mikrofony pro posluchače</w:t>
            </w:r>
          </w:p>
          <w:p w14:paraId="21DBB6C7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 - 1 notebook</w:t>
            </w:r>
          </w:p>
          <w:p w14:paraId="04FFC38B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 - Laserové ukazovátko plátno/bílá zeď na promítání</w:t>
            </w:r>
          </w:p>
        </w:tc>
      </w:tr>
      <w:tr w:rsidR="000D50ED" w:rsidRPr="000D50ED" w14:paraId="5D71F9FC" w14:textId="77777777" w:rsidTr="000D50ED">
        <w:trPr>
          <w:trHeight w:val="340"/>
        </w:trPr>
        <w:tc>
          <w:tcPr>
            <w:tcW w:w="3066" w:type="dxa"/>
          </w:tcPr>
          <w:p w14:paraId="2C0EF531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219" w:type="dxa"/>
          </w:tcPr>
          <w:p w14:paraId="54E12C6B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67E8CF09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78900EB6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Klimatizace</w:t>
            </w:r>
          </w:p>
        </w:tc>
        <w:tc>
          <w:tcPr>
            <w:tcW w:w="6219" w:type="dxa"/>
          </w:tcPr>
          <w:p w14:paraId="499157F9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0D50ED" w:rsidRPr="000D50ED" w14:paraId="69EC53DD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695B7577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219" w:type="dxa"/>
          </w:tcPr>
          <w:p w14:paraId="74B65754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 –  max. 130 osob</w:t>
            </w:r>
          </w:p>
          <w:p w14:paraId="12413073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Přesný počet bude upřesněn 2 týdny před zahájením akce</w:t>
            </w:r>
          </w:p>
        </w:tc>
      </w:tr>
      <w:tr w:rsidR="000D50ED" w:rsidRPr="000D50ED" w14:paraId="73EA606C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2A5A25F2" w14:textId="77777777" w:rsidR="000D50ED" w:rsidRPr="000D50ED" w:rsidRDefault="000D50ED" w:rsidP="000D50ED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Coffeebreak</w:t>
            </w:r>
          </w:p>
        </w:tc>
        <w:tc>
          <w:tcPr>
            <w:tcW w:w="6219" w:type="dxa"/>
          </w:tcPr>
          <w:p w14:paraId="5F6E7487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 xml:space="preserve">Ano </w:t>
            </w:r>
          </w:p>
          <w:p w14:paraId="2B79410D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Limit OPZ 150,00 Kč os/den vč. DPH</w:t>
            </w:r>
          </w:p>
          <w:p w14:paraId="65C159AD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Cenový limit je součtem dopoledního a odpoledního coffeebreaku</w:t>
            </w:r>
          </w:p>
          <w:p w14:paraId="459A2667" w14:textId="77777777" w:rsidR="000D50ED" w:rsidRPr="000D50ED" w:rsidRDefault="000D50ED" w:rsidP="000D50ED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Dopolední coffeebreak - káva, čaj, voda, sladké pečivo</w:t>
            </w:r>
          </w:p>
          <w:p w14:paraId="45C00E1E" w14:textId="77777777" w:rsidR="000D50ED" w:rsidRPr="000D50ED" w:rsidRDefault="000D50ED" w:rsidP="000D50ED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Odpolední coffeebreak - káva, čaj, voda, slané pečivo</w:t>
            </w:r>
          </w:p>
        </w:tc>
      </w:tr>
      <w:tr w:rsidR="000D50ED" w:rsidRPr="000D50ED" w14:paraId="6C1F166F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0182130A" w14:textId="77777777" w:rsidR="000D50ED" w:rsidRPr="000D50ED" w:rsidRDefault="000D50ED" w:rsidP="000D50ED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Oběd</w:t>
            </w:r>
          </w:p>
        </w:tc>
        <w:tc>
          <w:tcPr>
            <w:tcW w:w="6219" w:type="dxa"/>
          </w:tcPr>
          <w:p w14:paraId="76210739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246675AE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7FAC87F2" w14:textId="77777777" w:rsidR="000D50ED" w:rsidRPr="000D50ED" w:rsidRDefault="000D50ED" w:rsidP="000D50ED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219" w:type="dxa"/>
          </w:tcPr>
          <w:p w14:paraId="18E85736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Káva, čaj, karafy s vodou a plátky citrusu– vše po celou dobu konference, už před zahájením akce, cca od 8:00 hod.</w:t>
            </w:r>
          </w:p>
        </w:tc>
      </w:tr>
      <w:tr w:rsidR="000D50ED" w:rsidRPr="000D50ED" w14:paraId="128875D7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09BD5D7F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219" w:type="dxa"/>
          </w:tcPr>
          <w:p w14:paraId="40B876FA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</w:t>
            </w:r>
          </w:p>
          <w:p w14:paraId="7FB9243E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- 1x šatnář/ka,</w:t>
            </w:r>
          </w:p>
          <w:p w14:paraId="7CB04D0A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- 1x technik kontrolující funkčnost techniky po celou dobu konání akce</w:t>
            </w:r>
            <w:r w:rsidRPr="000D50ED">
              <w:rPr>
                <w:rFonts w:cs="Arial"/>
                <w:i/>
                <w:sz w:val="20"/>
              </w:rPr>
              <w:t>.</w:t>
            </w:r>
          </w:p>
        </w:tc>
      </w:tr>
      <w:tr w:rsidR="000D50ED" w:rsidRPr="000D50ED" w14:paraId="5BFAA98F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181D80AA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Fotodokumentace</w:t>
            </w:r>
          </w:p>
        </w:tc>
        <w:tc>
          <w:tcPr>
            <w:tcW w:w="6219" w:type="dxa"/>
            <w:vAlign w:val="center"/>
          </w:tcPr>
          <w:p w14:paraId="3EDDBF24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39AAF1DF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3A47B8DA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Videozáznam</w:t>
            </w:r>
          </w:p>
        </w:tc>
        <w:tc>
          <w:tcPr>
            <w:tcW w:w="6219" w:type="dxa"/>
            <w:vAlign w:val="center"/>
          </w:tcPr>
          <w:p w14:paraId="6C8B5E3B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0D50ED" w:rsidRPr="000D50ED" w14:paraId="14C42BE2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6E0DDC57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219" w:type="dxa"/>
            <w:vAlign w:val="center"/>
          </w:tcPr>
          <w:p w14:paraId="24CAD7C3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Ano (přístup, toalety)</w:t>
            </w:r>
          </w:p>
        </w:tc>
      </w:tr>
      <w:tr w:rsidR="000D50ED" w:rsidRPr="000D50ED" w14:paraId="00F48B23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44D440FD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219" w:type="dxa"/>
            <w:vAlign w:val="center"/>
          </w:tcPr>
          <w:p w14:paraId="1DCDF31E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718CE5FE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408A6AE6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219" w:type="dxa"/>
            <w:vAlign w:val="center"/>
          </w:tcPr>
          <w:p w14:paraId="1933C157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6005961F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456034BD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219" w:type="dxa"/>
            <w:vAlign w:val="center"/>
          </w:tcPr>
          <w:p w14:paraId="16D40D0E" w14:textId="77777777" w:rsidR="000D50ED" w:rsidRPr="000D50ED" w:rsidRDefault="000D50ED" w:rsidP="000D50ED">
            <w:pPr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0D50ED" w:rsidRPr="000D50ED" w14:paraId="3532943A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515CFA67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t>Moderátor</w:t>
            </w:r>
          </w:p>
        </w:tc>
        <w:tc>
          <w:tcPr>
            <w:tcW w:w="6219" w:type="dxa"/>
            <w:vAlign w:val="center"/>
          </w:tcPr>
          <w:p w14:paraId="76FF24C5" w14:textId="77777777" w:rsidR="000D50ED" w:rsidRPr="000D50ED" w:rsidRDefault="000D50ED" w:rsidP="000D50ED">
            <w:pPr>
              <w:pStyle w:val="Textkomente"/>
              <w:rPr>
                <w:rFonts w:ascii="Arial" w:hAnsi="Arial" w:cs="Arial"/>
              </w:rPr>
            </w:pPr>
            <w:r w:rsidRPr="000D50ED">
              <w:rPr>
                <w:rFonts w:ascii="Arial" w:hAnsi="Arial" w:cs="Arial"/>
                <w:b/>
                <w:i/>
              </w:rPr>
              <w:t>Ano,</w:t>
            </w:r>
            <w:r w:rsidRPr="000D50ED">
              <w:rPr>
                <w:rFonts w:ascii="Arial" w:hAnsi="Arial" w:cs="Arial"/>
              </w:rPr>
              <w:t xml:space="preserve"> Vyžadujeme spolupráci na scénáři průběhu akce, tvorbu </w:t>
            </w:r>
            <w:r w:rsidRPr="000D50ED">
              <w:rPr>
                <w:rFonts w:ascii="Arial" w:hAnsi="Arial" w:cs="Arial"/>
              </w:rPr>
              <w:lastRenderedPageBreak/>
              <w:t>podkladů pro přípravu moderování a samotné moderování celé akce (představení témat/příspěvků na konferenci + zajištění návaznosti příspěvků). Spolupráce je vyčíslena na 16 hodin</w:t>
            </w:r>
          </w:p>
        </w:tc>
      </w:tr>
      <w:tr w:rsidR="000D50ED" w:rsidRPr="000D50ED" w14:paraId="16702A6E" w14:textId="77777777" w:rsidTr="000D50ED">
        <w:trPr>
          <w:trHeight w:val="340"/>
        </w:trPr>
        <w:tc>
          <w:tcPr>
            <w:tcW w:w="3066" w:type="dxa"/>
            <w:vAlign w:val="center"/>
          </w:tcPr>
          <w:p w14:paraId="706D35E1" w14:textId="77777777" w:rsidR="000D50ED" w:rsidRPr="000D50ED" w:rsidRDefault="000D50ED" w:rsidP="000D50ED">
            <w:pPr>
              <w:rPr>
                <w:rFonts w:cs="Arial"/>
                <w:sz w:val="20"/>
              </w:rPr>
            </w:pPr>
            <w:r w:rsidRPr="000D50ED">
              <w:rPr>
                <w:rFonts w:cs="Arial"/>
                <w:sz w:val="20"/>
              </w:rPr>
              <w:lastRenderedPageBreak/>
              <w:t>Další specifické požadavky</w:t>
            </w:r>
          </w:p>
        </w:tc>
        <w:tc>
          <w:tcPr>
            <w:tcW w:w="6219" w:type="dxa"/>
            <w:vAlign w:val="center"/>
          </w:tcPr>
          <w:p w14:paraId="28B8FD83" w14:textId="77777777" w:rsidR="000D50ED" w:rsidRPr="000D50ED" w:rsidRDefault="000D50ED" w:rsidP="000D50ED">
            <w:pPr>
              <w:pStyle w:val="Odstavecseseznamem"/>
              <w:numPr>
                <w:ilvl w:val="0"/>
                <w:numId w:val="26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označení sálu názvem akce a logem OPZ, zajištění směrovek,</w:t>
            </w:r>
          </w:p>
          <w:p w14:paraId="5BE25F55" w14:textId="77777777" w:rsidR="000D50ED" w:rsidRPr="000D50ED" w:rsidRDefault="000D50ED" w:rsidP="000D50ED">
            <w:pPr>
              <w:pStyle w:val="Odstavecseseznamem"/>
              <w:numPr>
                <w:ilvl w:val="0"/>
                <w:numId w:val="26"/>
              </w:numPr>
              <w:suppressAutoHyphens w:val="0"/>
              <w:overflowPunct/>
              <w:autoSpaceDE/>
              <w:ind w:left="366" w:hanging="366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0D50ED">
              <w:rPr>
                <w:rFonts w:cs="Arial"/>
                <w:b/>
                <w:i/>
                <w:sz w:val="20"/>
              </w:rPr>
              <w:t>limity OPZ (dopolední a odpolední coffebreak celkem 150,00 Kč os/den vč. DPH))</w:t>
            </w:r>
          </w:p>
        </w:tc>
      </w:tr>
      <w:bookmarkEnd w:id="15"/>
    </w:tbl>
    <w:p w14:paraId="15D65B05" w14:textId="1436C5EB" w:rsidR="00A01B60" w:rsidRDefault="00A01B60" w:rsidP="00820C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  <w:rPr>
          <w:rFonts w:cs="Arial"/>
          <w:b/>
          <w:sz w:val="20"/>
        </w:rPr>
      </w:pPr>
    </w:p>
    <w:p w14:paraId="4A610AE1" w14:textId="31612548" w:rsidR="00B10BF3" w:rsidRPr="002A6537" w:rsidRDefault="00B10BF3" w:rsidP="00F12AC1">
      <w:pPr>
        <w:spacing w:line="280" w:lineRule="atLeast"/>
        <w:jc w:val="both"/>
        <w:outlineLvl w:val="0"/>
        <w:rPr>
          <w:rFonts w:cs="Arial"/>
          <w:b/>
          <w:sz w:val="20"/>
        </w:rPr>
      </w:pPr>
    </w:p>
    <w:sectPr w:rsidR="00B10BF3" w:rsidRPr="002A6537" w:rsidSect="002752D8">
      <w:footerReference w:type="default" r:id="rId12"/>
      <w:footerReference w:type="first" r:id="rId13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83091" w14:textId="77777777" w:rsidR="00953EE5" w:rsidRDefault="00953EE5">
      <w:r>
        <w:separator/>
      </w:r>
    </w:p>
  </w:endnote>
  <w:endnote w:type="continuationSeparator" w:id="0">
    <w:p w14:paraId="501EC831" w14:textId="77777777" w:rsidR="00953EE5" w:rsidRDefault="0095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DF04C68" w14:textId="77777777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3696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36967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8B2EA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5674BBF5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1F055" w14:textId="77777777" w:rsidR="00953EE5" w:rsidRDefault="00953EE5">
      <w:r>
        <w:separator/>
      </w:r>
    </w:p>
  </w:footnote>
  <w:footnote w:type="continuationSeparator" w:id="0">
    <w:p w14:paraId="5BA1D92F" w14:textId="77777777" w:rsidR="00953EE5" w:rsidRDefault="00953EE5">
      <w:r>
        <w:continuationSeparator/>
      </w:r>
    </w:p>
  </w:footnote>
  <w:footnote w:id="1">
    <w:p w14:paraId="4921E58F" w14:textId="531929A4" w:rsidR="006C02FB" w:rsidRPr="000F16AF" w:rsidRDefault="006C02FB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</w:t>
      </w:r>
      <w:r w:rsidR="006A2366" w:rsidRPr="000F16AF">
        <w:rPr>
          <w:rFonts w:ascii="Arial" w:hAnsi="Arial" w:cs="Arial"/>
          <w:sz w:val="18"/>
          <w:lang w:eastAsia="ar-SA"/>
        </w:rPr>
        <w:t>proškrtne kolonky výše DPH a ce</w:t>
      </w:r>
      <w:r w:rsidR="000615D8" w:rsidRPr="000F16AF">
        <w:rPr>
          <w:rFonts w:ascii="Arial" w:hAnsi="Arial" w:cs="Arial"/>
          <w:sz w:val="18"/>
          <w:lang w:eastAsia="ar-SA"/>
        </w:rPr>
        <w:t>l</w:t>
      </w:r>
      <w:r w:rsidR="006A2366" w:rsidRPr="000F16AF">
        <w:rPr>
          <w:rFonts w:ascii="Arial" w:hAnsi="Arial" w:cs="Arial"/>
          <w:sz w:val="18"/>
          <w:lang w:eastAsia="ar-SA"/>
        </w:rPr>
        <w:t>ková odměna</w:t>
      </w:r>
      <w:r w:rsidR="003D2B1F" w:rsidRPr="000F16AF">
        <w:rPr>
          <w:rFonts w:ascii="Arial" w:hAnsi="Arial" w:cs="Arial"/>
          <w:sz w:val="18"/>
          <w:lang w:eastAsia="ar-SA"/>
        </w:rPr>
        <w:t>,</w:t>
      </w:r>
      <w:r w:rsidR="006A2366" w:rsidRPr="000F16AF">
        <w:rPr>
          <w:rFonts w:ascii="Arial" w:hAnsi="Arial" w:cs="Arial"/>
          <w:sz w:val="18"/>
          <w:lang w:eastAsia="ar-SA"/>
        </w:rPr>
        <w:t xml:space="preserve"> včetně DPH a doplní formulaci: </w:t>
      </w:r>
      <w:r w:rsidRPr="000F16AF">
        <w:rPr>
          <w:rFonts w:ascii="Arial" w:hAnsi="Arial" w:cs="Arial"/>
          <w:sz w:val="18"/>
          <w:lang w:eastAsia="ar-SA"/>
        </w:rPr>
        <w:t>„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6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8"/>
  </w:num>
  <w:num w:numId="9">
    <w:abstractNumId w:val="21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4"/>
  </w:num>
  <w:num w:numId="15">
    <w:abstractNumId w:val="6"/>
  </w:num>
  <w:num w:numId="16">
    <w:abstractNumId w:val="5"/>
  </w:num>
  <w:num w:numId="17">
    <w:abstractNumId w:val="16"/>
  </w:num>
  <w:num w:numId="18">
    <w:abstractNumId w:val="19"/>
  </w:num>
  <w:num w:numId="19">
    <w:abstractNumId w:val="25"/>
  </w:num>
  <w:num w:numId="20">
    <w:abstractNumId w:val="18"/>
  </w:num>
  <w:num w:numId="21">
    <w:abstractNumId w:val="23"/>
  </w:num>
  <w:num w:numId="22">
    <w:abstractNumId w:val="10"/>
  </w:num>
  <w:num w:numId="23">
    <w:abstractNumId w:val="20"/>
  </w:num>
  <w:num w:numId="24">
    <w:abstractNumId w:val="2"/>
  </w:num>
  <w:num w:numId="25">
    <w:abstractNumId w:val="3"/>
  </w:num>
  <w:num w:numId="26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4E77"/>
    <w:rsid w:val="00025FCC"/>
    <w:rsid w:val="000270BF"/>
    <w:rsid w:val="000271F8"/>
    <w:rsid w:val="00031128"/>
    <w:rsid w:val="00032BCB"/>
    <w:rsid w:val="00033369"/>
    <w:rsid w:val="00033D28"/>
    <w:rsid w:val="00036003"/>
    <w:rsid w:val="000368C9"/>
    <w:rsid w:val="0004005E"/>
    <w:rsid w:val="0004061A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77C2E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0ED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4B1B"/>
    <w:rsid w:val="000E5F63"/>
    <w:rsid w:val="000E6639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BAA"/>
    <w:rsid w:val="00185828"/>
    <w:rsid w:val="00185C5D"/>
    <w:rsid w:val="00190467"/>
    <w:rsid w:val="00192424"/>
    <w:rsid w:val="00192BF7"/>
    <w:rsid w:val="00193691"/>
    <w:rsid w:val="00194E57"/>
    <w:rsid w:val="001952FE"/>
    <w:rsid w:val="00195AA8"/>
    <w:rsid w:val="001A0F17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5D12"/>
    <w:rsid w:val="0020652A"/>
    <w:rsid w:val="002066B3"/>
    <w:rsid w:val="002076D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1890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2E2E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75B6"/>
    <w:rsid w:val="002E0F75"/>
    <w:rsid w:val="002E2978"/>
    <w:rsid w:val="002E31D3"/>
    <w:rsid w:val="002E5FD1"/>
    <w:rsid w:val="002E6258"/>
    <w:rsid w:val="002E6787"/>
    <w:rsid w:val="002F0003"/>
    <w:rsid w:val="002F0889"/>
    <w:rsid w:val="002F290A"/>
    <w:rsid w:val="002F3D66"/>
    <w:rsid w:val="002F4E4F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DD6"/>
    <w:rsid w:val="00363E05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9F0"/>
    <w:rsid w:val="00427064"/>
    <w:rsid w:val="004300C4"/>
    <w:rsid w:val="00432D18"/>
    <w:rsid w:val="00433C73"/>
    <w:rsid w:val="00434264"/>
    <w:rsid w:val="004357CC"/>
    <w:rsid w:val="0043607B"/>
    <w:rsid w:val="004369CA"/>
    <w:rsid w:val="00436DED"/>
    <w:rsid w:val="004370F5"/>
    <w:rsid w:val="00437348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2663"/>
    <w:rsid w:val="00463C2D"/>
    <w:rsid w:val="00465698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5E0C"/>
    <w:rsid w:val="005166C1"/>
    <w:rsid w:val="00516821"/>
    <w:rsid w:val="005222DB"/>
    <w:rsid w:val="005226EF"/>
    <w:rsid w:val="00522E41"/>
    <w:rsid w:val="00523B01"/>
    <w:rsid w:val="00525156"/>
    <w:rsid w:val="00530CF2"/>
    <w:rsid w:val="00531718"/>
    <w:rsid w:val="0053173A"/>
    <w:rsid w:val="005355AB"/>
    <w:rsid w:val="00536967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61F7"/>
    <w:rsid w:val="005A3444"/>
    <w:rsid w:val="005A44D0"/>
    <w:rsid w:val="005A4AB5"/>
    <w:rsid w:val="005A7A9B"/>
    <w:rsid w:val="005B1C17"/>
    <w:rsid w:val="005B5AF6"/>
    <w:rsid w:val="005B5E38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0A4"/>
    <w:rsid w:val="005F5BFC"/>
    <w:rsid w:val="005F63E8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69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3074"/>
    <w:rsid w:val="006336EB"/>
    <w:rsid w:val="00634D44"/>
    <w:rsid w:val="00640D54"/>
    <w:rsid w:val="00641082"/>
    <w:rsid w:val="00641E76"/>
    <w:rsid w:val="00643182"/>
    <w:rsid w:val="006433C5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4DCB"/>
    <w:rsid w:val="00655037"/>
    <w:rsid w:val="00655F4E"/>
    <w:rsid w:val="00656825"/>
    <w:rsid w:val="00656C5D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CB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C6B87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4EF6"/>
    <w:rsid w:val="007059C7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1781"/>
    <w:rsid w:val="007A2301"/>
    <w:rsid w:val="007A364F"/>
    <w:rsid w:val="007A4DBD"/>
    <w:rsid w:val="007A5530"/>
    <w:rsid w:val="007A749D"/>
    <w:rsid w:val="007B0DC3"/>
    <w:rsid w:val="007B20A4"/>
    <w:rsid w:val="007B3F2A"/>
    <w:rsid w:val="007B4A1B"/>
    <w:rsid w:val="007B50F5"/>
    <w:rsid w:val="007B61E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2E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0C39"/>
    <w:rsid w:val="0082149E"/>
    <w:rsid w:val="00821AE3"/>
    <w:rsid w:val="00830280"/>
    <w:rsid w:val="0083232D"/>
    <w:rsid w:val="00834F70"/>
    <w:rsid w:val="00835F37"/>
    <w:rsid w:val="00837965"/>
    <w:rsid w:val="00840396"/>
    <w:rsid w:val="0084066D"/>
    <w:rsid w:val="00842657"/>
    <w:rsid w:val="00843B56"/>
    <w:rsid w:val="00844158"/>
    <w:rsid w:val="0084458C"/>
    <w:rsid w:val="00844E27"/>
    <w:rsid w:val="00845207"/>
    <w:rsid w:val="00846A6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3EE5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900FF"/>
    <w:rsid w:val="00991FD9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C9"/>
    <w:rsid w:val="009B517B"/>
    <w:rsid w:val="009B6D08"/>
    <w:rsid w:val="009B7383"/>
    <w:rsid w:val="009C0307"/>
    <w:rsid w:val="009C15A3"/>
    <w:rsid w:val="009C1A02"/>
    <w:rsid w:val="009C1CED"/>
    <w:rsid w:val="009C4616"/>
    <w:rsid w:val="009C485A"/>
    <w:rsid w:val="009C56F1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4C6D"/>
    <w:rsid w:val="00A35A0A"/>
    <w:rsid w:val="00A36228"/>
    <w:rsid w:val="00A363BB"/>
    <w:rsid w:val="00A37948"/>
    <w:rsid w:val="00A412A4"/>
    <w:rsid w:val="00A422C1"/>
    <w:rsid w:val="00A428E7"/>
    <w:rsid w:val="00A43A10"/>
    <w:rsid w:val="00A44758"/>
    <w:rsid w:val="00A4541B"/>
    <w:rsid w:val="00A46D2F"/>
    <w:rsid w:val="00A47D74"/>
    <w:rsid w:val="00A47FFB"/>
    <w:rsid w:val="00A5044A"/>
    <w:rsid w:val="00A50B0B"/>
    <w:rsid w:val="00A5138A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80638"/>
    <w:rsid w:val="00A80914"/>
    <w:rsid w:val="00A82010"/>
    <w:rsid w:val="00A83202"/>
    <w:rsid w:val="00A83D20"/>
    <w:rsid w:val="00A863F1"/>
    <w:rsid w:val="00A90414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7360"/>
    <w:rsid w:val="00AD246F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659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4C23"/>
    <w:rsid w:val="00BA53DB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54F4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2097"/>
    <w:rsid w:val="00CF5E5A"/>
    <w:rsid w:val="00CF646E"/>
    <w:rsid w:val="00D00773"/>
    <w:rsid w:val="00D027F8"/>
    <w:rsid w:val="00D04292"/>
    <w:rsid w:val="00D04F19"/>
    <w:rsid w:val="00D05991"/>
    <w:rsid w:val="00D07CB7"/>
    <w:rsid w:val="00D1087A"/>
    <w:rsid w:val="00D12DAD"/>
    <w:rsid w:val="00D14BFB"/>
    <w:rsid w:val="00D171F3"/>
    <w:rsid w:val="00D20107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0296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889"/>
    <w:rsid w:val="00D8481A"/>
    <w:rsid w:val="00D91007"/>
    <w:rsid w:val="00D91BF7"/>
    <w:rsid w:val="00D939B2"/>
    <w:rsid w:val="00D96009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0889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0762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EF4"/>
    <w:rsid w:val="00E4440C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EF3"/>
    <w:rsid w:val="00E57F84"/>
    <w:rsid w:val="00E620A5"/>
    <w:rsid w:val="00E6254B"/>
    <w:rsid w:val="00E661D3"/>
    <w:rsid w:val="00E668BA"/>
    <w:rsid w:val="00E70EAA"/>
    <w:rsid w:val="00E7162A"/>
    <w:rsid w:val="00E72C88"/>
    <w:rsid w:val="00E752BF"/>
    <w:rsid w:val="00E767A8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33C5"/>
    <w:rsid w:val="00EC3FE5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E7C72"/>
    <w:rsid w:val="00EF0E87"/>
    <w:rsid w:val="00EF16AA"/>
    <w:rsid w:val="00EF1A37"/>
    <w:rsid w:val="00EF1E92"/>
    <w:rsid w:val="00EF22FB"/>
    <w:rsid w:val="00EF46BC"/>
    <w:rsid w:val="00EF4881"/>
    <w:rsid w:val="00EF55D4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2AC1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820C3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820C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2DA2-A5CE-4B6D-B950-74D7F7392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7FDD0-4CB3-4A12-BA14-2A313B5065B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6B84EA-877B-4E09-B569-74879146F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D1783-7D5D-45A7-9F1E-CB552EDD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3020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20801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2017-03-13T13:09:00Z</dcterms:created>
  <dcterms:modified xsi:type="dcterms:W3CDTF">2017-03-13T13:09:00Z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