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DA65E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04144050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77777777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06C6D422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14C4CFD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5D65C9B0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5E0F03A3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>Email:</w:t>
      </w:r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</w:p>
    <w:p w14:paraId="3C1EEABE" w14:textId="77777777"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046C8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0B93F4" w14:textId="491D95A2" w:rsidR="00BE742B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0F024FC8" w14:textId="6653E1B5" w:rsidR="00721251" w:rsidRPr="008C6B1D" w:rsidRDefault="008C6B1D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C6B1D">
        <w:rPr>
          <w:rFonts w:ascii="Times New Roman" w:hAnsi="Times New Roman" w:cs="Times New Roman"/>
          <w:b/>
          <w:sz w:val="24"/>
          <w:szCs w:val="24"/>
        </w:rPr>
        <w:t>Základní škola, Praha 10, Hostýnská 2/2100</w:t>
      </w:r>
    </w:p>
    <w:p w14:paraId="50654B2F" w14:textId="6A12E5FE" w:rsidR="00721251" w:rsidRPr="008C6B1D" w:rsidRDefault="00721251" w:rsidP="0072125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6B1D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8C6B1D" w:rsidRPr="008C6B1D">
        <w:rPr>
          <w:rFonts w:ascii="Times New Roman" w:hAnsi="Times New Roman" w:cs="Times New Roman"/>
          <w:sz w:val="24"/>
          <w:szCs w:val="24"/>
        </w:rPr>
        <w:t>Hostýnská 2/2100, 10800 Praha 10</w:t>
      </w:r>
    </w:p>
    <w:p w14:paraId="59021D65" w14:textId="149449DB" w:rsidR="00721251" w:rsidRPr="008C6B1D" w:rsidRDefault="00721251" w:rsidP="0072125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6B1D">
        <w:rPr>
          <w:rFonts w:ascii="Times New Roman" w:hAnsi="Times New Roman" w:cs="Times New Roman"/>
          <w:sz w:val="24"/>
          <w:szCs w:val="24"/>
        </w:rPr>
        <w:t xml:space="preserve">IČ: </w:t>
      </w:r>
      <w:r w:rsidR="008C6B1D" w:rsidRPr="008C6B1D">
        <w:rPr>
          <w:rFonts w:ascii="Times New Roman" w:hAnsi="Times New Roman" w:cs="Times New Roman"/>
          <w:sz w:val="24"/>
          <w:szCs w:val="24"/>
        </w:rPr>
        <w:t>476 11171</w:t>
      </w:r>
      <w:r w:rsidRPr="008C6B1D">
        <w:rPr>
          <w:rFonts w:ascii="Times New Roman" w:hAnsi="Times New Roman" w:cs="Times New Roman"/>
          <w:sz w:val="24"/>
          <w:szCs w:val="24"/>
        </w:rPr>
        <w:tab/>
      </w:r>
      <w:r w:rsidRPr="008C6B1D">
        <w:rPr>
          <w:rFonts w:ascii="Times New Roman" w:hAnsi="Times New Roman" w:cs="Times New Roman"/>
          <w:sz w:val="24"/>
          <w:szCs w:val="24"/>
        </w:rPr>
        <w:tab/>
      </w:r>
      <w:r w:rsidRPr="008C6B1D">
        <w:rPr>
          <w:rFonts w:ascii="Times New Roman" w:hAnsi="Times New Roman" w:cs="Times New Roman"/>
          <w:sz w:val="24"/>
          <w:szCs w:val="24"/>
        </w:rPr>
        <w:tab/>
      </w:r>
    </w:p>
    <w:p w14:paraId="412E84EE" w14:textId="0DCA3306" w:rsidR="00721251" w:rsidRPr="008C6B1D" w:rsidRDefault="00721251" w:rsidP="0072125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6B1D">
        <w:rPr>
          <w:rFonts w:ascii="Times New Roman" w:hAnsi="Times New Roman" w:cs="Times New Roman"/>
          <w:sz w:val="24"/>
          <w:szCs w:val="24"/>
        </w:rPr>
        <w:t xml:space="preserve">Zastoupena: </w:t>
      </w:r>
      <w:r w:rsidRPr="008C6B1D">
        <w:rPr>
          <w:rFonts w:ascii="Times New Roman" w:hAnsi="Times New Roman" w:cs="Times New Roman"/>
          <w:sz w:val="24"/>
          <w:szCs w:val="24"/>
        </w:rPr>
        <w:tab/>
      </w:r>
      <w:r w:rsidR="008C6B1D" w:rsidRPr="008C6B1D">
        <w:rPr>
          <w:rFonts w:ascii="Times New Roman" w:hAnsi="Times New Roman" w:cs="Times New Roman"/>
          <w:sz w:val="24"/>
          <w:szCs w:val="24"/>
        </w:rPr>
        <w:t>Mgr. Albertem Hotovým, ředitelem školy</w:t>
      </w:r>
      <w:r w:rsidRPr="008C6B1D">
        <w:rPr>
          <w:rFonts w:ascii="Times New Roman" w:hAnsi="Times New Roman" w:cs="Times New Roman"/>
          <w:sz w:val="24"/>
          <w:szCs w:val="24"/>
        </w:rPr>
        <w:tab/>
      </w:r>
    </w:p>
    <w:p w14:paraId="30AE851D" w14:textId="18682D79" w:rsidR="00721251" w:rsidRPr="008C6B1D" w:rsidRDefault="00721251" w:rsidP="0072125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6B1D">
        <w:rPr>
          <w:rFonts w:ascii="Times New Roman" w:hAnsi="Times New Roman" w:cs="Times New Roman"/>
          <w:sz w:val="24"/>
          <w:szCs w:val="24"/>
        </w:rPr>
        <w:t>Kontaktní údaje:</w:t>
      </w:r>
      <w:r w:rsidRPr="008C6B1D">
        <w:rPr>
          <w:rFonts w:ascii="Times New Roman" w:hAnsi="Times New Roman" w:cs="Times New Roman"/>
          <w:sz w:val="24"/>
          <w:szCs w:val="24"/>
        </w:rPr>
        <w:tab/>
      </w:r>
    </w:p>
    <w:p w14:paraId="47CA18BC" w14:textId="6FA52EBB" w:rsidR="005652F3" w:rsidRPr="007E6505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8C6B1D">
        <w:rPr>
          <w:rFonts w:ascii="Times New Roman" w:hAnsi="Times New Roman" w:cs="Times New Roman"/>
          <w:sz w:val="24"/>
          <w:szCs w:val="24"/>
        </w:rPr>
        <w:t>(dále jen „Příjemce“)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4870A22" w14:textId="4133AA36" w:rsidR="005F7C67" w:rsidRPr="005B3239" w:rsidRDefault="005F7C67" w:rsidP="0035539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239">
        <w:rPr>
          <w:rFonts w:ascii="Times New Roman" w:hAnsi="Times New Roman" w:cs="Times New Roman"/>
          <w:sz w:val="24"/>
          <w:szCs w:val="24"/>
        </w:rPr>
        <w:t xml:space="preserve">Předmětem této smlouvy je závazek Poskytovatele zajistit Příjemci poradenství při přípravě, realizaci a zajištění udržitelnosti projektu spolufinancovaném z fondů EU, konkrétně z operačního programu OP </w:t>
      </w:r>
      <w:r w:rsidR="00C248D6" w:rsidRPr="005B3239">
        <w:rPr>
          <w:rFonts w:ascii="Times New Roman" w:hAnsi="Times New Roman" w:cs="Times New Roman"/>
          <w:sz w:val="24"/>
          <w:szCs w:val="24"/>
        </w:rPr>
        <w:t>VVV</w:t>
      </w:r>
      <w:r w:rsidRPr="005B3239">
        <w:rPr>
          <w:rFonts w:ascii="Times New Roman" w:hAnsi="Times New Roman" w:cs="Times New Roman"/>
          <w:sz w:val="24"/>
          <w:szCs w:val="24"/>
        </w:rPr>
        <w:t xml:space="preserve"> v rámci výzvy č. </w:t>
      </w:r>
      <w:r w:rsidR="00C248D6" w:rsidRPr="005B3239">
        <w:rPr>
          <w:rFonts w:ascii="Times New Roman" w:hAnsi="Times New Roman" w:cs="Times New Roman"/>
          <w:sz w:val="24"/>
          <w:szCs w:val="24"/>
        </w:rPr>
        <w:t>2_20_08</w:t>
      </w:r>
      <w:r w:rsidR="002A3F0A" w:rsidRPr="005B3239">
        <w:rPr>
          <w:rFonts w:ascii="Times New Roman" w:hAnsi="Times New Roman" w:cs="Times New Roman"/>
          <w:sz w:val="24"/>
          <w:szCs w:val="24"/>
        </w:rPr>
        <w:t>1</w:t>
      </w:r>
      <w:r w:rsidR="00C248D6" w:rsidRPr="005B3239">
        <w:rPr>
          <w:rFonts w:ascii="Times New Roman" w:hAnsi="Times New Roman" w:cs="Times New Roman"/>
          <w:sz w:val="24"/>
          <w:szCs w:val="24"/>
        </w:rPr>
        <w:t xml:space="preserve"> pro Šablony III - </w:t>
      </w:r>
      <w:r w:rsidR="002A3F0A" w:rsidRPr="005B3239">
        <w:rPr>
          <w:rFonts w:ascii="Times New Roman" w:hAnsi="Times New Roman" w:cs="Times New Roman"/>
          <w:sz w:val="24"/>
          <w:szCs w:val="24"/>
        </w:rPr>
        <w:t>V</w:t>
      </w:r>
      <w:r w:rsidR="00C248D6" w:rsidRPr="005B3239">
        <w:rPr>
          <w:rFonts w:ascii="Times New Roman" w:hAnsi="Times New Roman" w:cs="Times New Roman"/>
          <w:sz w:val="24"/>
          <w:szCs w:val="24"/>
        </w:rPr>
        <w:t>RR v prioritní ose 3</w:t>
      </w:r>
      <w:r w:rsidRPr="005B3239">
        <w:rPr>
          <w:rFonts w:ascii="Times New Roman" w:hAnsi="Times New Roman" w:cs="Times New Roman"/>
          <w:sz w:val="24"/>
          <w:szCs w:val="24"/>
        </w:rPr>
        <w:t xml:space="preserve"> pro projekt </w:t>
      </w:r>
      <w:r w:rsidR="00C248D6" w:rsidRPr="005B3239">
        <w:rPr>
          <w:rFonts w:ascii="Times New Roman" w:hAnsi="Times New Roman" w:cs="Times New Roman"/>
          <w:sz w:val="24"/>
          <w:szCs w:val="24"/>
        </w:rPr>
        <w:t>„</w:t>
      </w:r>
      <w:r w:rsidR="005B3239" w:rsidRPr="005B3239">
        <w:rPr>
          <w:rFonts w:ascii="Times New Roman" w:hAnsi="Times New Roman" w:cs="Times New Roman"/>
          <w:b/>
          <w:bCs/>
          <w:sz w:val="24"/>
          <w:szCs w:val="24"/>
        </w:rPr>
        <w:t>Podpora inkluzivního vzdělávání a vzájemné spolupráce pedagogů na ZŠ Hostýnská III</w:t>
      </w:r>
      <w:r w:rsidR="00D20721" w:rsidRPr="005B3239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1FE57C76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2ECD8B23" w14:textId="77777777" w:rsidR="0069040B" w:rsidRP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1E5F90B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5340600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67B0BD50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025B9EE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0FEC9D0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2C9B8E7C" w14:textId="71528BA3" w:rsidR="00993333" w:rsidRPr="00993333" w:rsidRDefault="008639A7" w:rsidP="00977D05">
      <w:pPr>
        <w:pStyle w:val="Odstavecseseznamem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konzultační a poradenské služby pro realizační management k</w:t>
      </w:r>
      <w:r w:rsidR="00993333" w:rsidRPr="00993333">
        <w:rPr>
          <w:rFonts w:ascii="Times New Roman" w:hAnsi="Times New Roman" w:cs="Times New Roman"/>
          <w:sz w:val="24"/>
          <w:szCs w:val="24"/>
        </w:rPr>
        <w:t> </w:t>
      </w:r>
      <w:r w:rsidRPr="00993333">
        <w:rPr>
          <w:rFonts w:ascii="Times New Roman" w:hAnsi="Times New Roman" w:cs="Times New Roman"/>
          <w:sz w:val="24"/>
          <w:szCs w:val="24"/>
        </w:rPr>
        <w:t>projektu</w:t>
      </w:r>
    </w:p>
    <w:p w14:paraId="633F7A42" w14:textId="105F042D" w:rsidR="00993333" w:rsidRPr="00993333" w:rsidRDefault="00993333" w:rsidP="00993333">
      <w:pPr>
        <w:pStyle w:val="Odstavecseseznamem"/>
        <w:numPr>
          <w:ilvl w:val="0"/>
          <w:numId w:val="2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podpora, asistence a poradenství v</w:t>
      </w:r>
      <w:r w:rsidR="00977D05" w:rsidRPr="00993333">
        <w:rPr>
          <w:rFonts w:ascii="Times New Roman" w:hAnsi="Times New Roman" w:cs="Times New Roman"/>
          <w:sz w:val="24"/>
          <w:szCs w:val="24"/>
        </w:rPr>
        <w:t>e vztah</w:t>
      </w:r>
      <w:r w:rsidRPr="00993333">
        <w:rPr>
          <w:rFonts w:ascii="Times New Roman" w:hAnsi="Times New Roman" w:cs="Times New Roman"/>
          <w:sz w:val="24"/>
          <w:szCs w:val="24"/>
        </w:rPr>
        <w:t>u k tvorbě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993333">
        <w:rPr>
          <w:rFonts w:ascii="Times New Roman" w:hAnsi="Times New Roman" w:cs="Times New Roman"/>
          <w:sz w:val="24"/>
          <w:szCs w:val="24"/>
        </w:rPr>
        <w:t>monitorovacích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zpráv</w:t>
      </w:r>
      <w:r w:rsidRPr="00993333">
        <w:rPr>
          <w:rFonts w:ascii="Times New Roman" w:hAnsi="Times New Roman" w:cs="Times New Roman"/>
          <w:sz w:val="24"/>
          <w:szCs w:val="24"/>
        </w:rPr>
        <w:t>,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žádost</w:t>
      </w:r>
      <w:r w:rsidRPr="00993333">
        <w:rPr>
          <w:rFonts w:ascii="Times New Roman" w:hAnsi="Times New Roman" w:cs="Times New Roman"/>
          <w:sz w:val="24"/>
          <w:szCs w:val="24"/>
        </w:rPr>
        <w:t>í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o platbu včetně závěrečného vyúčtování</w:t>
      </w:r>
    </w:p>
    <w:p w14:paraId="316C6E5A" w14:textId="15422BFE" w:rsidR="00977D05" w:rsidRPr="00993333" w:rsidRDefault="00824BB8" w:rsidP="0099333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(více viz  Příloha č. 1)</w:t>
      </w:r>
    </w:p>
    <w:p w14:paraId="27D248A4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49397C2B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D5D4720" w14:textId="77777777" w:rsidR="00977D05" w:rsidRPr="00977D05" w:rsidRDefault="00977D05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4E73C015" w14:textId="4670AC35" w:rsidR="00993E9F" w:rsidRPr="00F83DE2" w:rsidRDefault="002D3CF2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5C4375">
        <w:rPr>
          <w:rFonts w:ascii="Times New Roman" w:hAnsi="Times New Roman" w:cs="Times New Roman"/>
          <w:sz w:val="24"/>
          <w:szCs w:val="24"/>
        </w:rPr>
        <w:t>5</w:t>
      </w:r>
      <w:r w:rsidR="00082243">
        <w:rPr>
          <w:rFonts w:ascii="Times New Roman" w:hAnsi="Times New Roman" w:cs="Times New Roman"/>
          <w:sz w:val="24"/>
          <w:szCs w:val="24"/>
        </w:rPr>
        <w:t xml:space="preserve"> </w:t>
      </w:r>
      <w:r w:rsidR="001C0C5C">
        <w:rPr>
          <w:rFonts w:ascii="Times New Roman" w:hAnsi="Times New Roman" w:cs="Times New Roman"/>
          <w:sz w:val="24"/>
          <w:szCs w:val="24"/>
        </w:rPr>
        <w:t>%</w:t>
      </w:r>
      <w:r w:rsidR="0069040B">
        <w:rPr>
          <w:rFonts w:ascii="Times New Roman" w:hAnsi="Times New Roman" w:cs="Times New Roman"/>
          <w:sz w:val="24"/>
          <w:szCs w:val="24"/>
        </w:rPr>
        <w:t xml:space="preserve"> bez DPH </w:t>
      </w:r>
      <w:r w:rsidR="001C0C5C">
        <w:rPr>
          <w:rFonts w:ascii="Times New Roman" w:hAnsi="Times New Roman" w:cs="Times New Roman"/>
          <w:sz w:val="24"/>
          <w:szCs w:val="24"/>
        </w:rPr>
        <w:t>z celkové výše schválené dotace</w:t>
      </w:r>
      <w:r w:rsidR="00993E9F">
        <w:rPr>
          <w:rFonts w:ascii="Times New Roman" w:hAnsi="Times New Roman" w:cs="Times New Roman"/>
          <w:sz w:val="24"/>
          <w:szCs w:val="24"/>
        </w:rPr>
        <w:t xml:space="preserve"> předmětného projektu</w:t>
      </w:r>
      <w:r w:rsidR="00993333">
        <w:rPr>
          <w:rFonts w:ascii="Times New Roman" w:hAnsi="Times New Roman" w:cs="Times New Roman"/>
          <w:sz w:val="24"/>
          <w:szCs w:val="24"/>
        </w:rPr>
        <w:t xml:space="preserve">, tj. </w:t>
      </w:r>
      <w:r w:rsidR="005B3239">
        <w:rPr>
          <w:rFonts w:ascii="Times New Roman" w:hAnsi="Times New Roman" w:cs="Times New Roman"/>
          <w:sz w:val="24"/>
          <w:szCs w:val="24"/>
          <w:highlight w:val="cyan"/>
        </w:rPr>
        <w:t>52.513,5</w:t>
      </w:r>
      <w:r w:rsidR="00993333" w:rsidRPr="00C74A0C">
        <w:rPr>
          <w:rFonts w:ascii="Times New Roman" w:hAnsi="Times New Roman" w:cs="Times New Roman"/>
          <w:sz w:val="24"/>
          <w:szCs w:val="24"/>
          <w:highlight w:val="cyan"/>
        </w:rPr>
        <w:t xml:space="preserve"> Kč bez </w:t>
      </w:r>
      <w:r w:rsidR="00993333" w:rsidRPr="002A3F0A">
        <w:rPr>
          <w:rFonts w:ascii="Times New Roman" w:hAnsi="Times New Roman" w:cs="Times New Roman"/>
          <w:sz w:val="24"/>
          <w:szCs w:val="24"/>
          <w:highlight w:val="cyan"/>
        </w:rPr>
        <w:t>DPH, tj</w:t>
      </w:r>
      <w:r w:rsidR="005B3239">
        <w:rPr>
          <w:rFonts w:ascii="Times New Roman" w:hAnsi="Times New Roman" w:cs="Times New Roman"/>
          <w:sz w:val="24"/>
          <w:szCs w:val="24"/>
          <w:highlight w:val="cyan"/>
        </w:rPr>
        <w:t xml:space="preserve"> 63.541,3</w:t>
      </w:r>
      <w:r w:rsidR="009F75E6" w:rsidRPr="002A3F0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B97542" w:rsidRPr="002A3F0A">
        <w:rPr>
          <w:rFonts w:ascii="Times New Roman" w:hAnsi="Times New Roman" w:cs="Times New Roman"/>
          <w:sz w:val="24"/>
          <w:szCs w:val="24"/>
          <w:highlight w:val="cyan"/>
        </w:rPr>
        <w:t>Kč</w:t>
      </w:r>
      <w:r w:rsidR="00993333" w:rsidRPr="002A3F0A">
        <w:rPr>
          <w:rFonts w:ascii="Times New Roman" w:hAnsi="Times New Roman" w:cs="Times New Roman"/>
          <w:sz w:val="24"/>
          <w:szCs w:val="24"/>
          <w:highlight w:val="cyan"/>
        </w:rPr>
        <w:t xml:space="preserve"> s DPH</w:t>
      </w:r>
      <w:r w:rsidR="001C0C5C" w:rsidRPr="002A3F0A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1C0C5C">
        <w:rPr>
          <w:rFonts w:ascii="Times New Roman" w:hAnsi="Times New Roman" w:cs="Times New Roman"/>
          <w:sz w:val="24"/>
          <w:szCs w:val="24"/>
        </w:rPr>
        <w:t xml:space="preserve"> </w:t>
      </w:r>
      <w:r w:rsidR="00E9157E">
        <w:rPr>
          <w:rFonts w:ascii="Times New Roman" w:hAnsi="Times New Roman" w:cs="Times New Roman"/>
          <w:sz w:val="24"/>
          <w:szCs w:val="24"/>
        </w:rPr>
        <w:t xml:space="preserve">Tato odměna je splatná </w:t>
      </w:r>
      <w:r w:rsidR="001F48AF" w:rsidRPr="00F83DE2">
        <w:rPr>
          <w:rFonts w:ascii="Times New Roman" w:hAnsi="Times New Roman" w:cs="Times New Roman"/>
          <w:sz w:val="24"/>
          <w:szCs w:val="24"/>
        </w:rPr>
        <w:t>po</w:t>
      </w:r>
      <w:r w:rsidR="00371B7C" w:rsidRPr="00F83DE2">
        <w:rPr>
          <w:rFonts w:ascii="Times New Roman" w:hAnsi="Times New Roman" w:cs="Times New Roman"/>
          <w:sz w:val="24"/>
          <w:szCs w:val="24"/>
        </w:rPr>
        <w:t xml:space="preserve"> obdržení </w:t>
      </w:r>
      <w:r w:rsidR="001F48AF" w:rsidRPr="00F83DE2">
        <w:rPr>
          <w:rFonts w:ascii="Times New Roman" w:hAnsi="Times New Roman" w:cs="Times New Roman"/>
          <w:sz w:val="24"/>
          <w:szCs w:val="24"/>
        </w:rPr>
        <w:t>zálohové platby</w:t>
      </w:r>
      <w:r w:rsidR="00993E9F" w:rsidRPr="00F83DE2">
        <w:rPr>
          <w:rFonts w:ascii="Times New Roman" w:hAnsi="Times New Roman" w:cs="Times New Roman"/>
          <w:sz w:val="24"/>
          <w:szCs w:val="24"/>
        </w:rPr>
        <w:t xml:space="preserve"> dotace </w:t>
      </w:r>
      <w:r w:rsidR="001F48AF" w:rsidRPr="00F83DE2">
        <w:rPr>
          <w:rFonts w:ascii="Times New Roman" w:hAnsi="Times New Roman" w:cs="Times New Roman"/>
          <w:sz w:val="24"/>
          <w:szCs w:val="24"/>
        </w:rPr>
        <w:t>na účet příjemce</w:t>
      </w:r>
      <w:r w:rsidR="00F83DE2">
        <w:rPr>
          <w:rFonts w:ascii="Times New Roman" w:hAnsi="Times New Roman" w:cs="Times New Roman"/>
          <w:sz w:val="24"/>
          <w:szCs w:val="24"/>
        </w:rPr>
        <w:t>.</w:t>
      </w:r>
    </w:p>
    <w:p w14:paraId="7A1F9BA4" w14:textId="296FEADE" w:rsidR="0008115A" w:rsidRDefault="00E9157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</w:t>
      </w:r>
      <w:r w:rsidR="000B5988">
        <w:rPr>
          <w:rFonts w:ascii="Times New Roman" w:hAnsi="Times New Roman" w:cs="Times New Roman"/>
          <w:sz w:val="24"/>
          <w:szCs w:val="24"/>
        </w:rPr>
        <w:t>ytovatel má na odměnu dle bodu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tohoto článku nárok pouze v případě, že projektová žádost bude schválena</w:t>
      </w:r>
      <w:r w:rsidR="000C38BE">
        <w:rPr>
          <w:rFonts w:ascii="Times New Roman" w:hAnsi="Times New Roman" w:cs="Times New Roman"/>
          <w:sz w:val="24"/>
          <w:szCs w:val="24"/>
        </w:rPr>
        <w:t>.</w:t>
      </w:r>
    </w:p>
    <w:p w14:paraId="29A2D119" w14:textId="77777777" w:rsidR="000C38BE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uvedená odměna je konečná a poskytovatel nemá nárok ji jakkoliv navyšovat (např. nárokováním cestovného apod.).</w:t>
      </w:r>
    </w:p>
    <w:p w14:paraId="663C82EC" w14:textId="49C96E59" w:rsidR="000C38BE" w:rsidRPr="000D357C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3A778594" w14:textId="77777777" w:rsidR="0008115A" w:rsidRDefault="0008115A" w:rsidP="0008115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096670AA" w:rsidR="0008115A" w:rsidRPr="000D357C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F83DE2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39FCD9DD" w14:textId="08CA38A8" w:rsidR="00F83DE2" w:rsidRDefault="0008115A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F83DE2">
        <w:rPr>
          <w:rFonts w:ascii="Times New Roman" w:hAnsi="Times New Roman" w:cs="Times New Roman"/>
          <w:sz w:val="24"/>
          <w:szCs w:val="24"/>
        </w:rPr>
        <w:t xml:space="preserve">při plnění smlouvy postupovat s odbornou péčí v zájmu Příjemce, dle této smlouvy a platných ustanovení zákona. </w:t>
      </w:r>
    </w:p>
    <w:p w14:paraId="0D942E8B" w14:textId="32079EF9" w:rsid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>
        <w:rPr>
          <w:rFonts w:ascii="Times New Roman" w:hAnsi="Times New Roman" w:cs="Times New Roman"/>
          <w:sz w:val="24"/>
          <w:szCs w:val="24"/>
        </w:rPr>
        <w:t>ých mu ke zpracování Příjemcem.</w:t>
      </w:r>
    </w:p>
    <w:p w14:paraId="39C6ADBA" w14:textId="15F4DCFD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6038EF7" w14:textId="3A2503C1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21905DC4" w14:textId="32B898A2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="00F83DE2"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3A69FF58" w14:textId="0E90DC3D" w:rsidR="00F83DE2" w:rsidRP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 w:rsidR="00DF082D"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 w:rsidR="00DF082D">
        <w:rPr>
          <w:rFonts w:ascii="Times New Roman" w:hAnsi="Times New Roman" w:cs="Times New Roman"/>
          <w:sz w:val="24"/>
          <w:szCs w:val="24"/>
        </w:rPr>
        <w:t xml:space="preserve">vy ve smyslu ustanovení čl. </w:t>
      </w:r>
      <w:r w:rsidR="009B6D50">
        <w:rPr>
          <w:rFonts w:ascii="Times New Roman" w:hAnsi="Times New Roman" w:cs="Times New Roman"/>
          <w:sz w:val="24"/>
          <w:szCs w:val="24"/>
        </w:rPr>
        <w:t>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 w:rsidR="00DF082D"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="00DF082D"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 w:rsidR="00DF082D">
        <w:rPr>
          <w:rFonts w:ascii="Times New Roman" w:hAnsi="Times New Roman" w:cs="Times New Roman"/>
          <w:sz w:val="24"/>
          <w:szCs w:val="24"/>
        </w:rPr>
        <w:t xml:space="preserve">dměna 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r w:rsidR="00DF082D">
        <w:rPr>
          <w:rFonts w:ascii="Times New Roman" w:hAnsi="Times New Roman" w:cs="Times New Roman"/>
          <w:sz w:val="24"/>
          <w:szCs w:val="24"/>
        </w:rPr>
        <w:t xml:space="preserve"> II ods. 1)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0F75B654" w14:textId="2DB4512C" w:rsid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7A5E9369" w14:textId="77777777" w:rsid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6DED9A44" w14:textId="194A0DC5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</w:t>
      </w:r>
      <w:r w:rsidR="009A6A9E">
        <w:rPr>
          <w:rFonts w:ascii="Times New Roman" w:hAnsi="Times New Roman" w:cs="Times New Roman"/>
          <w:sz w:val="24"/>
          <w:szCs w:val="24"/>
        </w:rPr>
        <w:t xml:space="preserve"> a jeho realizací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A9E">
        <w:rPr>
          <w:rFonts w:ascii="Times New Roman" w:hAnsi="Times New Roman" w:cs="Times New Roman"/>
          <w:sz w:val="24"/>
          <w:szCs w:val="24"/>
        </w:rPr>
        <w:t xml:space="preserve"> Rozhodným dnem je vždy obdržení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A9E">
        <w:rPr>
          <w:rFonts w:ascii="Times New Roman" w:hAnsi="Times New Roman" w:cs="Times New Roman"/>
          <w:sz w:val="24"/>
          <w:szCs w:val="24"/>
        </w:rPr>
        <w:t xml:space="preserve">veškerých </w:t>
      </w:r>
      <w:r>
        <w:rPr>
          <w:rFonts w:ascii="Times New Roman" w:hAnsi="Times New Roman" w:cs="Times New Roman"/>
          <w:sz w:val="24"/>
          <w:szCs w:val="24"/>
        </w:rPr>
        <w:t xml:space="preserve">podkladů minimálně 30 dnů před odevzdáním </w:t>
      </w:r>
      <w:r w:rsidR="009A6A9E">
        <w:rPr>
          <w:rFonts w:ascii="Times New Roman" w:hAnsi="Times New Roman" w:cs="Times New Roman"/>
          <w:sz w:val="24"/>
          <w:szCs w:val="24"/>
        </w:rPr>
        <w:t xml:space="preserve">monitorovací </w:t>
      </w:r>
      <w:r>
        <w:rPr>
          <w:rFonts w:ascii="Times New Roman" w:hAnsi="Times New Roman" w:cs="Times New Roman"/>
          <w:sz w:val="24"/>
          <w:szCs w:val="24"/>
        </w:rPr>
        <w:t xml:space="preserve">zprávy na řídící orgán. </w:t>
      </w:r>
    </w:p>
    <w:p w14:paraId="6C5F1A9A" w14:textId="180DFF5E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V případě pozdního předání podkladů pro realizaci předmětu této smlouvy, nese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 w:rsidR="009A6A9E"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6AE0" w14:textId="4A5095D3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9A6A9E"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DF082D">
        <w:rPr>
          <w:rFonts w:ascii="Times New Roman" w:hAnsi="Times New Roman" w:cs="Times New Roman"/>
          <w:sz w:val="24"/>
          <w:szCs w:val="24"/>
        </w:rPr>
        <w:t>rozumě požadovat. Zejména je povinen umožnit P</w:t>
      </w:r>
      <w:r w:rsidR="009A6A9E"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 w:rsidR="009A6A9E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 w:rsidR="009A6A9E"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00ECE0A1" w14:textId="10400825" w:rsidR="00DF082D" w:rsidRPr="009A6A9E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 w:rsidR="009A6A9E"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BCFEA6E" w14:textId="25A81801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2252091E" w14:textId="2B52CB02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0349126" w14:textId="7AB2E5C0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5B369E15" w14:textId="3216A75A" w:rsidR="00AD0C37" w:rsidRDefault="00AD0C37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projektu. </w:t>
      </w:r>
    </w:p>
    <w:p w14:paraId="71B58181" w14:textId="77777777" w:rsidR="00821970" w:rsidRPr="00EC5B0C" w:rsidRDefault="00821970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150D8956" w14:textId="6A1D6C9C" w:rsidR="007E09AB" w:rsidRDefault="007E09AB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zodpovědný za vyvěšení uzavřené smlouvy dle platné legislativy v </w:t>
      </w:r>
      <w:r w:rsidR="002470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smluv. Pokud tak Příjemce neučiní do 30 dnů od uzavření smlouvy, je Poskytovatel oprávněn žádat sankci</w:t>
      </w:r>
      <w:r w:rsidR="002470F6">
        <w:rPr>
          <w:rFonts w:ascii="Times New Roman" w:hAnsi="Times New Roman" w:cs="Times New Roman"/>
          <w:sz w:val="24"/>
          <w:szCs w:val="24"/>
        </w:rPr>
        <w:t xml:space="preserve"> za nesplnění podmínky ve výši 2</w:t>
      </w:r>
      <w:r>
        <w:rPr>
          <w:rFonts w:ascii="Times New Roman" w:hAnsi="Times New Roman" w:cs="Times New Roman"/>
          <w:sz w:val="24"/>
          <w:szCs w:val="24"/>
        </w:rPr>
        <w:t>.000 Kč</w:t>
      </w:r>
      <w:r w:rsidR="002470F6">
        <w:rPr>
          <w:rFonts w:ascii="Times New Roman" w:hAnsi="Times New Roman" w:cs="Times New Roman"/>
          <w:sz w:val="24"/>
          <w:szCs w:val="24"/>
        </w:rPr>
        <w:t xml:space="preserve"> a následně uveřejňuje smlouvu vlastními silami</w:t>
      </w:r>
      <w:r w:rsidR="00821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3EB5D" w14:textId="140E1704" w:rsidR="002470F6" w:rsidRPr="002470F6" w:rsidRDefault="002470F6" w:rsidP="002470F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nižší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78512A71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A1F06DB" w14:textId="77777777" w:rsidR="00AD0C37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40D44AE" w14:textId="77777777" w:rsidR="00AD0C37" w:rsidRPr="000D357C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7869A8AD" w14:textId="6C49167A" w:rsidR="009B6D50" w:rsidRPr="009B6D50" w:rsidRDefault="009B6D50" w:rsidP="009B6D5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1048D0FB" w14:textId="77777777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1AC15CD5" w14:textId="7C8F6E4A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jinak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 w:rsidR="009B6D50">
        <w:rPr>
          <w:rFonts w:ascii="Times New Roman" w:hAnsi="Times New Roman" w:cs="Times New Roman"/>
          <w:sz w:val="24"/>
          <w:szCs w:val="24"/>
        </w:rPr>
        <w:t>sud poskytnuté služby ve výši 8</w:t>
      </w:r>
      <w:r w:rsidRPr="002470F6">
        <w:rPr>
          <w:rFonts w:ascii="Times New Roman" w:hAnsi="Times New Roman" w:cs="Times New Roman"/>
          <w:sz w:val="24"/>
          <w:szCs w:val="24"/>
        </w:rPr>
        <w:t>00,-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>, veškeré dosud vynaložené náklady spojené s poskytováním služeb a všechny odměny a ceny podle této smlouvy, za účelem kterých již byla vykonána činnost, bez ohledu nato zda přinesla očekávaný výsledek a bez ohledu nato zda již vzniklo dílčí zdanitelné plnění.</w:t>
      </w:r>
    </w:p>
    <w:p w14:paraId="36BA0E3F" w14:textId="77777777" w:rsidR="002470F6" w:rsidRDefault="002470F6" w:rsidP="009B6D5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FE5C87" w14:textId="45A28A56" w:rsid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26FCA7C" w14:textId="77777777" w:rsidR="002470F6" w:rsidRPr="009B6D50" w:rsidRDefault="002470F6" w:rsidP="009B6D5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0AE042A0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3C1423EC" w14:textId="4688C555" w:rsidR="00EC5B0C" w:rsidRP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</w:t>
      </w:r>
      <w:r w:rsidR="005F7C67">
        <w:rPr>
          <w:rFonts w:ascii="Times New Roman" w:hAnsi="Times New Roman" w:cs="Times New Roman"/>
          <w:sz w:val="24"/>
          <w:szCs w:val="24"/>
        </w:rPr>
        <w:t>PPR</w:t>
      </w:r>
      <w:r w:rsidRPr="00EC5B0C">
        <w:rPr>
          <w:rFonts w:ascii="Times New Roman" w:hAnsi="Times New Roman" w:cs="Times New Roman"/>
          <w:sz w:val="24"/>
          <w:szCs w:val="24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BB2DA6A" w14:textId="2C6321BB" w:rsid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82C71BC" w14:textId="77777777" w:rsidR="00EC5B0C" w:rsidRPr="00990C39" w:rsidRDefault="00EC5B0C" w:rsidP="00EC5B0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38553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29D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BB427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39F947E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64E393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1F4FE2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62AB9A43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C302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r w:rsidR="00BB427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052F4F1" w14:textId="185AD01B" w:rsidR="00787E47" w:rsidRPr="000D357C" w:rsidRDefault="007E6505" w:rsidP="00EC5B0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příjemce služby</w:t>
            </w:r>
          </w:p>
        </w:tc>
      </w:tr>
    </w:tbl>
    <w:p w14:paraId="7ABE498B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7118431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AD1E0D5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36018AA0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42FDA2A" w14:textId="057435FB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56478D3D" w14:textId="77777777" w:rsidR="002A3F0A" w:rsidRDefault="002A3F0A" w:rsidP="005652F3">
      <w:pPr>
        <w:rPr>
          <w:rFonts w:ascii="Times New Roman" w:hAnsi="Times New Roman" w:cs="Times New Roman"/>
          <w:sz w:val="24"/>
          <w:szCs w:val="24"/>
        </w:rPr>
      </w:pPr>
    </w:p>
    <w:p w14:paraId="24949199" w14:textId="72A26356" w:rsidR="009F75E6" w:rsidRDefault="009F75E6" w:rsidP="005652F3">
      <w:pPr>
        <w:rPr>
          <w:rFonts w:ascii="Times New Roman" w:hAnsi="Times New Roman" w:cs="Times New Roman"/>
          <w:sz w:val="24"/>
          <w:szCs w:val="24"/>
        </w:rPr>
      </w:pPr>
    </w:p>
    <w:p w14:paraId="5AC9C264" w14:textId="093362C1" w:rsidR="009F75E6" w:rsidRDefault="009F75E6" w:rsidP="005652F3">
      <w:pPr>
        <w:rPr>
          <w:rFonts w:ascii="Times New Roman" w:hAnsi="Times New Roman" w:cs="Times New Roman"/>
          <w:sz w:val="24"/>
          <w:szCs w:val="24"/>
        </w:rPr>
      </w:pPr>
    </w:p>
    <w:p w14:paraId="13603339" w14:textId="77777777" w:rsidR="009F75E6" w:rsidRDefault="009F75E6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lastRenderedPageBreak/>
        <w:t>Příloha č. 1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2DF3B53A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="00824BB8"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2C0F4E25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3A98D0AD" w14:textId="52B6E8DE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138A44B5" w14:textId="594D169B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0ABF474E" w14:textId="6AE268D9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671F3C5F" w14:textId="5165BE16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345BFBD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1D939D59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60C05A5D" w14:textId="0F209EF0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 (pokud projekt příjmy generuje)</w:t>
      </w:r>
    </w:p>
    <w:p w14:paraId="4E577C4C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44843DBD" w:rsidR="00824BB8" w:rsidRPr="009200EB" w:rsidRDefault="00824BB8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</w:t>
      </w:r>
      <w:r w:rsid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2BA37684" w14:textId="785006D6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pověření -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906778D" w14:textId="72081D9D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82C78F" w:rsidR="00824BB8" w:rsidRPr="007E6505" w:rsidRDefault="009200EB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onitoring projektu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ve spolupráci s Příjemcem dotace</w:t>
      </w:r>
    </w:p>
    <w:p w14:paraId="74AADC42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14:paraId="45D49A07" w14:textId="77777777" w:rsidR="00824BB8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14:paraId="77F56E2B" w14:textId="77777777" w:rsidR="009200EB" w:rsidRPr="009200EB" w:rsidRDefault="009200EB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Zpracování případných oprav a doplnění informací o pokroku v realizaci projektu, zpráv o realizaci projektu a žádostí o platbu na základě připomínek objednatele nebo řídícího orgánu </w:t>
      </w:r>
    </w:p>
    <w:p w14:paraId="586363B8" w14:textId="77777777" w:rsidR="009200EB" w:rsidRPr="007E6505" w:rsidRDefault="009200EB" w:rsidP="009200EB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200EB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">
    <w:altName w:val="﷽﷽﷽﷽﷽﷽⸷Ɛ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31"/>
  </w:num>
  <w:num w:numId="5">
    <w:abstractNumId w:val="13"/>
  </w:num>
  <w:num w:numId="6">
    <w:abstractNumId w:val="32"/>
  </w:num>
  <w:num w:numId="7">
    <w:abstractNumId w:val="24"/>
  </w:num>
  <w:num w:numId="8">
    <w:abstractNumId w:val="3"/>
  </w:num>
  <w:num w:numId="9">
    <w:abstractNumId w:val="2"/>
  </w:num>
  <w:num w:numId="10">
    <w:abstractNumId w:val="5"/>
  </w:num>
  <w:num w:numId="11">
    <w:abstractNumId w:val="28"/>
  </w:num>
  <w:num w:numId="12">
    <w:abstractNumId w:val="25"/>
  </w:num>
  <w:num w:numId="13">
    <w:abstractNumId w:val="10"/>
  </w:num>
  <w:num w:numId="14">
    <w:abstractNumId w:val="33"/>
  </w:num>
  <w:num w:numId="15">
    <w:abstractNumId w:val="20"/>
  </w:num>
  <w:num w:numId="16">
    <w:abstractNumId w:val="17"/>
  </w:num>
  <w:num w:numId="17">
    <w:abstractNumId w:val="9"/>
  </w:num>
  <w:num w:numId="18">
    <w:abstractNumId w:val="12"/>
  </w:num>
  <w:num w:numId="19">
    <w:abstractNumId w:val="11"/>
  </w:num>
  <w:num w:numId="20">
    <w:abstractNumId w:val="6"/>
  </w:num>
  <w:num w:numId="21">
    <w:abstractNumId w:val="4"/>
  </w:num>
  <w:num w:numId="22">
    <w:abstractNumId w:val="21"/>
  </w:num>
  <w:num w:numId="23">
    <w:abstractNumId w:val="8"/>
  </w:num>
  <w:num w:numId="24">
    <w:abstractNumId w:val="18"/>
  </w:num>
  <w:num w:numId="25">
    <w:abstractNumId w:val="15"/>
  </w:num>
  <w:num w:numId="26">
    <w:abstractNumId w:val="29"/>
  </w:num>
  <w:num w:numId="27">
    <w:abstractNumId w:val="16"/>
  </w:num>
  <w:num w:numId="28">
    <w:abstractNumId w:val="14"/>
  </w:num>
  <w:num w:numId="29">
    <w:abstractNumId w:val="23"/>
  </w:num>
  <w:num w:numId="30">
    <w:abstractNumId w:val="26"/>
  </w:num>
  <w:num w:numId="31">
    <w:abstractNumId w:val="19"/>
  </w:num>
  <w:num w:numId="32">
    <w:abstractNumId w:val="1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B1"/>
    <w:rsid w:val="00005D54"/>
    <w:rsid w:val="0008115A"/>
    <w:rsid w:val="00082243"/>
    <w:rsid w:val="000B5988"/>
    <w:rsid w:val="000C38BE"/>
    <w:rsid w:val="000D357C"/>
    <w:rsid w:val="000E084F"/>
    <w:rsid w:val="0011568F"/>
    <w:rsid w:val="00175E8A"/>
    <w:rsid w:val="00186B42"/>
    <w:rsid w:val="00191EB2"/>
    <w:rsid w:val="00193828"/>
    <w:rsid w:val="00193947"/>
    <w:rsid w:val="001C0C5C"/>
    <w:rsid w:val="001D3673"/>
    <w:rsid w:val="001F48AF"/>
    <w:rsid w:val="00206C27"/>
    <w:rsid w:val="0021732E"/>
    <w:rsid w:val="00242CC9"/>
    <w:rsid w:val="002470F6"/>
    <w:rsid w:val="002A3F0A"/>
    <w:rsid w:val="002D3CF2"/>
    <w:rsid w:val="002D6B19"/>
    <w:rsid w:val="00331EC1"/>
    <w:rsid w:val="0036395A"/>
    <w:rsid w:val="00371B7C"/>
    <w:rsid w:val="00373080"/>
    <w:rsid w:val="00385A16"/>
    <w:rsid w:val="00387B69"/>
    <w:rsid w:val="003A348D"/>
    <w:rsid w:val="003B7084"/>
    <w:rsid w:val="003C302A"/>
    <w:rsid w:val="003C346C"/>
    <w:rsid w:val="00415DAE"/>
    <w:rsid w:val="00490F29"/>
    <w:rsid w:val="004B636C"/>
    <w:rsid w:val="004C68D4"/>
    <w:rsid w:val="004D673A"/>
    <w:rsid w:val="004F4997"/>
    <w:rsid w:val="00515F8B"/>
    <w:rsid w:val="005652F3"/>
    <w:rsid w:val="005B22ED"/>
    <w:rsid w:val="005B3239"/>
    <w:rsid w:val="005C4375"/>
    <w:rsid w:val="005C43F5"/>
    <w:rsid w:val="005C7489"/>
    <w:rsid w:val="005E4E6B"/>
    <w:rsid w:val="005E78B1"/>
    <w:rsid w:val="005F7C67"/>
    <w:rsid w:val="00601127"/>
    <w:rsid w:val="00625463"/>
    <w:rsid w:val="00627F07"/>
    <w:rsid w:val="00640E86"/>
    <w:rsid w:val="006629FE"/>
    <w:rsid w:val="0069040B"/>
    <w:rsid w:val="006A09A9"/>
    <w:rsid w:val="006B11E4"/>
    <w:rsid w:val="00721251"/>
    <w:rsid w:val="00787E47"/>
    <w:rsid w:val="007E09AB"/>
    <w:rsid w:val="007E6505"/>
    <w:rsid w:val="007F31A0"/>
    <w:rsid w:val="008121D7"/>
    <w:rsid w:val="00821970"/>
    <w:rsid w:val="00824BB8"/>
    <w:rsid w:val="00826583"/>
    <w:rsid w:val="00837E51"/>
    <w:rsid w:val="00854EB3"/>
    <w:rsid w:val="008639A7"/>
    <w:rsid w:val="00873A9B"/>
    <w:rsid w:val="008A5E83"/>
    <w:rsid w:val="008C5856"/>
    <w:rsid w:val="008C6B1D"/>
    <w:rsid w:val="009154AC"/>
    <w:rsid w:val="009200EB"/>
    <w:rsid w:val="00934B55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9F75E6"/>
    <w:rsid w:val="00A15BC7"/>
    <w:rsid w:val="00A36798"/>
    <w:rsid w:val="00A640C8"/>
    <w:rsid w:val="00A741FC"/>
    <w:rsid w:val="00AD0C37"/>
    <w:rsid w:val="00AE2967"/>
    <w:rsid w:val="00B00AB7"/>
    <w:rsid w:val="00B24E47"/>
    <w:rsid w:val="00B45E09"/>
    <w:rsid w:val="00B7133A"/>
    <w:rsid w:val="00B8511C"/>
    <w:rsid w:val="00B97542"/>
    <w:rsid w:val="00BA0D5E"/>
    <w:rsid w:val="00BA262F"/>
    <w:rsid w:val="00BB4271"/>
    <w:rsid w:val="00BE742B"/>
    <w:rsid w:val="00BF42A0"/>
    <w:rsid w:val="00C248D6"/>
    <w:rsid w:val="00C54912"/>
    <w:rsid w:val="00C60607"/>
    <w:rsid w:val="00C74A0C"/>
    <w:rsid w:val="00CA2C70"/>
    <w:rsid w:val="00CA53E2"/>
    <w:rsid w:val="00CE6A77"/>
    <w:rsid w:val="00CF52CD"/>
    <w:rsid w:val="00D038DE"/>
    <w:rsid w:val="00D20721"/>
    <w:rsid w:val="00DD6855"/>
    <w:rsid w:val="00DF082D"/>
    <w:rsid w:val="00E1740E"/>
    <w:rsid w:val="00E22C3A"/>
    <w:rsid w:val="00E9157E"/>
    <w:rsid w:val="00EC5B0C"/>
    <w:rsid w:val="00F3219C"/>
    <w:rsid w:val="00F76F96"/>
    <w:rsid w:val="00F8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  <w15:docId w15:val="{20F2214C-49F1-DC4F-99DB-7D92C4FF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ln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D9E4-96A9-1D4E-AB7B-360A6F93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1984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13668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9</cp:revision>
  <cp:lastPrinted>2016-12-08T16:09:00Z</cp:lastPrinted>
  <dcterms:created xsi:type="dcterms:W3CDTF">2021-01-13T21:10:00Z</dcterms:created>
  <dcterms:modified xsi:type="dcterms:W3CDTF">2021-05-19T09:30:00Z</dcterms:modified>
</cp:coreProperties>
</file>