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8685" w14:textId="2D40ADAC" w:rsidR="0055008B" w:rsidRPr="009663CB" w:rsidRDefault="0052681D" w:rsidP="0055008B">
      <w:pPr>
        <w:suppressAutoHyphens/>
        <w:spacing w:before="480" w:after="720" w:line="280" w:lineRule="atLeast"/>
        <w:jc w:val="center"/>
        <w:rPr>
          <w:rFonts w:eastAsia="Times New Roman" w:cs="Tahoma"/>
          <w:b/>
          <w:spacing w:val="30"/>
          <w:sz w:val="32"/>
          <w:szCs w:val="32"/>
          <w:lang w:eastAsia="ar-SA"/>
        </w:rPr>
      </w:pPr>
      <w:r>
        <w:rPr>
          <w:rFonts w:eastAsia="Times New Roman" w:cs="Tahoma"/>
          <w:b/>
          <w:spacing w:val="30"/>
          <w:sz w:val="32"/>
          <w:szCs w:val="32"/>
          <w:lang w:eastAsia="ar-SA"/>
        </w:rPr>
        <w:t>S</w:t>
      </w:r>
      <w:r w:rsidR="0055008B" w:rsidRPr="009663CB">
        <w:rPr>
          <w:rFonts w:eastAsia="Times New Roman" w:cs="Tahoma"/>
          <w:b/>
          <w:spacing w:val="30"/>
          <w:sz w:val="32"/>
          <w:szCs w:val="32"/>
          <w:lang w:eastAsia="ar-SA"/>
        </w:rPr>
        <w:t>mlouva</w:t>
      </w:r>
      <w:r>
        <w:rPr>
          <w:rFonts w:eastAsia="Times New Roman" w:cs="Tahoma"/>
          <w:b/>
          <w:spacing w:val="30"/>
          <w:sz w:val="32"/>
          <w:szCs w:val="32"/>
          <w:lang w:eastAsia="ar-SA"/>
        </w:rPr>
        <w:t xml:space="preserve"> o poskytování služeb</w:t>
      </w:r>
    </w:p>
    <w:p w14:paraId="20006932" w14:textId="77777777" w:rsidR="0055008B" w:rsidRPr="0082179A" w:rsidRDefault="0055008B" w:rsidP="0055008B">
      <w:pPr>
        <w:spacing w:after="720" w:line="280" w:lineRule="atLeast"/>
        <w:jc w:val="center"/>
        <w:rPr>
          <w:rFonts w:ascii="Arial" w:hAnsi="Arial" w:cs="Arial"/>
        </w:rPr>
      </w:pPr>
      <w:r w:rsidRPr="0082179A">
        <w:rPr>
          <w:rFonts w:ascii="Arial" w:hAnsi="Arial" w:cs="Arial"/>
        </w:rPr>
        <w:t>Níže uvedeného dne, měsíce a roku uzavřely tyto smluvní strany</w:t>
      </w:r>
    </w:p>
    <w:p w14:paraId="5FC41D4D" w14:textId="77777777" w:rsidR="00EF0590" w:rsidRDefault="00EF0590" w:rsidP="0055008B">
      <w:pPr>
        <w:pStyle w:val="Identifikacefirem"/>
        <w:tabs>
          <w:tab w:val="left" w:pos="1843"/>
        </w:tabs>
        <w:rPr>
          <w:rFonts w:cs="Tahoma"/>
          <w:b/>
          <w:bCs/>
          <w:iCs/>
          <w:w w:val="100"/>
        </w:rPr>
      </w:pPr>
      <w:r>
        <w:rPr>
          <w:rFonts w:cs="Tahoma"/>
          <w:b/>
          <w:bCs/>
          <w:iCs/>
          <w:w w:val="100"/>
        </w:rPr>
        <w:t>KORDIS JMK, a.s.</w:t>
      </w:r>
    </w:p>
    <w:p w14:paraId="37AF4B32" w14:textId="15F7C4F6" w:rsidR="0055008B" w:rsidRPr="00904C5D" w:rsidRDefault="0055008B" w:rsidP="0055008B">
      <w:pPr>
        <w:pStyle w:val="Identifikacefirem"/>
        <w:tabs>
          <w:tab w:val="left" w:pos="1843"/>
        </w:tabs>
        <w:rPr>
          <w:rFonts w:cs="Tahoma"/>
        </w:rPr>
      </w:pPr>
      <w:r w:rsidRPr="00904C5D">
        <w:rPr>
          <w:rFonts w:cs="Tahoma"/>
        </w:rPr>
        <w:t>Sídlo:</w:t>
      </w:r>
      <w:r w:rsidRPr="00904C5D">
        <w:rPr>
          <w:rFonts w:cs="Tahoma"/>
        </w:rPr>
        <w:tab/>
      </w:r>
      <w:r w:rsidRPr="00904C5D">
        <w:rPr>
          <w:rFonts w:cs="Tahoma"/>
        </w:rPr>
        <w:tab/>
      </w:r>
      <w:r w:rsidR="00EF0590" w:rsidRPr="00EF0590">
        <w:rPr>
          <w:rFonts w:cs="Tahoma"/>
        </w:rPr>
        <w:t>Nové sady 946/30, Staré Brno, 602 00 Brno</w:t>
      </w:r>
    </w:p>
    <w:p w14:paraId="5AE4974D" w14:textId="477CC969" w:rsidR="0055008B" w:rsidRPr="00904C5D" w:rsidRDefault="0055008B" w:rsidP="0055008B">
      <w:pPr>
        <w:pStyle w:val="Identifikacefirem"/>
        <w:tabs>
          <w:tab w:val="left" w:pos="1843"/>
        </w:tabs>
        <w:rPr>
          <w:rFonts w:cs="Tahoma"/>
        </w:rPr>
      </w:pPr>
      <w:r w:rsidRPr="00904C5D">
        <w:rPr>
          <w:rFonts w:cs="Tahoma"/>
        </w:rPr>
        <w:t>IČ</w:t>
      </w:r>
      <w:r w:rsidR="009F4879">
        <w:rPr>
          <w:rFonts w:cs="Tahoma"/>
        </w:rPr>
        <w:t>O</w:t>
      </w:r>
      <w:r w:rsidRPr="00904C5D">
        <w:rPr>
          <w:rFonts w:cs="Tahoma"/>
        </w:rPr>
        <w:t>:</w:t>
      </w:r>
      <w:r w:rsidRPr="00904C5D">
        <w:rPr>
          <w:rFonts w:cs="Tahoma"/>
        </w:rPr>
        <w:tab/>
      </w:r>
      <w:r w:rsidRPr="00904C5D">
        <w:rPr>
          <w:rFonts w:cs="Tahoma"/>
        </w:rPr>
        <w:tab/>
      </w:r>
      <w:r w:rsidR="00EF0590" w:rsidRPr="00EF0590">
        <w:rPr>
          <w:rFonts w:cs="Tahoma"/>
        </w:rPr>
        <w:t>262 98 465</w:t>
      </w:r>
    </w:p>
    <w:p w14:paraId="0E8D5285" w14:textId="7C251A0D" w:rsidR="0055008B" w:rsidRPr="00904C5D" w:rsidRDefault="0055008B" w:rsidP="0055008B">
      <w:pPr>
        <w:pStyle w:val="Identifikacefirem"/>
        <w:tabs>
          <w:tab w:val="left" w:pos="1843"/>
        </w:tabs>
        <w:rPr>
          <w:rFonts w:cs="Tahoma"/>
        </w:rPr>
      </w:pPr>
      <w:r w:rsidRPr="00904C5D">
        <w:rPr>
          <w:rFonts w:cs="Tahoma"/>
        </w:rPr>
        <w:t>DIČ:</w:t>
      </w:r>
      <w:r w:rsidRPr="00904C5D">
        <w:rPr>
          <w:rFonts w:cs="Tahoma"/>
        </w:rPr>
        <w:tab/>
      </w:r>
      <w:r w:rsidRPr="00904C5D">
        <w:rPr>
          <w:rFonts w:cs="Tahoma"/>
        </w:rPr>
        <w:tab/>
      </w:r>
      <w:r w:rsidR="00EF0590">
        <w:rPr>
          <w:rFonts w:cs="Tahoma"/>
        </w:rPr>
        <w:t>CZ</w:t>
      </w:r>
      <w:r w:rsidR="00EF0590">
        <w:rPr>
          <w:rStyle w:val="nowrap"/>
        </w:rPr>
        <w:t>262 98 465</w:t>
      </w:r>
    </w:p>
    <w:p w14:paraId="5EA38138" w14:textId="61CD11D4" w:rsidR="0055008B" w:rsidRPr="00904C5D" w:rsidRDefault="0055008B" w:rsidP="0055008B">
      <w:pPr>
        <w:pStyle w:val="Identifikacefirem"/>
        <w:tabs>
          <w:tab w:val="left" w:pos="1843"/>
        </w:tabs>
        <w:rPr>
          <w:rFonts w:cs="Tahoma"/>
        </w:rPr>
      </w:pPr>
      <w:r w:rsidRPr="00904C5D">
        <w:rPr>
          <w:rFonts w:cs="Tahoma"/>
        </w:rPr>
        <w:t>Obchodní rejstřík:</w:t>
      </w:r>
      <w:r w:rsidRPr="00904C5D">
        <w:rPr>
          <w:rFonts w:cs="Tahoma"/>
        </w:rPr>
        <w:tab/>
      </w:r>
      <w:r w:rsidRPr="00904C5D">
        <w:rPr>
          <w:rFonts w:cs="Tahoma"/>
        </w:rPr>
        <w:tab/>
      </w:r>
      <w:r w:rsidR="00EF0590" w:rsidRPr="0028428B">
        <w:rPr>
          <w:rFonts w:cs="Tahoma"/>
        </w:rPr>
        <w:t xml:space="preserve">vedený u </w:t>
      </w:r>
      <w:r w:rsidR="00EF0590" w:rsidRPr="00D7779F">
        <w:rPr>
          <w:rFonts w:cs="Tahoma"/>
        </w:rPr>
        <w:t>Krajského soudu v</w:t>
      </w:r>
      <w:r w:rsidR="00EF0590">
        <w:rPr>
          <w:rFonts w:cs="Tahoma"/>
        </w:rPr>
        <w:t> </w:t>
      </w:r>
      <w:r w:rsidR="00EF0590" w:rsidRPr="00D7779F">
        <w:rPr>
          <w:rFonts w:cs="Tahoma"/>
        </w:rPr>
        <w:t>Brně</w:t>
      </w:r>
      <w:r w:rsidR="00EF0590">
        <w:rPr>
          <w:rFonts w:cs="Tahoma"/>
        </w:rPr>
        <w:t xml:space="preserve"> </w:t>
      </w:r>
      <w:r w:rsidR="00EF0590" w:rsidRPr="0028428B">
        <w:rPr>
          <w:rFonts w:cs="Tahoma"/>
        </w:rPr>
        <w:t xml:space="preserve">oddíl </w:t>
      </w:r>
      <w:r w:rsidR="00EF0590">
        <w:rPr>
          <w:rFonts w:cs="Tahoma"/>
        </w:rPr>
        <w:t xml:space="preserve">B, </w:t>
      </w:r>
      <w:r w:rsidR="00EF0590" w:rsidRPr="0028428B">
        <w:rPr>
          <w:rFonts w:cs="Tahoma"/>
        </w:rPr>
        <w:t xml:space="preserve">vložka </w:t>
      </w:r>
      <w:r w:rsidR="00EF0590" w:rsidRPr="00D7779F">
        <w:rPr>
          <w:rFonts w:cs="Tahoma"/>
        </w:rPr>
        <w:t>6753</w:t>
      </w:r>
    </w:p>
    <w:p w14:paraId="41A1376E" w14:textId="00CAAA0A" w:rsidR="0055008B" w:rsidRPr="00904C5D" w:rsidRDefault="00D15E8F" w:rsidP="0055008B">
      <w:pPr>
        <w:pStyle w:val="Identifikacefirem"/>
        <w:tabs>
          <w:tab w:val="left" w:pos="1843"/>
        </w:tabs>
        <w:rPr>
          <w:rFonts w:cs="Tahoma"/>
        </w:rPr>
      </w:pPr>
      <w:r>
        <w:rPr>
          <w:rFonts w:cs="Tahoma"/>
        </w:rPr>
        <w:t>Z</w:t>
      </w:r>
      <w:r w:rsidR="0055008B" w:rsidRPr="00904C5D">
        <w:rPr>
          <w:rFonts w:cs="Tahoma"/>
        </w:rPr>
        <w:t xml:space="preserve">astoupen: </w:t>
      </w:r>
      <w:r w:rsidR="0055008B" w:rsidRPr="00904C5D">
        <w:rPr>
          <w:rFonts w:cs="Tahoma"/>
        </w:rPr>
        <w:tab/>
      </w:r>
      <w:r w:rsidR="002B0A9C">
        <w:rPr>
          <w:rFonts w:cs="Tahoma"/>
        </w:rPr>
        <w:tab/>
      </w:r>
      <w:r w:rsidR="00636DE1">
        <w:rPr>
          <w:rFonts w:cs="Tahoma"/>
        </w:rPr>
        <w:t>Ing. Jiří Horský, ředitel společnosti</w:t>
      </w:r>
    </w:p>
    <w:p w14:paraId="60D85AFD" w14:textId="77777777" w:rsidR="0055008B" w:rsidRDefault="0055008B" w:rsidP="0055008B">
      <w:pPr>
        <w:spacing w:after="120" w:line="280" w:lineRule="atLeast"/>
        <w:rPr>
          <w:rFonts w:cs="Tahoma"/>
          <w:bCs/>
          <w:iCs/>
        </w:rPr>
      </w:pPr>
      <w:r w:rsidRPr="00904C5D">
        <w:rPr>
          <w:rFonts w:cs="Tahoma"/>
          <w:bCs/>
          <w:iCs/>
        </w:rPr>
        <w:t>(dále jen „</w:t>
      </w:r>
      <w:r w:rsidRPr="00904C5D">
        <w:rPr>
          <w:rFonts w:cs="Tahoma"/>
          <w:b/>
          <w:bCs/>
          <w:iCs/>
        </w:rPr>
        <w:t>Objednatel</w:t>
      </w:r>
      <w:r w:rsidRPr="00904C5D">
        <w:rPr>
          <w:rFonts w:cs="Tahoma"/>
          <w:bCs/>
          <w:iCs/>
        </w:rPr>
        <w:t>“)</w:t>
      </w:r>
    </w:p>
    <w:p w14:paraId="5FC31844" w14:textId="77777777" w:rsidR="009B2182" w:rsidRPr="00904C5D" w:rsidRDefault="009B2182" w:rsidP="0055008B">
      <w:pPr>
        <w:spacing w:after="120" w:line="280" w:lineRule="atLeast"/>
        <w:rPr>
          <w:rFonts w:cs="Tahoma"/>
        </w:rPr>
      </w:pPr>
    </w:p>
    <w:p w14:paraId="6727888E" w14:textId="46BEEAD9" w:rsidR="009663CB" w:rsidRDefault="009B2182" w:rsidP="009663CB">
      <w:pPr>
        <w:spacing w:before="360" w:after="360" w:line="280" w:lineRule="atLeast"/>
        <w:rPr>
          <w:rFonts w:cs="Tahoma"/>
        </w:rPr>
      </w:pPr>
      <w:r>
        <w:rPr>
          <w:rFonts w:cs="Tahoma"/>
        </w:rPr>
        <w:t>a</w:t>
      </w:r>
    </w:p>
    <w:p w14:paraId="5A86D3A0" w14:textId="77777777" w:rsidR="009B2182" w:rsidRPr="00904C5D" w:rsidRDefault="009B2182" w:rsidP="009663CB">
      <w:pPr>
        <w:spacing w:before="360" w:after="360" w:line="280" w:lineRule="atLeast"/>
        <w:rPr>
          <w:rFonts w:cs="Tahoma"/>
        </w:rPr>
      </w:pPr>
    </w:p>
    <w:p w14:paraId="72AE97F5" w14:textId="77777777" w:rsidR="0055008B" w:rsidRPr="00904C5D" w:rsidRDefault="0055008B" w:rsidP="0055008B">
      <w:pPr>
        <w:pStyle w:val="Identifikacefirem"/>
        <w:tabs>
          <w:tab w:val="left" w:pos="1843"/>
        </w:tabs>
        <w:rPr>
          <w:rFonts w:cs="Tahoma"/>
          <w:b/>
          <w:bCs/>
          <w:iCs/>
          <w:w w:val="100"/>
        </w:rPr>
      </w:pPr>
      <w:r w:rsidRPr="00904C5D">
        <w:rPr>
          <w:rFonts w:cs="Tahoma"/>
          <w:b/>
          <w:bCs/>
          <w:iCs/>
          <w:w w:val="100"/>
        </w:rPr>
        <w:t>VISITECH a.s.</w:t>
      </w:r>
    </w:p>
    <w:p w14:paraId="2F08932E" w14:textId="77777777" w:rsidR="0055008B" w:rsidRPr="00904C5D" w:rsidRDefault="0055008B" w:rsidP="0055008B">
      <w:pPr>
        <w:pStyle w:val="Identifikacefirem"/>
        <w:tabs>
          <w:tab w:val="left" w:pos="1843"/>
        </w:tabs>
        <w:rPr>
          <w:rFonts w:cs="Tahoma"/>
        </w:rPr>
      </w:pPr>
      <w:r w:rsidRPr="00904C5D">
        <w:rPr>
          <w:rFonts w:cs="Tahoma"/>
        </w:rPr>
        <w:t>Sídlo:</w:t>
      </w:r>
      <w:r w:rsidRPr="00904C5D">
        <w:rPr>
          <w:rFonts w:cs="Tahoma"/>
        </w:rPr>
        <w:tab/>
      </w:r>
      <w:r w:rsidRPr="00904C5D">
        <w:rPr>
          <w:rFonts w:cs="Tahoma"/>
        </w:rPr>
        <w:tab/>
      </w:r>
      <w:r w:rsidR="002B0A9C" w:rsidRPr="002B0A9C">
        <w:rPr>
          <w:rFonts w:cs="Tahoma"/>
        </w:rPr>
        <w:t>Košinova 655/59, Královo Pole, 612 00 Brno</w:t>
      </w:r>
    </w:p>
    <w:p w14:paraId="77032B3E" w14:textId="231FD99D" w:rsidR="0055008B" w:rsidRPr="00904C5D" w:rsidRDefault="0055008B" w:rsidP="0055008B">
      <w:pPr>
        <w:pStyle w:val="Identifikacefirem"/>
        <w:tabs>
          <w:tab w:val="left" w:pos="1843"/>
        </w:tabs>
        <w:rPr>
          <w:rFonts w:cs="Tahoma"/>
        </w:rPr>
      </w:pPr>
      <w:r w:rsidRPr="00904C5D">
        <w:rPr>
          <w:rFonts w:cs="Tahoma"/>
        </w:rPr>
        <w:t>IČ</w:t>
      </w:r>
      <w:r w:rsidR="009F4879">
        <w:rPr>
          <w:rFonts w:cs="Tahoma"/>
        </w:rPr>
        <w:t>O</w:t>
      </w:r>
      <w:r w:rsidRPr="00904C5D">
        <w:rPr>
          <w:rFonts w:cs="Tahoma"/>
        </w:rPr>
        <w:t>:</w:t>
      </w:r>
      <w:r w:rsidRPr="00904C5D">
        <w:rPr>
          <w:rFonts w:cs="Tahoma"/>
        </w:rPr>
        <w:tab/>
      </w:r>
      <w:r w:rsidRPr="00904C5D">
        <w:rPr>
          <w:rFonts w:cs="Tahoma"/>
        </w:rPr>
        <w:tab/>
        <w:t>255 43 415</w:t>
      </w:r>
    </w:p>
    <w:p w14:paraId="4F9EDA11" w14:textId="77777777" w:rsidR="0055008B" w:rsidRPr="00904C5D" w:rsidRDefault="0055008B" w:rsidP="0055008B">
      <w:pPr>
        <w:pStyle w:val="Identifikacefirem"/>
        <w:tabs>
          <w:tab w:val="left" w:pos="1843"/>
        </w:tabs>
        <w:rPr>
          <w:rFonts w:cs="Tahoma"/>
        </w:rPr>
      </w:pPr>
      <w:r w:rsidRPr="00904C5D">
        <w:rPr>
          <w:rFonts w:cs="Tahoma"/>
        </w:rPr>
        <w:t>DIČ:</w:t>
      </w:r>
      <w:r w:rsidRPr="00904C5D">
        <w:rPr>
          <w:rFonts w:cs="Tahoma"/>
        </w:rPr>
        <w:tab/>
      </w:r>
      <w:r w:rsidRPr="00904C5D">
        <w:rPr>
          <w:rFonts w:cs="Tahoma"/>
        </w:rPr>
        <w:tab/>
        <w:t>CZ255 43 415</w:t>
      </w:r>
    </w:p>
    <w:p w14:paraId="1C20916C" w14:textId="77777777" w:rsidR="0055008B" w:rsidRPr="00904C5D" w:rsidRDefault="0055008B" w:rsidP="0055008B">
      <w:pPr>
        <w:pStyle w:val="Identifikacefirem"/>
        <w:tabs>
          <w:tab w:val="left" w:pos="1843"/>
        </w:tabs>
        <w:rPr>
          <w:rFonts w:cs="Tahoma"/>
        </w:rPr>
      </w:pPr>
      <w:r w:rsidRPr="00904C5D">
        <w:rPr>
          <w:rFonts w:cs="Tahoma"/>
        </w:rPr>
        <w:t>Obchodní rejstřík:</w:t>
      </w:r>
      <w:r w:rsidRPr="00904C5D">
        <w:rPr>
          <w:rFonts w:cs="Tahoma"/>
        </w:rPr>
        <w:tab/>
      </w:r>
      <w:r w:rsidRPr="00904C5D">
        <w:rPr>
          <w:rFonts w:cs="Tahoma"/>
        </w:rPr>
        <w:tab/>
        <w:t>vedený u Krajského soudu v Brně, oddíl B, vložka 6323</w:t>
      </w:r>
    </w:p>
    <w:p w14:paraId="2877AE82" w14:textId="609BC43F" w:rsidR="0055008B" w:rsidRPr="00904C5D" w:rsidRDefault="00D15E8F" w:rsidP="0055008B">
      <w:pPr>
        <w:pStyle w:val="Identifikacefirem"/>
        <w:tabs>
          <w:tab w:val="left" w:pos="1843"/>
        </w:tabs>
        <w:rPr>
          <w:rFonts w:cs="Tahoma"/>
        </w:rPr>
      </w:pPr>
      <w:r>
        <w:rPr>
          <w:rFonts w:cs="Tahoma"/>
        </w:rPr>
        <w:t>Z</w:t>
      </w:r>
      <w:r w:rsidRPr="00904C5D">
        <w:rPr>
          <w:rFonts w:cs="Tahoma"/>
        </w:rPr>
        <w:t>astoupen</w:t>
      </w:r>
      <w:r w:rsidR="0055008B" w:rsidRPr="00904C5D">
        <w:rPr>
          <w:rFonts w:cs="Tahoma"/>
        </w:rPr>
        <w:t xml:space="preserve">: </w:t>
      </w:r>
      <w:r w:rsidR="0055008B" w:rsidRPr="00904C5D">
        <w:rPr>
          <w:rFonts w:cs="Tahoma"/>
        </w:rPr>
        <w:tab/>
      </w:r>
      <w:r w:rsidR="0055008B" w:rsidRPr="00904C5D">
        <w:rPr>
          <w:rFonts w:cs="Tahoma"/>
        </w:rPr>
        <w:tab/>
      </w:r>
      <w:r w:rsidR="0055008B" w:rsidRPr="00EF0590">
        <w:rPr>
          <w:rFonts w:cs="Tahoma"/>
        </w:rPr>
        <w:t>Pavel Kocour, předseda představenstva</w:t>
      </w:r>
    </w:p>
    <w:p w14:paraId="126E75A4" w14:textId="77777777" w:rsidR="0055008B" w:rsidRPr="00904C5D" w:rsidRDefault="0055008B" w:rsidP="0055008B">
      <w:pPr>
        <w:pStyle w:val="Identifikacefirem"/>
        <w:tabs>
          <w:tab w:val="left" w:pos="1843"/>
        </w:tabs>
        <w:spacing w:after="60"/>
        <w:rPr>
          <w:rFonts w:cs="Tahoma"/>
          <w:bCs/>
          <w:iCs/>
          <w:w w:val="100"/>
        </w:rPr>
      </w:pPr>
      <w:r w:rsidRPr="00904C5D">
        <w:rPr>
          <w:rFonts w:cs="Tahoma"/>
          <w:bCs/>
          <w:iCs/>
          <w:w w:val="100"/>
        </w:rPr>
        <w:t>(dále jen „</w:t>
      </w:r>
      <w:r w:rsidRPr="00904C5D">
        <w:rPr>
          <w:rFonts w:cs="Tahoma"/>
          <w:b/>
          <w:bCs/>
          <w:iCs/>
          <w:w w:val="100"/>
        </w:rPr>
        <w:t>Poskytovatel</w:t>
      </w:r>
      <w:r w:rsidRPr="00904C5D">
        <w:rPr>
          <w:rFonts w:cs="Tahoma"/>
          <w:bCs/>
          <w:iCs/>
          <w:w w:val="100"/>
        </w:rPr>
        <w:t xml:space="preserve">“) </w:t>
      </w:r>
    </w:p>
    <w:p w14:paraId="32A3C1D6" w14:textId="77777777" w:rsidR="0055008B" w:rsidRPr="00FD0BF0" w:rsidRDefault="0055008B" w:rsidP="0055008B">
      <w:pPr>
        <w:spacing w:after="120" w:line="280" w:lineRule="atLeast"/>
      </w:pPr>
    </w:p>
    <w:p w14:paraId="4F4FFD7E" w14:textId="77777777" w:rsidR="009663CB" w:rsidRPr="00AB47AB" w:rsidRDefault="009663CB" w:rsidP="009663CB">
      <w:pPr>
        <w:spacing w:after="720" w:line="280" w:lineRule="atLeast"/>
        <w:jc w:val="center"/>
        <w:rPr>
          <w:rFonts w:cs="Tahoma"/>
        </w:rPr>
      </w:pPr>
    </w:p>
    <w:p w14:paraId="4ABCA0F1" w14:textId="78056F67" w:rsidR="0055008B" w:rsidRPr="00AB47AB" w:rsidRDefault="0055008B" w:rsidP="009663CB">
      <w:pPr>
        <w:spacing w:after="720" w:line="280" w:lineRule="atLeast"/>
        <w:jc w:val="center"/>
        <w:rPr>
          <w:rFonts w:cs="Tahoma"/>
        </w:rPr>
      </w:pPr>
      <w:r w:rsidRPr="00AB47AB">
        <w:rPr>
          <w:rFonts w:cs="Tahoma"/>
        </w:rPr>
        <w:t>v souladu s </w:t>
      </w:r>
      <w:proofErr w:type="spellStart"/>
      <w:r w:rsidRPr="00AB47AB">
        <w:rPr>
          <w:rFonts w:cs="Tahoma"/>
        </w:rPr>
        <w:t>ust</w:t>
      </w:r>
      <w:proofErr w:type="spellEnd"/>
      <w:r w:rsidRPr="00AB47AB">
        <w:rPr>
          <w:rFonts w:cs="Tahoma"/>
        </w:rPr>
        <w:t xml:space="preserve">. § </w:t>
      </w:r>
      <w:r w:rsidR="00DD3095" w:rsidRPr="00AB47AB">
        <w:rPr>
          <w:rFonts w:cs="Tahoma"/>
        </w:rPr>
        <w:t>174</w:t>
      </w:r>
      <w:r w:rsidRPr="00AB47AB">
        <w:rPr>
          <w:rFonts w:cs="Tahoma"/>
        </w:rPr>
        <w:t xml:space="preserve">6 </w:t>
      </w:r>
      <w:r w:rsidR="00DD3095" w:rsidRPr="00AB47AB">
        <w:rPr>
          <w:rFonts w:cs="Tahoma"/>
        </w:rPr>
        <w:t>odst. 2</w:t>
      </w:r>
      <w:r w:rsidRPr="00AB47AB">
        <w:rPr>
          <w:rFonts w:cs="Tahoma"/>
        </w:rPr>
        <w:t xml:space="preserve"> zákona č. 89/2012 Sb., </w:t>
      </w:r>
      <w:r w:rsidR="00D50168" w:rsidRPr="00C16565">
        <w:rPr>
          <w:rFonts w:cs="Tahoma"/>
          <w:szCs w:val="20"/>
        </w:rPr>
        <w:t>občanský</w:t>
      </w:r>
      <w:r w:rsidRPr="00AB47AB">
        <w:rPr>
          <w:rFonts w:cs="Tahoma"/>
        </w:rPr>
        <w:t xml:space="preserve"> zákoník</w:t>
      </w:r>
      <w:r w:rsidR="00287919" w:rsidRPr="00AB47AB">
        <w:rPr>
          <w:rFonts w:cs="Tahoma"/>
        </w:rPr>
        <w:t>,</w:t>
      </w:r>
      <w:r w:rsidRPr="00AB47AB">
        <w:rPr>
          <w:rFonts w:cs="Tahoma"/>
        </w:rPr>
        <w:t xml:space="preserve"> tuto smlouvu (dále jen „</w:t>
      </w:r>
      <w:r w:rsidRPr="00AB47AB">
        <w:rPr>
          <w:rFonts w:cs="Tahoma"/>
          <w:b/>
        </w:rPr>
        <w:t>Smlouva</w:t>
      </w:r>
      <w:r w:rsidRPr="00AB47AB">
        <w:rPr>
          <w:rFonts w:cs="Tahoma"/>
        </w:rPr>
        <w:t>“).</w:t>
      </w:r>
    </w:p>
    <w:p w14:paraId="4177130B" w14:textId="77777777" w:rsidR="0055008B" w:rsidRPr="00FD0BF0" w:rsidRDefault="0055008B" w:rsidP="0055008B">
      <w:pPr>
        <w:spacing w:after="120" w:line="280" w:lineRule="atLeast"/>
        <w:jc w:val="center"/>
        <w:sectPr w:rsidR="0055008B" w:rsidRPr="00FD0BF0" w:rsidSect="00F56A9C">
          <w:footerReference w:type="default" r:id="rId11"/>
          <w:headerReference w:type="first" r:id="rId12"/>
          <w:pgSz w:w="11906" w:h="16838"/>
          <w:pgMar w:top="1417" w:right="1417" w:bottom="1417" w:left="1417" w:header="708" w:footer="708" w:gutter="0"/>
          <w:cols w:space="708"/>
          <w:titlePg/>
          <w:docGrid w:linePitch="360"/>
        </w:sectPr>
      </w:pPr>
    </w:p>
    <w:p w14:paraId="10227081" w14:textId="77777777" w:rsidR="0055008B" w:rsidRDefault="0055008B" w:rsidP="009663CB">
      <w:pPr>
        <w:pStyle w:val="1lneksmlouvy"/>
      </w:pPr>
      <w:r>
        <w:lastRenderedPageBreak/>
        <w:t>úvodní uSTANOVENÍ</w:t>
      </w:r>
    </w:p>
    <w:p w14:paraId="1442C0BC" w14:textId="78577AC7" w:rsidR="0055008B" w:rsidRDefault="0055008B" w:rsidP="0055008B">
      <w:pPr>
        <w:pStyle w:val="11slovantext"/>
        <w:rPr>
          <w:lang w:eastAsia="en-US"/>
        </w:rPr>
      </w:pPr>
      <w:r>
        <w:rPr>
          <w:lang w:eastAsia="en-US"/>
        </w:rPr>
        <w:t>Objednatel</w:t>
      </w:r>
      <w:r>
        <w:t xml:space="preserve"> </w:t>
      </w:r>
      <w:r>
        <w:rPr>
          <w:lang w:eastAsia="en-US"/>
        </w:rPr>
        <w:t xml:space="preserve">prohlašuje, že </w:t>
      </w:r>
      <w:r w:rsidRPr="00EF0590">
        <w:rPr>
          <w:lang w:eastAsia="en-US"/>
        </w:rPr>
        <w:t xml:space="preserve">je </w:t>
      </w:r>
      <w:r w:rsidR="000003A1" w:rsidRPr="00EF0590">
        <w:rPr>
          <w:lang w:eastAsia="en-US"/>
        </w:rPr>
        <w:t xml:space="preserve">právnickou osobou řádně založenou a existující </w:t>
      </w:r>
      <w:r w:rsidRPr="00EF0590">
        <w:rPr>
          <w:lang w:eastAsia="en-US"/>
        </w:rPr>
        <w:t xml:space="preserve">podle </w:t>
      </w:r>
      <w:r w:rsidR="007A10BC" w:rsidRPr="00EF0590">
        <w:rPr>
          <w:rFonts w:hint="eastAsia"/>
          <w:lang w:eastAsia="en-US"/>
        </w:rPr>
        <w:t>č</w:t>
      </w:r>
      <w:r w:rsidR="007A10BC" w:rsidRPr="00EF0590">
        <w:rPr>
          <w:lang w:eastAsia="en-US"/>
        </w:rPr>
        <w:t>eského</w:t>
      </w:r>
      <w:r>
        <w:rPr>
          <w:lang w:eastAsia="en-US"/>
        </w:rPr>
        <w:t xml:space="preserve"> </w:t>
      </w:r>
      <w:r>
        <w:t>právního</w:t>
      </w:r>
      <w:r>
        <w:rPr>
          <w:lang w:eastAsia="en-US"/>
        </w:rPr>
        <w:t xml:space="preserve"> řádu, splňuje veškeré podmínky a požadavky v této Smlouvě stanovené a je oprávněn tuto Smlouvu uzavřít a řádně plnit závazky v ní obsažené.</w:t>
      </w:r>
    </w:p>
    <w:p w14:paraId="5FE8A4CB" w14:textId="77777777" w:rsidR="0055008B" w:rsidRDefault="00DD3095" w:rsidP="0055008B">
      <w:pPr>
        <w:pStyle w:val="11slovantext"/>
        <w:rPr>
          <w:lang w:eastAsia="en-US"/>
        </w:rPr>
      </w:pPr>
      <w:r>
        <w:t>Poskytovatel</w:t>
      </w:r>
      <w:r w:rsidR="0055008B">
        <w:t xml:space="preserve"> </w:t>
      </w:r>
      <w:r w:rsidR="0055008B">
        <w:rPr>
          <w:lang w:eastAsia="en-US"/>
        </w:rPr>
        <w:t xml:space="preserve">prohlašuje, že je </w:t>
      </w:r>
      <w:r w:rsidR="0055008B" w:rsidRPr="00AB47AB">
        <w:rPr>
          <w:lang w:eastAsia="en-US"/>
        </w:rPr>
        <w:t>právnickou osobou</w:t>
      </w:r>
      <w:r w:rsidR="0055008B">
        <w:rPr>
          <w:lang w:eastAsia="en-US"/>
        </w:rPr>
        <w:t xml:space="preserve"> řádně založenou a existující podle </w:t>
      </w:r>
      <w:r w:rsidR="0055008B" w:rsidRPr="00AB47AB">
        <w:t>českého</w:t>
      </w:r>
      <w:r w:rsidR="0055008B">
        <w:rPr>
          <w:lang w:eastAsia="en-US"/>
        </w:rPr>
        <w:t xml:space="preserve"> právního </w:t>
      </w:r>
      <w:r w:rsidR="0055008B">
        <w:t>řádu</w:t>
      </w:r>
      <w:r w:rsidR="0055008B">
        <w:rPr>
          <w:lang w:eastAsia="en-US"/>
        </w:rPr>
        <w:t>, splňuje veškeré podmínky a požadavky v této Smlouvě stanovené a je oprávněn tuto Smlouvu uzavřít a řádně plnit závazky v ní obsažené.</w:t>
      </w:r>
    </w:p>
    <w:p w14:paraId="7B06D7EF" w14:textId="77777777" w:rsidR="0055008B" w:rsidRDefault="0055008B" w:rsidP="0055008B">
      <w:pPr>
        <w:pStyle w:val="1lneksmlouvy"/>
        <w:jc w:val="left"/>
      </w:pPr>
      <w:r>
        <w:t>PŘEDMĚT SMLOUVY</w:t>
      </w:r>
    </w:p>
    <w:p w14:paraId="5096E402" w14:textId="71C4B445" w:rsidR="00DD3095" w:rsidRPr="00984B6B" w:rsidRDefault="00DD3095" w:rsidP="0055008B">
      <w:pPr>
        <w:pStyle w:val="11slovantext"/>
        <w:rPr>
          <w:b/>
          <w:lang w:eastAsia="en-US"/>
        </w:rPr>
      </w:pPr>
      <w:bookmarkStart w:id="0" w:name="_Ref294000543"/>
      <w:r w:rsidRPr="00984B6B">
        <w:rPr>
          <w:lang w:eastAsia="en-US"/>
        </w:rPr>
        <w:t xml:space="preserve">Poskytovatel se na základě této Smlouvy zavazuje </w:t>
      </w:r>
      <w:r w:rsidR="00012E46" w:rsidRPr="00984B6B">
        <w:rPr>
          <w:lang w:eastAsia="en-US"/>
        </w:rPr>
        <w:t xml:space="preserve">poskytovat Objednateli </w:t>
      </w:r>
      <w:r w:rsidR="00D3079F" w:rsidRPr="00984B6B">
        <w:rPr>
          <w:lang w:eastAsia="en-US"/>
        </w:rPr>
        <w:t xml:space="preserve">paušální </w:t>
      </w:r>
      <w:r w:rsidR="00012E46" w:rsidRPr="00984B6B">
        <w:rPr>
          <w:lang w:eastAsia="en-US"/>
        </w:rPr>
        <w:t>služby</w:t>
      </w:r>
      <w:r w:rsidR="00650351">
        <w:rPr>
          <w:lang w:eastAsia="en-US"/>
        </w:rPr>
        <w:t xml:space="preserve"> zahrnuté v rámci </w:t>
      </w:r>
      <w:r w:rsidR="00967199">
        <w:rPr>
          <w:lang w:eastAsia="en-US"/>
        </w:rPr>
        <w:t xml:space="preserve">komplexu služeb </w:t>
      </w:r>
      <w:proofErr w:type="spellStart"/>
      <w:r w:rsidR="00650351" w:rsidRPr="00AB47AB">
        <w:rPr>
          <w:lang w:eastAsia="en-US"/>
        </w:rPr>
        <w:t>Security</w:t>
      </w:r>
      <w:proofErr w:type="spellEnd"/>
      <w:r w:rsidR="00650351" w:rsidRPr="00AB47AB">
        <w:rPr>
          <w:lang w:eastAsia="en-US"/>
        </w:rPr>
        <w:t xml:space="preserve"> </w:t>
      </w:r>
      <w:proofErr w:type="spellStart"/>
      <w:r w:rsidR="00650351" w:rsidRPr="00AB47AB">
        <w:rPr>
          <w:lang w:eastAsia="en-US"/>
        </w:rPr>
        <w:t>Operation</w:t>
      </w:r>
      <w:proofErr w:type="spellEnd"/>
      <w:r w:rsidR="00650351" w:rsidRPr="00AB47AB">
        <w:rPr>
          <w:lang w:eastAsia="en-US"/>
        </w:rPr>
        <w:t xml:space="preserve"> Center 365</w:t>
      </w:r>
      <w:r w:rsidR="00EF0590">
        <w:rPr>
          <w:lang w:eastAsia="en-US"/>
        </w:rPr>
        <w:t xml:space="preserve"> – zkušební provoz</w:t>
      </w:r>
      <w:r w:rsidR="00012E46" w:rsidRPr="00984B6B">
        <w:rPr>
          <w:lang w:eastAsia="en-US"/>
        </w:rPr>
        <w:t xml:space="preserve"> </w:t>
      </w:r>
      <w:r w:rsidR="00967199">
        <w:rPr>
          <w:lang w:eastAsia="en-US"/>
        </w:rPr>
        <w:t>specifikované v příloze č. </w:t>
      </w:r>
      <w:r w:rsidR="00D3079F" w:rsidRPr="00984B6B">
        <w:rPr>
          <w:lang w:eastAsia="en-US"/>
        </w:rPr>
        <w:t xml:space="preserve">1 této Smlouvy </w:t>
      </w:r>
      <w:r w:rsidR="00D3079F" w:rsidRPr="00984B6B">
        <w:t>(dále jen „</w:t>
      </w:r>
      <w:r w:rsidR="00404AB2" w:rsidRPr="00AB47AB">
        <w:rPr>
          <w:b/>
        </w:rPr>
        <w:t>Paušální</w:t>
      </w:r>
      <w:r w:rsidR="00404AB2" w:rsidRPr="00984B6B">
        <w:rPr>
          <w:b/>
        </w:rPr>
        <w:t xml:space="preserve"> </w:t>
      </w:r>
      <w:r w:rsidR="004C1761">
        <w:rPr>
          <w:b/>
        </w:rPr>
        <w:t>s</w:t>
      </w:r>
      <w:r w:rsidR="00D3079F" w:rsidRPr="00984B6B">
        <w:rPr>
          <w:b/>
        </w:rPr>
        <w:t>lužby</w:t>
      </w:r>
      <w:r w:rsidR="00D3079F" w:rsidRPr="00984B6B">
        <w:t>“)</w:t>
      </w:r>
      <w:r w:rsidR="00012E46" w:rsidRPr="00984B6B">
        <w:rPr>
          <w:lang w:eastAsia="en-US"/>
        </w:rPr>
        <w:t>.</w:t>
      </w:r>
      <w:r w:rsidR="008E58A7">
        <w:rPr>
          <w:lang w:eastAsia="en-US"/>
        </w:rPr>
        <w:t xml:space="preserve"> Součástí plnění Poskytovatele</w:t>
      </w:r>
      <w:r w:rsidR="009F4879">
        <w:rPr>
          <w:lang w:eastAsia="en-US"/>
        </w:rPr>
        <w:t xml:space="preserve"> podle této Smlouvy</w:t>
      </w:r>
      <w:r w:rsidR="008E58A7">
        <w:rPr>
          <w:lang w:eastAsia="en-US"/>
        </w:rPr>
        <w:t xml:space="preserve"> je zřízení Paušálních služeb za podmínek vymezených v čl. </w:t>
      </w:r>
      <w:r w:rsidR="008E58A7">
        <w:rPr>
          <w:lang w:eastAsia="en-US"/>
        </w:rPr>
        <w:fldChar w:fldCharType="begin"/>
      </w:r>
      <w:r w:rsidR="008E58A7">
        <w:rPr>
          <w:lang w:eastAsia="en-US"/>
        </w:rPr>
        <w:instrText xml:space="preserve"> REF _Ref497465046 \r \h </w:instrText>
      </w:r>
      <w:r w:rsidR="008E58A7">
        <w:rPr>
          <w:lang w:eastAsia="en-US"/>
        </w:rPr>
      </w:r>
      <w:r w:rsidR="008E58A7">
        <w:rPr>
          <w:lang w:eastAsia="en-US"/>
        </w:rPr>
        <w:fldChar w:fldCharType="separate"/>
      </w:r>
      <w:r w:rsidR="008E58A7">
        <w:rPr>
          <w:lang w:eastAsia="en-US"/>
        </w:rPr>
        <w:t>4</w:t>
      </w:r>
      <w:r w:rsidR="008E58A7">
        <w:rPr>
          <w:lang w:eastAsia="en-US"/>
        </w:rPr>
        <w:fldChar w:fldCharType="end"/>
      </w:r>
      <w:r w:rsidR="008E58A7">
        <w:rPr>
          <w:lang w:eastAsia="en-US"/>
        </w:rPr>
        <w:t xml:space="preserve"> této Smlouvy.</w:t>
      </w:r>
    </w:p>
    <w:p w14:paraId="613E2605" w14:textId="5DBB85A3" w:rsidR="00D3079F" w:rsidRPr="00A53C74" w:rsidRDefault="00D3079F" w:rsidP="0055008B">
      <w:pPr>
        <w:pStyle w:val="11slovantext"/>
        <w:rPr>
          <w:b/>
          <w:lang w:eastAsia="en-US"/>
        </w:rPr>
      </w:pPr>
      <w:r w:rsidRPr="00984B6B">
        <w:rPr>
          <w:lang w:eastAsia="en-US"/>
        </w:rPr>
        <w:t xml:space="preserve">Poskytovatel se </w:t>
      </w:r>
      <w:r w:rsidR="009B2182">
        <w:rPr>
          <w:lang w:eastAsia="en-US"/>
        </w:rPr>
        <w:t>dále</w:t>
      </w:r>
      <w:r w:rsidR="009B2182" w:rsidRPr="00984B6B">
        <w:rPr>
          <w:lang w:eastAsia="en-US"/>
        </w:rPr>
        <w:t xml:space="preserve"> zavazuje poskytovat Objednateli</w:t>
      </w:r>
      <w:r w:rsidR="009B2182">
        <w:rPr>
          <w:lang w:eastAsia="en-US"/>
        </w:rPr>
        <w:t xml:space="preserve"> </w:t>
      </w:r>
      <w:r w:rsidRPr="00984B6B">
        <w:rPr>
          <w:lang w:eastAsia="en-US"/>
        </w:rPr>
        <w:t xml:space="preserve">na základě </w:t>
      </w:r>
      <w:r w:rsidR="009F4879">
        <w:rPr>
          <w:lang w:eastAsia="en-US"/>
        </w:rPr>
        <w:t>požadavků Objednatele</w:t>
      </w:r>
      <w:r w:rsidR="004C1761">
        <w:rPr>
          <w:lang w:eastAsia="en-US"/>
        </w:rPr>
        <w:t xml:space="preserve"> </w:t>
      </w:r>
      <w:r w:rsidR="0052681D">
        <w:rPr>
          <w:lang w:eastAsia="en-US"/>
        </w:rPr>
        <w:t xml:space="preserve">další </w:t>
      </w:r>
      <w:r w:rsidR="00AB47AB">
        <w:rPr>
          <w:lang w:eastAsia="en-US"/>
        </w:rPr>
        <w:t xml:space="preserve">služby </w:t>
      </w:r>
      <w:r w:rsidR="0052681D">
        <w:rPr>
          <w:lang w:eastAsia="en-US"/>
        </w:rPr>
        <w:t>nad rámec Paušálních služeb</w:t>
      </w:r>
      <w:r w:rsidR="009B2182">
        <w:rPr>
          <w:lang w:eastAsia="en-US"/>
        </w:rPr>
        <w:t xml:space="preserve"> </w:t>
      </w:r>
      <w:r w:rsidRPr="00984B6B">
        <w:rPr>
          <w:lang w:eastAsia="en-US"/>
        </w:rPr>
        <w:t xml:space="preserve">specifikované v příloze č. 1 této Smlouvy </w:t>
      </w:r>
      <w:r w:rsidRPr="00984B6B">
        <w:t>(dále jen „</w:t>
      </w:r>
      <w:r w:rsidR="0052681D">
        <w:rPr>
          <w:b/>
        </w:rPr>
        <w:t>Ad hoc služby</w:t>
      </w:r>
      <w:r w:rsidRPr="00984B6B">
        <w:t>“)</w:t>
      </w:r>
      <w:r w:rsidRPr="00984B6B">
        <w:rPr>
          <w:lang w:eastAsia="en-US"/>
        </w:rPr>
        <w:t>.</w:t>
      </w:r>
    </w:p>
    <w:p w14:paraId="403E3866" w14:textId="722710F9" w:rsidR="00A53C74" w:rsidRPr="00984B6B" w:rsidRDefault="0052681D" w:rsidP="0052681D">
      <w:pPr>
        <w:pStyle w:val="11slovantext"/>
        <w:rPr>
          <w:b/>
          <w:lang w:eastAsia="en-US"/>
        </w:rPr>
      </w:pPr>
      <w:r>
        <w:rPr>
          <w:lang w:eastAsia="en-US"/>
        </w:rPr>
        <w:t xml:space="preserve">Paušální </w:t>
      </w:r>
      <w:r w:rsidR="00A53C74">
        <w:rPr>
          <w:lang w:eastAsia="en-US"/>
        </w:rPr>
        <w:t>služby specifikované v příloze č.</w:t>
      </w:r>
      <w:r w:rsidR="004C1761">
        <w:rPr>
          <w:lang w:eastAsia="en-US"/>
        </w:rPr>
        <w:t xml:space="preserve"> </w:t>
      </w:r>
      <w:r w:rsidR="00A53C74">
        <w:rPr>
          <w:lang w:eastAsia="en-US"/>
        </w:rPr>
        <w:t xml:space="preserve">1 této Smlouvy a </w:t>
      </w:r>
      <w:r>
        <w:rPr>
          <w:lang w:eastAsia="en-US"/>
        </w:rPr>
        <w:t>Ad hoc služby</w:t>
      </w:r>
      <w:r w:rsidR="00A53C74">
        <w:rPr>
          <w:lang w:eastAsia="en-US"/>
        </w:rPr>
        <w:t xml:space="preserve"> specifikované v příloze č.</w:t>
      </w:r>
      <w:r w:rsidR="004C1761">
        <w:rPr>
          <w:lang w:eastAsia="en-US"/>
        </w:rPr>
        <w:t xml:space="preserve"> </w:t>
      </w:r>
      <w:r w:rsidR="00A53C74">
        <w:rPr>
          <w:lang w:eastAsia="en-US"/>
        </w:rPr>
        <w:t xml:space="preserve">1 této Smlouvy </w:t>
      </w:r>
      <w:r w:rsidR="00F53E5E">
        <w:rPr>
          <w:lang w:eastAsia="en-US"/>
        </w:rPr>
        <w:t xml:space="preserve">se v textu </w:t>
      </w:r>
      <w:r w:rsidR="00D05E9C">
        <w:rPr>
          <w:lang w:eastAsia="en-US"/>
        </w:rPr>
        <w:t>S</w:t>
      </w:r>
      <w:r w:rsidR="00F53E5E">
        <w:rPr>
          <w:lang w:eastAsia="en-US"/>
        </w:rPr>
        <w:t xml:space="preserve">mlouvy dále společně </w:t>
      </w:r>
      <w:r w:rsidR="009B2182">
        <w:rPr>
          <w:lang w:eastAsia="en-US"/>
        </w:rPr>
        <w:t>označují</w:t>
      </w:r>
      <w:r w:rsidR="00F53E5E">
        <w:rPr>
          <w:lang w:eastAsia="en-US"/>
        </w:rPr>
        <w:t xml:space="preserve"> jako „</w:t>
      </w:r>
      <w:r w:rsidR="00F53E5E" w:rsidRPr="008E58A7">
        <w:rPr>
          <w:b/>
          <w:lang w:eastAsia="en-US"/>
        </w:rPr>
        <w:t>Služby</w:t>
      </w:r>
      <w:r w:rsidR="00F53E5E">
        <w:rPr>
          <w:lang w:eastAsia="en-US"/>
        </w:rPr>
        <w:t xml:space="preserve">“. </w:t>
      </w:r>
    </w:p>
    <w:bookmarkEnd w:id="0"/>
    <w:p w14:paraId="47B6080D" w14:textId="77B85795" w:rsidR="0055008B" w:rsidRDefault="0055008B" w:rsidP="0052681D">
      <w:pPr>
        <w:pStyle w:val="11slovantext"/>
        <w:rPr>
          <w:lang w:eastAsia="en-US"/>
        </w:rPr>
      </w:pPr>
      <w:r>
        <w:t>Objednatel se zavazuje</w:t>
      </w:r>
      <w:r w:rsidR="00012E46">
        <w:t xml:space="preserve"> </w:t>
      </w:r>
      <w:r w:rsidR="007A2991">
        <w:t xml:space="preserve">poskytnuté </w:t>
      </w:r>
      <w:r w:rsidR="008E58A7">
        <w:t xml:space="preserve">plnění </w:t>
      </w:r>
      <w:r w:rsidR="007A2991">
        <w:t xml:space="preserve">převzít </w:t>
      </w:r>
      <w:r w:rsidR="00D05E9C">
        <w:t>za podmínek stanovených touto Smlouvou</w:t>
      </w:r>
      <w:r w:rsidR="007A2991">
        <w:t xml:space="preserve">, </w:t>
      </w:r>
      <w:r w:rsidR="00012E46">
        <w:t xml:space="preserve">uhradit </w:t>
      </w:r>
      <w:r w:rsidR="00012E46">
        <w:rPr>
          <w:lang w:eastAsia="en-US"/>
        </w:rPr>
        <w:t xml:space="preserve">Poskytovateli </w:t>
      </w:r>
      <w:r>
        <w:t xml:space="preserve">za </w:t>
      </w:r>
      <w:r w:rsidR="00012E46">
        <w:t xml:space="preserve">poskytnuté </w:t>
      </w:r>
      <w:r w:rsidR="008E58A7">
        <w:t>plnění</w:t>
      </w:r>
      <w:r>
        <w:t xml:space="preserve"> cenu sjednanou v této Smlouvě a poskytnout mu veškerou součinnost potřebnou k </w:t>
      </w:r>
      <w:r w:rsidR="00012E46">
        <w:t>poskytování</w:t>
      </w:r>
      <w:r>
        <w:t xml:space="preserve"> </w:t>
      </w:r>
      <w:r w:rsidR="008E58A7">
        <w:t>plnění</w:t>
      </w:r>
      <w:r>
        <w:t>.</w:t>
      </w:r>
    </w:p>
    <w:p w14:paraId="2D5FC712" w14:textId="77777777" w:rsidR="0055008B" w:rsidRPr="006423BC" w:rsidRDefault="0055008B" w:rsidP="0055008B">
      <w:pPr>
        <w:pStyle w:val="1lneksmlouvy"/>
      </w:pPr>
      <w:r w:rsidRPr="006423BC">
        <w:t>místo plnění</w:t>
      </w:r>
    </w:p>
    <w:p w14:paraId="4E64CA0A" w14:textId="5EB9236E" w:rsidR="004B23B9" w:rsidRDefault="009B2182" w:rsidP="0055008B">
      <w:pPr>
        <w:pStyle w:val="11slovantext"/>
        <w:rPr>
          <w:lang w:eastAsia="en-US"/>
        </w:rPr>
      </w:pPr>
      <w:bookmarkStart w:id="1" w:name="_Ref368058668"/>
      <w:r>
        <w:rPr>
          <w:lang w:eastAsia="en-US"/>
        </w:rPr>
        <w:t>S</w:t>
      </w:r>
      <w:r w:rsidR="004B23B9">
        <w:rPr>
          <w:lang w:eastAsia="en-US"/>
        </w:rPr>
        <w:t>lužby</w:t>
      </w:r>
      <w:r w:rsidR="008E58A7">
        <w:rPr>
          <w:lang w:eastAsia="en-US"/>
        </w:rPr>
        <w:t xml:space="preserve"> mohou být poskytovány v</w:t>
      </w:r>
      <w:r w:rsidR="00D05E9C">
        <w:rPr>
          <w:lang w:eastAsia="en-US"/>
        </w:rPr>
        <w:t> </w:t>
      </w:r>
      <w:r w:rsidR="00D97A76" w:rsidRPr="007633DD">
        <w:rPr>
          <w:lang w:eastAsia="en-US"/>
        </w:rPr>
        <w:t>míst</w:t>
      </w:r>
      <w:r w:rsidR="00D97A76" w:rsidRPr="007633DD">
        <w:rPr>
          <w:rFonts w:hint="eastAsia"/>
          <w:lang w:eastAsia="en-US"/>
        </w:rPr>
        <w:t>ě</w:t>
      </w:r>
      <w:r w:rsidR="00D05E9C">
        <w:rPr>
          <w:lang w:eastAsia="en-US"/>
        </w:rPr>
        <w:t xml:space="preserve"> </w:t>
      </w:r>
      <w:r w:rsidR="008E58A7">
        <w:rPr>
          <w:lang w:eastAsia="en-US"/>
        </w:rPr>
        <w:t>sídla</w:t>
      </w:r>
      <w:r w:rsidR="008E58A7" w:rsidRPr="007633DD">
        <w:rPr>
          <w:lang w:eastAsia="en-US"/>
        </w:rPr>
        <w:t xml:space="preserve"> </w:t>
      </w:r>
      <w:r w:rsidR="00D05E9C">
        <w:rPr>
          <w:lang w:eastAsia="en-US"/>
        </w:rPr>
        <w:t>O</w:t>
      </w:r>
      <w:r w:rsidR="00D97A76" w:rsidRPr="007633DD">
        <w:rPr>
          <w:lang w:eastAsia="en-US"/>
        </w:rPr>
        <w:t>bjednatele,</w:t>
      </w:r>
      <w:r w:rsidR="00D97A76">
        <w:rPr>
          <w:lang w:eastAsia="en-US"/>
        </w:rPr>
        <w:t xml:space="preserve"> </w:t>
      </w:r>
      <w:r>
        <w:rPr>
          <w:lang w:eastAsia="en-US"/>
        </w:rPr>
        <w:t>v</w:t>
      </w:r>
      <w:r w:rsidR="008E58A7">
        <w:rPr>
          <w:lang w:eastAsia="en-US"/>
        </w:rPr>
        <w:t xml:space="preserve"> provozovnách Objednatele, na jejichž specifikaci se strany domluví, a dále</w:t>
      </w:r>
      <w:r w:rsidR="00D97A76">
        <w:rPr>
          <w:lang w:eastAsia="en-US"/>
        </w:rPr>
        <w:t xml:space="preserve"> v</w:t>
      </w:r>
      <w:r w:rsidR="009F030D">
        <w:rPr>
          <w:lang w:eastAsia="en-US"/>
        </w:rPr>
        <w:t> provozovnách</w:t>
      </w:r>
      <w:r w:rsidR="00D97A76">
        <w:rPr>
          <w:lang w:eastAsia="en-US"/>
        </w:rPr>
        <w:t xml:space="preserve"> </w:t>
      </w:r>
      <w:r w:rsidR="00D05E9C">
        <w:rPr>
          <w:lang w:eastAsia="en-US"/>
        </w:rPr>
        <w:t>P</w:t>
      </w:r>
      <w:r w:rsidR="00D97A76">
        <w:rPr>
          <w:lang w:eastAsia="en-US"/>
        </w:rPr>
        <w:t>osky</w:t>
      </w:r>
      <w:r w:rsidR="007633DD">
        <w:rPr>
          <w:lang w:eastAsia="en-US"/>
        </w:rPr>
        <w:t>tovatele.</w:t>
      </w:r>
      <w:r w:rsidR="00D97A76">
        <w:rPr>
          <w:lang w:eastAsia="en-US"/>
        </w:rPr>
        <w:t xml:space="preserve"> </w:t>
      </w:r>
    </w:p>
    <w:p w14:paraId="0BA7CCEF" w14:textId="77777777" w:rsidR="0055008B" w:rsidRDefault="004B23B9" w:rsidP="004B23B9">
      <w:pPr>
        <w:pStyle w:val="11slovantext"/>
        <w:rPr>
          <w:lang w:eastAsia="en-US"/>
        </w:rPr>
      </w:pPr>
      <w:r>
        <w:rPr>
          <w:lang w:eastAsia="en-US"/>
        </w:rPr>
        <w:t xml:space="preserve">Pokud to povaha plnění nevylučuje, je Poskytovatel oprávněn poskytovat své plnění </w:t>
      </w:r>
      <w:r w:rsidR="00EF738F">
        <w:rPr>
          <w:lang w:eastAsia="en-US"/>
        </w:rPr>
        <w:t>vzdálen</w:t>
      </w:r>
      <w:r>
        <w:rPr>
          <w:lang w:eastAsia="en-US"/>
        </w:rPr>
        <w:t xml:space="preserve">ým přístupem. </w:t>
      </w:r>
      <w:bookmarkEnd w:id="1"/>
      <w:r w:rsidR="00491D4C">
        <w:rPr>
          <w:lang w:eastAsia="en-US"/>
        </w:rPr>
        <w:t>Objednatel se zavazuje poskytnout Poskytovateli veškerou součinnost potřebnou k</w:t>
      </w:r>
      <w:r w:rsidR="00414F93">
        <w:rPr>
          <w:lang w:eastAsia="en-US"/>
        </w:rPr>
        <w:t> poskytování Služeb v souladu s podmínkami dle předchozí věty.</w:t>
      </w:r>
    </w:p>
    <w:p w14:paraId="3F6DA47F" w14:textId="77777777" w:rsidR="00A968BA" w:rsidRDefault="00A968BA" w:rsidP="0055008B">
      <w:pPr>
        <w:pStyle w:val="1lneksmlouvy"/>
      </w:pPr>
      <w:bookmarkStart w:id="2" w:name="_Ref497465046"/>
      <w:r>
        <w:t>podmínky poskytování služeb</w:t>
      </w:r>
      <w:bookmarkEnd w:id="2"/>
    </w:p>
    <w:p w14:paraId="110DC8EE" w14:textId="7D3A0865" w:rsidR="008E58A7" w:rsidRDefault="008E58A7" w:rsidP="00A968BA">
      <w:pPr>
        <w:pStyle w:val="11slovantext"/>
        <w:rPr>
          <w:lang w:eastAsia="en-US"/>
        </w:rPr>
      </w:pPr>
      <w:r>
        <w:rPr>
          <w:lang w:eastAsia="en-US"/>
        </w:rPr>
        <w:t xml:space="preserve">Poskytovatel se zavazuje zřídit Paušální služby </w:t>
      </w:r>
      <w:r w:rsidRPr="00EF0590">
        <w:rPr>
          <w:lang w:eastAsia="en-US"/>
        </w:rPr>
        <w:t xml:space="preserve">do </w:t>
      </w:r>
      <w:r w:rsidR="0052681D" w:rsidRPr="00EF0590">
        <w:rPr>
          <w:lang w:eastAsia="en-US"/>
        </w:rPr>
        <w:t>30 dnů</w:t>
      </w:r>
      <w:r w:rsidR="0052681D">
        <w:rPr>
          <w:lang w:eastAsia="en-US"/>
        </w:rPr>
        <w:t xml:space="preserve"> ode dne nabytí účinnosti této Smlouvy</w:t>
      </w:r>
      <w:r w:rsidR="00AC0BCD">
        <w:rPr>
          <w:lang w:eastAsia="en-US"/>
        </w:rPr>
        <w:t>. Zřízením Paušálních služeb se rozumí vytvoření technick</w:t>
      </w:r>
      <w:r w:rsidR="0052681D">
        <w:rPr>
          <w:lang w:eastAsia="en-US"/>
        </w:rPr>
        <w:t>ých podmínek</w:t>
      </w:r>
      <w:r w:rsidR="009B2182">
        <w:rPr>
          <w:lang w:eastAsia="en-US"/>
        </w:rPr>
        <w:t xml:space="preserve"> nezbytných</w:t>
      </w:r>
      <w:r w:rsidR="0052681D">
        <w:rPr>
          <w:lang w:eastAsia="en-US"/>
        </w:rPr>
        <w:t xml:space="preserve"> pro</w:t>
      </w:r>
      <w:r w:rsidR="00AC0BCD">
        <w:rPr>
          <w:lang w:eastAsia="en-US"/>
        </w:rPr>
        <w:t xml:space="preserve"> řádné poskytování </w:t>
      </w:r>
      <w:r w:rsidR="0052681D">
        <w:rPr>
          <w:lang w:eastAsia="en-US"/>
        </w:rPr>
        <w:t>Paušálních služeb</w:t>
      </w:r>
      <w:r w:rsidR="00967199">
        <w:rPr>
          <w:lang w:eastAsia="en-US"/>
        </w:rPr>
        <w:t>.</w:t>
      </w:r>
    </w:p>
    <w:p w14:paraId="6C4C7466" w14:textId="03BF0102" w:rsidR="00A968BA" w:rsidRDefault="00BC43BB" w:rsidP="00A968BA">
      <w:pPr>
        <w:pStyle w:val="11slovantext"/>
        <w:rPr>
          <w:lang w:eastAsia="en-US"/>
        </w:rPr>
      </w:pPr>
      <w:r>
        <w:rPr>
          <w:lang w:eastAsia="en-US"/>
        </w:rPr>
        <w:t>Paušální</w:t>
      </w:r>
      <w:r w:rsidR="00D05E9C">
        <w:rPr>
          <w:lang w:eastAsia="en-US"/>
        </w:rPr>
        <w:t xml:space="preserve"> s</w:t>
      </w:r>
      <w:r w:rsidR="00A968BA">
        <w:rPr>
          <w:lang w:eastAsia="en-US"/>
        </w:rPr>
        <w:t>lužby budou Poskytovatelem poskytovány průběžně, a to od</w:t>
      </w:r>
      <w:r w:rsidR="008E58A7">
        <w:rPr>
          <w:lang w:eastAsia="en-US"/>
        </w:rPr>
        <w:t>e dne následujícího po zřízení</w:t>
      </w:r>
      <w:r w:rsidR="00967199">
        <w:rPr>
          <w:lang w:eastAsia="en-US"/>
        </w:rPr>
        <w:t xml:space="preserve"> Paušálních</w:t>
      </w:r>
      <w:r w:rsidR="008E58A7">
        <w:rPr>
          <w:lang w:eastAsia="en-US"/>
        </w:rPr>
        <w:t xml:space="preserve"> služeb Poskytovatelem</w:t>
      </w:r>
      <w:r w:rsidR="00A968BA">
        <w:rPr>
          <w:lang w:eastAsia="en-US"/>
        </w:rPr>
        <w:t>.</w:t>
      </w:r>
      <w:r>
        <w:rPr>
          <w:lang w:eastAsia="en-US"/>
        </w:rPr>
        <w:t xml:space="preserve"> </w:t>
      </w:r>
    </w:p>
    <w:p w14:paraId="7F640AEC" w14:textId="4E3222DF" w:rsidR="00C76B3A" w:rsidRPr="00AB47AB" w:rsidRDefault="00C76B3A" w:rsidP="00C76B3A">
      <w:pPr>
        <w:pStyle w:val="11slovantext"/>
        <w:rPr>
          <w:rFonts w:cs="Tahoma"/>
          <w:b/>
          <w:smallCaps/>
          <w:szCs w:val="20"/>
        </w:rPr>
      </w:pPr>
      <w:r>
        <w:rPr>
          <w:lang w:eastAsia="en-US"/>
        </w:rPr>
        <w:t>Ad hoc služby budou poskytovány na základě požadavků Objednate</w:t>
      </w:r>
      <w:r w:rsidR="009F4879">
        <w:rPr>
          <w:lang w:eastAsia="en-US"/>
        </w:rPr>
        <w:t>le vznesených v průběhu trvání účinnosti této Smlouvy</w:t>
      </w:r>
      <w:r>
        <w:rPr>
          <w:lang w:eastAsia="en-US"/>
        </w:rPr>
        <w:t>.</w:t>
      </w:r>
      <w:r w:rsidR="002C1746">
        <w:rPr>
          <w:lang w:eastAsia="en-US"/>
        </w:rPr>
        <w:t xml:space="preserve"> </w:t>
      </w:r>
      <w:r>
        <w:rPr>
          <w:lang w:eastAsia="en-US"/>
        </w:rPr>
        <w:t xml:space="preserve">Poskytovatel je oprávněn odmítnout realizaci požadavku Objednatele na poskytnutí Ad hoc služeb, přičemž v takovém případě je povinen </w:t>
      </w:r>
      <w:r w:rsidR="00867A56">
        <w:rPr>
          <w:lang w:eastAsia="en-US"/>
        </w:rPr>
        <w:t>Objednatele bez zbytečného odkladu informovat o důvodech odmítnutí.</w:t>
      </w:r>
      <w:r>
        <w:rPr>
          <w:lang w:eastAsia="en-US"/>
        </w:rPr>
        <w:t xml:space="preserve"> </w:t>
      </w:r>
    </w:p>
    <w:p w14:paraId="1B231CB7" w14:textId="3867FA4F" w:rsidR="00C76B3A" w:rsidRPr="00AB47AB" w:rsidRDefault="00D51144" w:rsidP="00C76B3A">
      <w:pPr>
        <w:pStyle w:val="11slovantext"/>
        <w:rPr>
          <w:rFonts w:cs="Tahoma"/>
          <w:szCs w:val="20"/>
        </w:rPr>
      </w:pPr>
      <w:r>
        <w:rPr>
          <w:lang w:eastAsia="en-US"/>
        </w:rPr>
        <w:lastRenderedPageBreak/>
        <w:t xml:space="preserve">Objednatel se zavazuje potvrdit řádné poskytnutí </w:t>
      </w:r>
      <w:r w:rsidR="00867A56">
        <w:rPr>
          <w:lang w:eastAsia="en-US"/>
        </w:rPr>
        <w:t>Ad hoc služeb</w:t>
      </w:r>
      <w:r>
        <w:rPr>
          <w:lang w:eastAsia="en-US"/>
        </w:rPr>
        <w:t xml:space="preserve"> potvrzením</w:t>
      </w:r>
      <w:r w:rsidR="00867A56">
        <w:rPr>
          <w:lang w:eastAsia="en-US"/>
        </w:rPr>
        <w:t xml:space="preserve"> </w:t>
      </w:r>
      <w:r w:rsidR="00867A56" w:rsidRPr="00AB47AB">
        <w:rPr>
          <w:lang w:eastAsia="en-US"/>
        </w:rPr>
        <w:t>soupisu provedených úkonů</w:t>
      </w:r>
      <w:r>
        <w:rPr>
          <w:lang w:eastAsia="en-US"/>
        </w:rPr>
        <w:t xml:space="preserve"> předloženého Poskytovatelem</w:t>
      </w:r>
      <w:r w:rsidR="007108A5">
        <w:rPr>
          <w:lang w:eastAsia="en-US"/>
        </w:rPr>
        <w:t xml:space="preserve"> po</w:t>
      </w:r>
      <w:r>
        <w:rPr>
          <w:lang w:eastAsia="en-US"/>
        </w:rPr>
        <w:t xml:space="preserve"> </w:t>
      </w:r>
      <w:r w:rsidR="00DD34DD">
        <w:rPr>
          <w:lang w:eastAsia="en-US"/>
        </w:rPr>
        <w:t xml:space="preserve">uplynutí měsíce, ve kterém byly Ad hoc </w:t>
      </w:r>
      <w:r w:rsidR="00DD34DD" w:rsidRPr="00AB47AB">
        <w:rPr>
          <w:lang w:eastAsia="en-US"/>
        </w:rPr>
        <w:t>služby poskytován</w:t>
      </w:r>
      <w:r w:rsidR="00DD34DD" w:rsidRPr="00AB47AB">
        <w:rPr>
          <w:rFonts w:cs="Tahoma"/>
          <w:szCs w:val="20"/>
        </w:rPr>
        <w:t>y</w:t>
      </w:r>
      <w:r w:rsidRPr="00AB47AB">
        <w:rPr>
          <w:rFonts w:cs="Tahoma"/>
          <w:szCs w:val="20"/>
        </w:rPr>
        <w:t>.</w:t>
      </w:r>
      <w:r w:rsidR="009F030D" w:rsidRPr="00AB47AB">
        <w:rPr>
          <w:rFonts w:cs="Tahoma"/>
          <w:szCs w:val="20"/>
        </w:rPr>
        <w:t xml:space="preserve"> </w:t>
      </w:r>
      <w:r w:rsidR="00BC43BB">
        <w:rPr>
          <w:lang w:eastAsia="en-US"/>
        </w:rPr>
        <w:t>S</w:t>
      </w:r>
      <w:r w:rsidR="00BC43BB" w:rsidRPr="00AB47AB">
        <w:rPr>
          <w:lang w:eastAsia="en-US"/>
        </w:rPr>
        <w:t>oupis provedených úkonů</w:t>
      </w:r>
      <w:r w:rsidR="00BC43BB">
        <w:rPr>
          <w:lang w:eastAsia="en-US"/>
        </w:rPr>
        <w:t xml:space="preserve"> </w:t>
      </w:r>
      <w:r w:rsidR="009F030D" w:rsidRPr="00AB47AB">
        <w:rPr>
          <w:rFonts w:cs="Tahoma"/>
          <w:szCs w:val="20"/>
        </w:rPr>
        <w:t>může být vyhotoven v</w:t>
      </w:r>
      <w:r w:rsidR="004C1761" w:rsidRPr="00AB47AB">
        <w:rPr>
          <w:rFonts w:cs="Tahoma"/>
          <w:szCs w:val="20"/>
        </w:rPr>
        <w:t> </w:t>
      </w:r>
      <w:r w:rsidR="009F030D" w:rsidRPr="00AB47AB">
        <w:rPr>
          <w:rFonts w:cs="Tahoma"/>
          <w:szCs w:val="20"/>
        </w:rPr>
        <w:t>listinné</w:t>
      </w:r>
      <w:r w:rsidR="004C1761" w:rsidRPr="00AB47AB">
        <w:rPr>
          <w:rFonts w:cs="Tahoma"/>
          <w:szCs w:val="20"/>
        </w:rPr>
        <w:t xml:space="preserve"> nebo elektronické</w:t>
      </w:r>
      <w:r w:rsidR="009F030D" w:rsidRPr="00AB47AB">
        <w:rPr>
          <w:rFonts w:cs="Tahoma"/>
          <w:szCs w:val="20"/>
        </w:rPr>
        <w:t xml:space="preserve"> podobě a schválen podpisem zástupce Objednatele nebo </w:t>
      </w:r>
      <w:r w:rsidR="004C1761" w:rsidRPr="00AB47AB">
        <w:rPr>
          <w:rFonts w:cs="Tahoma"/>
          <w:szCs w:val="20"/>
        </w:rPr>
        <w:t>elektronickou zprávou zástupce Objednatele</w:t>
      </w:r>
      <w:r w:rsidR="009F030D" w:rsidRPr="00AB47AB">
        <w:rPr>
          <w:rFonts w:cs="Tahoma"/>
          <w:szCs w:val="20"/>
        </w:rPr>
        <w:t>.</w:t>
      </w:r>
      <w:r w:rsidRPr="00AB47AB">
        <w:rPr>
          <w:rFonts w:cs="Tahoma"/>
          <w:szCs w:val="20"/>
        </w:rPr>
        <w:t xml:space="preserve"> V případě, že Objednatel nesdělí Poskytovateli žádné konkrétní připomínky k Poskytovatelem předloženému </w:t>
      </w:r>
      <w:r w:rsidR="00DD34DD" w:rsidRPr="00AB47AB">
        <w:rPr>
          <w:rFonts w:cs="Tahoma"/>
          <w:szCs w:val="20"/>
        </w:rPr>
        <w:t xml:space="preserve">soupisu provedených úkonů </w:t>
      </w:r>
      <w:r w:rsidR="00425F6F" w:rsidRPr="00AB47AB">
        <w:rPr>
          <w:rFonts w:cs="Tahoma"/>
          <w:szCs w:val="20"/>
        </w:rPr>
        <w:t xml:space="preserve">do </w:t>
      </w:r>
      <w:r w:rsidR="00867A56" w:rsidRPr="00AB47AB">
        <w:rPr>
          <w:rFonts w:cs="Tahoma"/>
          <w:szCs w:val="20"/>
        </w:rPr>
        <w:t xml:space="preserve">tří </w:t>
      </w:r>
      <w:r w:rsidR="00425F6F" w:rsidRPr="00AB47AB">
        <w:rPr>
          <w:rFonts w:cs="Tahoma"/>
          <w:szCs w:val="20"/>
        </w:rPr>
        <w:t>pracovních dnů</w:t>
      </w:r>
      <w:r w:rsidR="005F338E">
        <w:rPr>
          <w:rFonts w:cs="Tahoma"/>
          <w:szCs w:val="20"/>
        </w:rPr>
        <w:t xml:space="preserve"> od jeho předložení Objednateli ke schválení</w:t>
      </w:r>
      <w:r w:rsidRPr="00AB47AB">
        <w:rPr>
          <w:rFonts w:cs="Tahoma"/>
          <w:szCs w:val="20"/>
        </w:rPr>
        <w:t xml:space="preserve">, považuje se tento </w:t>
      </w:r>
      <w:r w:rsidR="00BC43BB">
        <w:rPr>
          <w:rFonts w:cs="Tahoma"/>
          <w:szCs w:val="20"/>
        </w:rPr>
        <w:t xml:space="preserve">soupis </w:t>
      </w:r>
      <w:r w:rsidRPr="00AB47AB">
        <w:rPr>
          <w:rFonts w:cs="Tahoma"/>
          <w:szCs w:val="20"/>
        </w:rPr>
        <w:t>za schválený</w:t>
      </w:r>
      <w:r w:rsidR="00867A56" w:rsidRPr="00AB47AB">
        <w:rPr>
          <w:rFonts w:cs="Tahoma"/>
          <w:szCs w:val="20"/>
        </w:rPr>
        <w:t xml:space="preserve"> a za způsobilý podklad pro fakturaci dle této Smlouvy</w:t>
      </w:r>
      <w:r w:rsidRPr="00AB47AB">
        <w:rPr>
          <w:rFonts w:cs="Tahoma"/>
          <w:szCs w:val="20"/>
        </w:rPr>
        <w:t xml:space="preserve">. </w:t>
      </w:r>
      <w:r w:rsidR="00867A56" w:rsidRPr="00AB47AB">
        <w:rPr>
          <w:rFonts w:cs="Tahoma"/>
          <w:szCs w:val="20"/>
        </w:rPr>
        <w:t xml:space="preserve"> </w:t>
      </w:r>
      <w:r w:rsidR="00C76B3A" w:rsidRPr="00C76B3A">
        <w:rPr>
          <w:rFonts w:cs="Tahoma"/>
          <w:szCs w:val="20"/>
        </w:rPr>
        <w:t xml:space="preserve"> </w:t>
      </w:r>
    </w:p>
    <w:p w14:paraId="4C1A6C35" w14:textId="0DB7CE60" w:rsidR="002C1746" w:rsidRPr="00AB47AB" w:rsidRDefault="00C76B3A" w:rsidP="00133B54">
      <w:pPr>
        <w:pStyle w:val="11slovantext"/>
        <w:rPr>
          <w:rFonts w:cs="Tahoma"/>
          <w:szCs w:val="20"/>
        </w:rPr>
      </w:pPr>
      <w:r w:rsidRPr="00AB47AB">
        <w:rPr>
          <w:rFonts w:cs="Tahoma"/>
          <w:szCs w:val="20"/>
        </w:rPr>
        <w:t>Objednatel zajistí potřebné podmínky, organizační opatření a případnou součinnost svých pracovníků tak, aby Poskytovatel mohl bez překážek provádět potřebné úkony a činnosti pro zajištění Služeb.</w:t>
      </w:r>
    </w:p>
    <w:p w14:paraId="7156FF02" w14:textId="77777777" w:rsidR="0055008B" w:rsidRDefault="0055008B" w:rsidP="008E58A7">
      <w:pPr>
        <w:pStyle w:val="1lneksmlouvy"/>
      </w:pPr>
      <w:r>
        <w:t>Cena a platební podmínky</w:t>
      </w:r>
    </w:p>
    <w:p w14:paraId="3181DCE6" w14:textId="79E7C7FE" w:rsidR="002C1746" w:rsidRPr="00613301" w:rsidRDefault="0090044A" w:rsidP="003B463A">
      <w:pPr>
        <w:pStyle w:val="11slovantext"/>
        <w:rPr>
          <w:lang w:eastAsia="en-US"/>
        </w:rPr>
      </w:pPr>
      <w:r w:rsidRPr="00613301">
        <w:rPr>
          <w:lang w:eastAsia="en-US"/>
        </w:rPr>
        <w:t xml:space="preserve">Cena za poskytování </w:t>
      </w:r>
      <w:r w:rsidR="0045069F">
        <w:rPr>
          <w:lang w:eastAsia="en-US"/>
        </w:rPr>
        <w:t>Paušálních</w:t>
      </w:r>
      <w:r w:rsidR="00CB0281" w:rsidRPr="00613301">
        <w:rPr>
          <w:lang w:eastAsia="en-US"/>
        </w:rPr>
        <w:t xml:space="preserve"> </w:t>
      </w:r>
      <w:r w:rsidR="00FC398F" w:rsidRPr="00613301">
        <w:rPr>
          <w:lang w:eastAsia="en-US"/>
        </w:rPr>
        <w:t>služeb</w:t>
      </w:r>
      <w:r w:rsidRPr="00613301">
        <w:rPr>
          <w:lang w:eastAsia="en-US"/>
        </w:rPr>
        <w:t xml:space="preserve"> je sjednána v příloze č.</w:t>
      </w:r>
      <w:r w:rsidR="00CB0281">
        <w:rPr>
          <w:lang w:eastAsia="en-US"/>
        </w:rPr>
        <w:t xml:space="preserve"> </w:t>
      </w:r>
      <w:r w:rsidRPr="00613301">
        <w:rPr>
          <w:lang w:eastAsia="en-US"/>
        </w:rPr>
        <w:t>2 této Smlouvy. Ce</w:t>
      </w:r>
      <w:r w:rsidR="00FC398F" w:rsidRPr="00613301">
        <w:rPr>
          <w:lang w:eastAsia="en-US"/>
        </w:rPr>
        <w:t>na za poskytování</w:t>
      </w:r>
      <w:r w:rsidR="00E922A8">
        <w:rPr>
          <w:lang w:eastAsia="en-US"/>
        </w:rPr>
        <w:t xml:space="preserve"> </w:t>
      </w:r>
      <w:r w:rsidR="00650351">
        <w:rPr>
          <w:lang w:eastAsia="en-US"/>
        </w:rPr>
        <w:t>Paušálních</w:t>
      </w:r>
      <w:r w:rsidR="00E922A8" w:rsidRPr="00613301">
        <w:rPr>
          <w:lang w:eastAsia="en-US"/>
        </w:rPr>
        <w:t xml:space="preserve"> služeb</w:t>
      </w:r>
      <w:r w:rsidR="00FC398F" w:rsidRPr="00613301">
        <w:rPr>
          <w:lang w:eastAsia="en-US"/>
        </w:rPr>
        <w:t xml:space="preserve"> bude hrazena </w:t>
      </w:r>
      <w:r w:rsidR="00613301" w:rsidRPr="00613301">
        <w:rPr>
          <w:lang w:eastAsia="en-US"/>
        </w:rPr>
        <w:t xml:space="preserve">na základě faktury Poskytovatele vystavené v souladu s cenami uvedenými v příloze č. 2 této </w:t>
      </w:r>
      <w:r w:rsidR="00613301" w:rsidRPr="00182963">
        <w:rPr>
          <w:lang w:eastAsia="en-US"/>
        </w:rPr>
        <w:t>Smlouvy</w:t>
      </w:r>
      <w:r w:rsidR="00650351" w:rsidRPr="00182963">
        <w:rPr>
          <w:lang w:eastAsia="en-US"/>
        </w:rPr>
        <w:t xml:space="preserve">. </w:t>
      </w:r>
      <w:r w:rsidR="00F74A0F" w:rsidRPr="00182963">
        <w:rPr>
          <w:lang w:eastAsia="en-US"/>
        </w:rPr>
        <w:t>Cena za Službu bude Objednatelem uhrazena na základě daňového dokladu - faktury, kterou je Poskytovatel oprávněn vystavit po ukončení měsíce, v němž byla služba poskytnuta. Datem zdanitelného plnění je poslední kalendářní den měsíce, za který je Služba poskytována.</w:t>
      </w:r>
      <w:r w:rsidR="00F74A0F">
        <w:rPr>
          <w:lang w:eastAsia="en-US"/>
        </w:rPr>
        <w:t xml:space="preserve"> </w:t>
      </w:r>
    </w:p>
    <w:p w14:paraId="5E04300E" w14:textId="6FF0F59E" w:rsidR="00C66BF4" w:rsidRDefault="00D50A18" w:rsidP="0055008B">
      <w:pPr>
        <w:pStyle w:val="11slovantext"/>
        <w:rPr>
          <w:lang w:eastAsia="en-US"/>
        </w:rPr>
      </w:pPr>
      <w:r w:rsidRPr="00613301">
        <w:rPr>
          <w:lang w:eastAsia="en-US"/>
        </w:rPr>
        <w:t xml:space="preserve">Cena za poskytování </w:t>
      </w:r>
      <w:r w:rsidR="00650351">
        <w:rPr>
          <w:lang w:eastAsia="en-US"/>
        </w:rPr>
        <w:t xml:space="preserve">Ad hoc služeb </w:t>
      </w:r>
      <w:r w:rsidRPr="00613301">
        <w:rPr>
          <w:lang w:eastAsia="en-US"/>
        </w:rPr>
        <w:t xml:space="preserve">bude určena na základě </w:t>
      </w:r>
      <w:r w:rsidR="00EF738F" w:rsidRPr="00613301">
        <w:rPr>
          <w:lang w:eastAsia="en-US"/>
        </w:rPr>
        <w:t xml:space="preserve">cen stanovených v příloze č. 2 této Smlouvy a rozsahu pracnosti uvedeného v </w:t>
      </w:r>
      <w:r w:rsidRPr="00613301">
        <w:rPr>
          <w:lang w:eastAsia="en-US"/>
        </w:rPr>
        <w:t>Objednatelem schválené</w:t>
      </w:r>
      <w:r w:rsidR="00EF738F" w:rsidRPr="00613301">
        <w:rPr>
          <w:lang w:eastAsia="en-US"/>
        </w:rPr>
        <w:t>m</w:t>
      </w:r>
      <w:r w:rsidR="00650351">
        <w:rPr>
          <w:lang w:eastAsia="en-US"/>
        </w:rPr>
        <w:t xml:space="preserve"> </w:t>
      </w:r>
      <w:r w:rsidR="00650351" w:rsidRPr="00AB47AB">
        <w:rPr>
          <w:lang w:eastAsia="en-US"/>
        </w:rPr>
        <w:t>soupisu provedených úkonů</w:t>
      </w:r>
      <w:r w:rsidRPr="00613301">
        <w:rPr>
          <w:lang w:eastAsia="en-US"/>
        </w:rPr>
        <w:t>.</w:t>
      </w:r>
      <w:r w:rsidR="00CB0281">
        <w:rPr>
          <w:lang w:eastAsia="en-US"/>
        </w:rPr>
        <w:t xml:space="preserve"> </w:t>
      </w:r>
      <w:r w:rsidR="00C66BF4" w:rsidRPr="00613301">
        <w:rPr>
          <w:lang w:eastAsia="en-US"/>
        </w:rPr>
        <w:t xml:space="preserve">Cena za poskytování </w:t>
      </w:r>
      <w:r w:rsidR="00C76B3A">
        <w:rPr>
          <w:lang w:eastAsia="en-US"/>
        </w:rPr>
        <w:t>Ad hoc služeb</w:t>
      </w:r>
      <w:r w:rsidR="00C66BF4" w:rsidRPr="00613301">
        <w:rPr>
          <w:lang w:eastAsia="en-US"/>
        </w:rPr>
        <w:t xml:space="preserve"> bude</w:t>
      </w:r>
      <w:r w:rsidR="00B96035" w:rsidRPr="00613301">
        <w:rPr>
          <w:lang w:eastAsia="en-US"/>
        </w:rPr>
        <w:t xml:space="preserve"> Objednatelem hrazena na </w:t>
      </w:r>
      <w:r w:rsidR="00EF738F" w:rsidRPr="00613301">
        <w:rPr>
          <w:lang w:eastAsia="en-US"/>
        </w:rPr>
        <w:t>základě faktur Poskytovatele, které budou vystaveny</w:t>
      </w:r>
      <w:r w:rsidR="00C76B3A">
        <w:rPr>
          <w:lang w:eastAsia="en-US"/>
        </w:rPr>
        <w:t xml:space="preserve"> po uplynutí měsíce, ve kterém byly Ad hoc služby poskytovány, a to</w:t>
      </w:r>
      <w:r w:rsidR="00B96035" w:rsidRPr="00613301">
        <w:rPr>
          <w:lang w:eastAsia="en-US"/>
        </w:rPr>
        <w:t xml:space="preserve"> na základě Objednatelem schváleného</w:t>
      </w:r>
      <w:r w:rsidR="00C66BF4" w:rsidRPr="00613301">
        <w:rPr>
          <w:lang w:eastAsia="en-US"/>
        </w:rPr>
        <w:t xml:space="preserve"> </w:t>
      </w:r>
      <w:r w:rsidR="00C76B3A" w:rsidRPr="00AB47AB">
        <w:rPr>
          <w:lang w:eastAsia="en-US"/>
        </w:rPr>
        <w:t>soupisu provedených úkonů</w:t>
      </w:r>
      <w:r w:rsidR="00B96035" w:rsidRPr="00613301">
        <w:rPr>
          <w:lang w:eastAsia="en-US"/>
        </w:rPr>
        <w:t xml:space="preserve">. </w:t>
      </w:r>
    </w:p>
    <w:p w14:paraId="61B47462" w14:textId="77777777" w:rsidR="00E03BC1" w:rsidRDefault="00E03BC1" w:rsidP="0055008B">
      <w:pPr>
        <w:pStyle w:val="11slovantext"/>
        <w:rPr>
          <w:lang w:eastAsia="en-US"/>
        </w:rPr>
      </w:pPr>
      <w:r>
        <w:rPr>
          <w:lang w:eastAsia="en-US"/>
        </w:rPr>
        <w:t xml:space="preserve">Není-li v příloze č. 2 </w:t>
      </w:r>
      <w:r w:rsidR="00EF738F">
        <w:rPr>
          <w:lang w:eastAsia="en-US"/>
        </w:rPr>
        <w:t xml:space="preserve">této Smlouvy </w:t>
      </w:r>
      <w:r>
        <w:rPr>
          <w:lang w:eastAsia="en-US"/>
        </w:rPr>
        <w:t>výslovně uvedeno jinak, jsou veškeré ceny tam uvedené stanoveny bez DPH. DPH bude Poskytovatelem účtována v souladu s platnými a účinnými právními předpisy.</w:t>
      </w:r>
    </w:p>
    <w:p w14:paraId="62E1B1A2" w14:textId="59B054A0" w:rsidR="0055008B" w:rsidRDefault="007108A5" w:rsidP="0055008B">
      <w:pPr>
        <w:pStyle w:val="11slovantext"/>
        <w:rPr>
          <w:lang w:eastAsia="en-US"/>
        </w:rPr>
      </w:pPr>
      <w:r>
        <w:rPr>
          <w:lang w:eastAsia="en-US"/>
        </w:rPr>
        <w:t>Splatnost faktur</w:t>
      </w:r>
      <w:r w:rsidR="0055008B">
        <w:rPr>
          <w:lang w:eastAsia="en-US"/>
        </w:rPr>
        <w:t xml:space="preserve"> činí </w:t>
      </w:r>
      <w:r w:rsidR="00874E45" w:rsidRPr="00636DE1">
        <w:rPr>
          <w:lang w:eastAsia="en-US"/>
        </w:rPr>
        <w:t>14</w:t>
      </w:r>
      <w:r w:rsidR="0055008B" w:rsidRPr="00636DE1">
        <w:rPr>
          <w:lang w:eastAsia="en-US"/>
        </w:rPr>
        <w:t xml:space="preserve"> dní ode</w:t>
      </w:r>
      <w:r w:rsidR="0055008B">
        <w:rPr>
          <w:lang w:eastAsia="en-US"/>
        </w:rPr>
        <w:t xml:space="preserve"> dne jejich vystavení. </w:t>
      </w:r>
      <w:r w:rsidR="00C66BF4" w:rsidRPr="002C1746">
        <w:rPr>
          <w:rFonts w:ascii="Arial" w:hAnsi="Arial"/>
          <w:lang w:eastAsia="en-US"/>
        </w:rPr>
        <w:t>Poskytovatel</w:t>
      </w:r>
      <w:r w:rsidR="0055008B">
        <w:rPr>
          <w:lang w:eastAsia="en-US"/>
        </w:rPr>
        <w:t xml:space="preserve"> doručí Objednateli veškeré jím vystavené faktury do </w:t>
      </w:r>
      <w:r w:rsidR="00EF0590">
        <w:rPr>
          <w:lang w:eastAsia="en-US"/>
        </w:rPr>
        <w:t>5</w:t>
      </w:r>
      <w:r w:rsidR="00874E45">
        <w:rPr>
          <w:lang w:eastAsia="en-US"/>
        </w:rPr>
        <w:t xml:space="preserve"> pracovních</w:t>
      </w:r>
      <w:r w:rsidR="0055008B">
        <w:rPr>
          <w:lang w:eastAsia="en-US"/>
        </w:rPr>
        <w:t xml:space="preserve"> dnů ode dne jejich vystavení.</w:t>
      </w:r>
      <w:r w:rsidR="00BC43BB">
        <w:rPr>
          <w:lang w:eastAsia="en-US"/>
        </w:rPr>
        <w:t xml:space="preserve"> V případě, že faktura nebude doručena ve lhůtě uvedené v předchozí větě, doba splatnosti se přiměřeným způsobem posouvá. </w:t>
      </w:r>
    </w:p>
    <w:p w14:paraId="0768927C" w14:textId="08D3B12E" w:rsidR="00D50A18" w:rsidRDefault="00D50A18" w:rsidP="0055008B">
      <w:pPr>
        <w:pStyle w:val="11slovantext"/>
        <w:rPr>
          <w:lang w:eastAsia="en-US"/>
        </w:rPr>
      </w:pPr>
      <w:r w:rsidRPr="00613301">
        <w:rPr>
          <w:lang w:eastAsia="en-US"/>
        </w:rPr>
        <w:t xml:space="preserve">Poskytovatel je </w:t>
      </w:r>
      <w:r w:rsidR="003836C3" w:rsidRPr="00613301">
        <w:rPr>
          <w:lang w:eastAsia="en-US"/>
        </w:rPr>
        <w:t xml:space="preserve">oprávněn přerušit poskytování Služeb v případě, že </w:t>
      </w:r>
      <w:r w:rsidR="00287919" w:rsidRPr="00613301">
        <w:rPr>
          <w:lang w:eastAsia="en-US"/>
        </w:rPr>
        <w:t>se</w:t>
      </w:r>
      <w:r w:rsidR="00287919">
        <w:rPr>
          <w:lang w:eastAsia="en-US"/>
        </w:rPr>
        <w:t xml:space="preserve"> </w:t>
      </w:r>
      <w:r w:rsidR="003836C3" w:rsidRPr="00613301">
        <w:rPr>
          <w:lang w:eastAsia="en-US"/>
        </w:rPr>
        <w:t>Objednatel dostane do prodlení s plněním jeho finančních závazků dle této Smlouvy.</w:t>
      </w:r>
      <w:r w:rsidR="00CD4751" w:rsidRPr="00613301">
        <w:rPr>
          <w:lang w:eastAsia="en-US"/>
        </w:rPr>
        <w:t xml:space="preserve"> </w:t>
      </w:r>
      <w:r w:rsidR="00CE1BAE">
        <w:rPr>
          <w:lang w:eastAsia="en-US"/>
        </w:rPr>
        <w:t>Poskytovatel v takovém případě není v prodlení s poskytováním Služeb</w:t>
      </w:r>
      <w:r w:rsidR="00CD4751" w:rsidRPr="00613301">
        <w:rPr>
          <w:lang w:eastAsia="en-US"/>
        </w:rPr>
        <w:t>.</w:t>
      </w:r>
    </w:p>
    <w:p w14:paraId="32E657A9" w14:textId="28E04D9D" w:rsidR="0055008B" w:rsidRDefault="0055008B" w:rsidP="0055008B">
      <w:pPr>
        <w:pStyle w:val="1lneksmlouvy"/>
      </w:pPr>
      <w:r>
        <w:t xml:space="preserve">Odpovědnost za </w:t>
      </w:r>
      <w:r w:rsidR="00867A56">
        <w:t>Újmu</w:t>
      </w:r>
    </w:p>
    <w:p w14:paraId="49BDAA0A" w14:textId="77777777" w:rsidR="0055008B" w:rsidRDefault="0055008B" w:rsidP="0055008B">
      <w:pPr>
        <w:pStyle w:val="11slovantext"/>
        <w:rPr>
          <w:lang w:eastAsia="en-US"/>
        </w:rPr>
      </w:pPr>
      <w:r>
        <w:rPr>
          <w:lang w:eastAsia="en-US"/>
        </w:rPr>
        <w:t>Obě strany se zavazují k vyvinutí maximálního úsilí k předcházení škodám a k minimalizaci vzniklých škod.</w:t>
      </w:r>
    </w:p>
    <w:p w14:paraId="0C310B97" w14:textId="7E2B1F9E" w:rsidR="0055008B" w:rsidRPr="00D46F83" w:rsidRDefault="0055008B" w:rsidP="0055008B">
      <w:pPr>
        <w:pStyle w:val="11slovantext"/>
        <w:rPr>
          <w:lang w:eastAsia="en-US"/>
        </w:rPr>
      </w:pPr>
      <w:r w:rsidRPr="00D46F83">
        <w:rPr>
          <w:lang w:eastAsia="en-US"/>
        </w:rPr>
        <w:t xml:space="preserve">Žádná ze smluvních stran neodpovídá za </w:t>
      </w:r>
      <w:r w:rsidR="00867A56">
        <w:rPr>
          <w:lang w:eastAsia="en-US"/>
        </w:rPr>
        <w:t>újmu</w:t>
      </w:r>
      <w:r w:rsidRPr="00D46F83">
        <w:rPr>
          <w:lang w:eastAsia="en-US"/>
        </w:rPr>
        <w:t>, která vznikla v důsledku věcně nesprávného nebo jinak chybného zadání, které obdržela od druhé smluvní strany.</w:t>
      </w:r>
    </w:p>
    <w:p w14:paraId="50965E0C" w14:textId="5569BA60" w:rsidR="0055008B" w:rsidRDefault="0055008B" w:rsidP="0055008B">
      <w:pPr>
        <w:pStyle w:val="11slovantext"/>
      </w:pPr>
      <w:r w:rsidRPr="0012369F">
        <w:rPr>
          <w:lang w:eastAsia="en-US"/>
        </w:rPr>
        <w:t>Smluvní strany se dohodly, že celková výše ná</w:t>
      </w:r>
      <w:r w:rsidR="003836C3">
        <w:rPr>
          <w:lang w:eastAsia="en-US"/>
        </w:rPr>
        <w:t xml:space="preserve">hrady </w:t>
      </w:r>
      <w:r w:rsidR="00867A56">
        <w:rPr>
          <w:lang w:eastAsia="en-US"/>
        </w:rPr>
        <w:t>újmy</w:t>
      </w:r>
      <w:r w:rsidRPr="0012369F">
        <w:rPr>
          <w:lang w:eastAsia="en-US"/>
        </w:rPr>
        <w:t xml:space="preserve">, kterou může smluvní strana </w:t>
      </w:r>
      <w:r w:rsidRPr="00120775">
        <w:rPr>
          <w:lang w:eastAsia="en-US"/>
        </w:rPr>
        <w:t>požadovat</w:t>
      </w:r>
      <w:r w:rsidRPr="0012369F">
        <w:rPr>
          <w:lang w:eastAsia="en-US"/>
        </w:rPr>
        <w:t xml:space="preserve"> po druhé smluvní straně v souvislosti s porušením této Smlouvy, se omezuje do výše</w:t>
      </w:r>
      <w:r w:rsidR="00C66BF4">
        <w:rPr>
          <w:lang w:eastAsia="en-US"/>
        </w:rPr>
        <w:t xml:space="preserve"> celkové</w:t>
      </w:r>
      <w:r w:rsidRPr="0012369F">
        <w:rPr>
          <w:lang w:eastAsia="en-US"/>
        </w:rPr>
        <w:t xml:space="preserve"> </w:t>
      </w:r>
      <w:r w:rsidR="00C66BF4">
        <w:rPr>
          <w:lang w:eastAsia="en-US"/>
        </w:rPr>
        <w:t xml:space="preserve">ceny za poskytování </w:t>
      </w:r>
      <w:r w:rsidR="00CF5AC6">
        <w:rPr>
          <w:lang w:eastAsia="en-US"/>
        </w:rPr>
        <w:t>Paušálních</w:t>
      </w:r>
      <w:r w:rsidR="00287919">
        <w:rPr>
          <w:lang w:eastAsia="en-US"/>
        </w:rPr>
        <w:t xml:space="preserve"> s</w:t>
      </w:r>
      <w:r w:rsidR="00C66BF4">
        <w:rPr>
          <w:lang w:eastAsia="en-US"/>
        </w:rPr>
        <w:t xml:space="preserve">lužeb </w:t>
      </w:r>
      <w:r w:rsidR="00CF5AC6">
        <w:rPr>
          <w:lang w:eastAsia="en-US"/>
        </w:rPr>
        <w:t>za dobu dvanácti měsíců</w:t>
      </w:r>
      <w:r w:rsidR="00176609">
        <w:rPr>
          <w:lang w:eastAsia="en-US"/>
        </w:rPr>
        <w:t xml:space="preserve"> bez DPH</w:t>
      </w:r>
      <w:r>
        <w:rPr>
          <w:lang w:eastAsia="en-US"/>
        </w:rPr>
        <w:t>.</w:t>
      </w:r>
      <w:r>
        <w:t xml:space="preserve">  </w:t>
      </w:r>
      <w:r w:rsidR="003836C3">
        <w:lastRenderedPageBreak/>
        <w:t>Ujednání dle předchozí věty se nevztahuje na újmu způsobenou člověku na jeho přirozených právech, anebo způsobenou úmyslně nebo z hrubé nedbalosti.</w:t>
      </w:r>
    </w:p>
    <w:p w14:paraId="2D50912F" w14:textId="77777777" w:rsidR="00CD4751" w:rsidRDefault="00CD4751" w:rsidP="00CD4751">
      <w:pPr>
        <w:pStyle w:val="1lneksmlouvy"/>
        <w:tabs>
          <w:tab w:val="clear" w:pos="425"/>
          <w:tab w:val="num" w:pos="737"/>
        </w:tabs>
        <w:ind w:left="737" w:hanging="737"/>
      </w:pPr>
      <w:r>
        <w:t>Ochrana informací</w:t>
      </w:r>
    </w:p>
    <w:p w14:paraId="0621E1FB" w14:textId="77777777" w:rsidR="0055008B" w:rsidRDefault="0055008B" w:rsidP="0055008B">
      <w:pPr>
        <w:pStyle w:val="11slovantext"/>
        <w:rPr>
          <w:lang w:eastAsia="en-US"/>
        </w:rPr>
      </w:pPr>
      <w:bookmarkStart w:id="3" w:name="_Ref260717743"/>
      <w:bookmarkStart w:id="4" w:name="_Ref260718108"/>
      <w:r>
        <w:rPr>
          <w:lang w:eastAsia="en-US"/>
        </w:rPr>
        <w:t>Žádná ze smluvních stran nesmí zpřístupnit třetí osobě důvěrné informace, které při plnění této Smlouvy získala od druhé smluvní strany v souvislosti s plněním této Smlouvy.</w:t>
      </w:r>
      <w:bookmarkEnd w:id="3"/>
      <w:r>
        <w:rPr>
          <w:lang w:eastAsia="en-US"/>
        </w:rPr>
        <w:t xml:space="preserve"> To </w:t>
      </w:r>
      <w:r w:rsidRPr="007F2CB8">
        <w:rPr>
          <w:lang w:eastAsia="en-US"/>
        </w:rPr>
        <w:t>neplatí, mají-li být za účelem plnění této Smlouvy potřebné informace zpřístupněny zaměstnancům smluvních stran,</w:t>
      </w:r>
      <w:r>
        <w:rPr>
          <w:lang w:eastAsia="en-US"/>
        </w:rPr>
        <w:t xml:space="preserve"> jejich</w:t>
      </w:r>
      <w:r w:rsidRPr="007F2CB8">
        <w:rPr>
          <w:lang w:eastAsia="en-US"/>
        </w:rPr>
        <w:t xml:space="preserve"> orgánům nebo jejich členům</w:t>
      </w:r>
      <w:r>
        <w:rPr>
          <w:lang w:eastAsia="en-US"/>
        </w:rPr>
        <w:t xml:space="preserve"> nebo subdodavatelům smluvních stran.</w:t>
      </w:r>
      <w:bookmarkEnd w:id="4"/>
    </w:p>
    <w:p w14:paraId="7316E1EE" w14:textId="50B67F0E" w:rsidR="00DD34DD" w:rsidRDefault="00DD34DD" w:rsidP="00DD34DD">
      <w:pPr>
        <w:pStyle w:val="11slovantext"/>
        <w:rPr>
          <w:lang w:eastAsia="en-US"/>
        </w:rPr>
      </w:pPr>
      <w:r>
        <w:rPr>
          <w:lang w:eastAsia="en-US"/>
        </w:rPr>
        <w:t xml:space="preserve">Za důvěrné informace jsou dle této Smlouvy smluvními stranami považovány veškeré informace poskytnuté vzájemně, zejména informace smluvních stran, které se strany dozvěděly v souvislosti s touto Smlouvou,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a to </w:t>
      </w:r>
      <w:r w:rsidR="00CF5AC6">
        <w:rPr>
          <w:lang w:eastAsia="en-US"/>
        </w:rPr>
        <w:t>za předpokladu, že jsou</w:t>
      </w:r>
      <w:r>
        <w:rPr>
          <w:lang w:eastAsia="en-US"/>
        </w:rPr>
        <w:t xml:space="preserve"> </w:t>
      </w:r>
      <w:r w:rsidR="00185318">
        <w:rPr>
          <w:lang w:eastAsia="en-US"/>
        </w:rPr>
        <w:t xml:space="preserve">předmětné informace </w:t>
      </w:r>
      <w:r>
        <w:rPr>
          <w:lang w:eastAsia="en-US"/>
        </w:rPr>
        <w:t>označen</w:t>
      </w:r>
      <w:r w:rsidR="00185318">
        <w:rPr>
          <w:lang w:eastAsia="en-US"/>
        </w:rPr>
        <w:t>y</w:t>
      </w:r>
      <w:r>
        <w:rPr>
          <w:lang w:eastAsia="en-US"/>
        </w:rPr>
        <w:t xml:space="preserve"> jako důvěrné informace.</w:t>
      </w:r>
      <w:r w:rsidRPr="00A310DA">
        <w:rPr>
          <w:lang w:eastAsia="en-US"/>
        </w:rPr>
        <w:t xml:space="preserve"> </w:t>
      </w:r>
      <w:r w:rsidRPr="002F6D56">
        <w:rPr>
          <w:lang w:eastAsia="en-US"/>
        </w:rPr>
        <w:t xml:space="preserve">Za </w:t>
      </w:r>
      <w:r>
        <w:rPr>
          <w:lang w:eastAsia="en-US"/>
        </w:rPr>
        <w:t>d</w:t>
      </w:r>
      <w:r w:rsidRPr="002F6D56">
        <w:rPr>
          <w:lang w:eastAsia="en-US"/>
        </w:rPr>
        <w:t>ůvěrné informace se výslovně považují rovněž veškerá uživatelská data, údaje či informace, obsažené v informačních systémech</w:t>
      </w:r>
      <w:r>
        <w:rPr>
          <w:lang w:eastAsia="en-US"/>
        </w:rPr>
        <w:t>,</w:t>
      </w:r>
      <w:r w:rsidRPr="002F6D56">
        <w:rPr>
          <w:lang w:eastAsia="en-US"/>
        </w:rPr>
        <w:t xml:space="preserve"> </w:t>
      </w:r>
      <w:r>
        <w:rPr>
          <w:lang w:eastAsia="en-US"/>
        </w:rPr>
        <w:t>jichž se plnění</w:t>
      </w:r>
      <w:r w:rsidRPr="002F6D56">
        <w:rPr>
          <w:lang w:eastAsia="en-US"/>
        </w:rPr>
        <w:t xml:space="preserve"> </w:t>
      </w:r>
      <w:r>
        <w:rPr>
          <w:lang w:eastAsia="en-US"/>
        </w:rPr>
        <w:t xml:space="preserve">této </w:t>
      </w:r>
      <w:r w:rsidRPr="002F6D56">
        <w:rPr>
          <w:lang w:eastAsia="en-US"/>
        </w:rPr>
        <w:t>Sml</w:t>
      </w:r>
      <w:r>
        <w:rPr>
          <w:lang w:eastAsia="en-US"/>
        </w:rPr>
        <w:t>o</w:t>
      </w:r>
      <w:r w:rsidRPr="002F6D56">
        <w:rPr>
          <w:lang w:eastAsia="en-US"/>
        </w:rPr>
        <w:t>uv</w:t>
      </w:r>
      <w:r>
        <w:rPr>
          <w:lang w:eastAsia="en-US"/>
        </w:rPr>
        <w:t>y dotýká</w:t>
      </w:r>
      <w:r w:rsidRPr="002F6D56">
        <w:rPr>
          <w:lang w:eastAsia="en-US"/>
        </w:rPr>
        <w:t>.</w:t>
      </w:r>
    </w:p>
    <w:p w14:paraId="5CE71141" w14:textId="77777777" w:rsidR="0055008B" w:rsidRDefault="0055008B" w:rsidP="0055008B">
      <w:pPr>
        <w:pStyle w:val="11slovantext"/>
        <w:rPr>
          <w:lang w:eastAsia="en-US"/>
        </w:rPr>
      </w:pPr>
      <w:r w:rsidRPr="002F6D56">
        <w:rPr>
          <w:lang w:eastAsia="en-US"/>
        </w:rPr>
        <w:t>Bez ohledu na</w:t>
      </w:r>
      <w:r>
        <w:rPr>
          <w:lang w:eastAsia="en-US"/>
        </w:rPr>
        <w:t xml:space="preserve"> výše uvedená ustanovení se za důvěrné nepovažují informace</w:t>
      </w:r>
      <w:r w:rsidRPr="002F6D56">
        <w:rPr>
          <w:lang w:eastAsia="en-US"/>
        </w:rPr>
        <w:t>:</w:t>
      </w:r>
    </w:p>
    <w:p w14:paraId="278DD7DC" w14:textId="77777777" w:rsidR="0055008B" w:rsidRPr="001D750B" w:rsidRDefault="0055008B" w:rsidP="0055008B">
      <w:pPr>
        <w:pStyle w:val="11slovantext"/>
        <w:numPr>
          <w:ilvl w:val="2"/>
          <w:numId w:val="1"/>
        </w:numPr>
        <w:rPr>
          <w:lang w:eastAsia="en-US"/>
        </w:rPr>
      </w:pPr>
      <w:r w:rsidRPr="002F6D56">
        <w:rPr>
          <w:lang w:eastAsia="en-US"/>
        </w:rPr>
        <w:t>které</w:t>
      </w:r>
      <w:r w:rsidRPr="001D750B">
        <w:rPr>
          <w:lang w:eastAsia="en-US"/>
        </w:rPr>
        <w:t xml:space="preserve"> se staly veřejně známými, aniž by to zavinila zámě</w:t>
      </w:r>
      <w:r>
        <w:rPr>
          <w:lang w:eastAsia="en-US"/>
        </w:rPr>
        <w:t>rně či nedbalostně přijímající s</w:t>
      </w:r>
      <w:r w:rsidRPr="001D750B">
        <w:rPr>
          <w:lang w:eastAsia="en-US"/>
        </w:rPr>
        <w:t>trana,</w:t>
      </w:r>
    </w:p>
    <w:p w14:paraId="079EE652" w14:textId="77777777" w:rsidR="0055008B" w:rsidRPr="001D750B" w:rsidRDefault="0055008B" w:rsidP="0055008B">
      <w:pPr>
        <w:pStyle w:val="11slovantext"/>
        <w:numPr>
          <w:ilvl w:val="2"/>
          <w:numId w:val="1"/>
        </w:numPr>
        <w:rPr>
          <w:lang w:eastAsia="en-US"/>
        </w:rPr>
      </w:pPr>
      <w:r w:rsidRPr="002F6D56">
        <w:rPr>
          <w:lang w:eastAsia="en-US"/>
        </w:rPr>
        <w:t>které</w:t>
      </w:r>
      <w:r w:rsidRPr="001D750B">
        <w:rPr>
          <w:lang w:eastAsia="en-US"/>
        </w:rPr>
        <w:t xml:space="preserve"> měla přijímající strana legálně k dispozici před uzavřením </w:t>
      </w:r>
      <w:r>
        <w:rPr>
          <w:lang w:eastAsia="en-US"/>
        </w:rPr>
        <w:t xml:space="preserve">této </w:t>
      </w:r>
      <w:r w:rsidRPr="001D750B">
        <w:rPr>
          <w:lang w:eastAsia="en-US"/>
        </w:rPr>
        <w:t>Sml</w:t>
      </w:r>
      <w:r>
        <w:rPr>
          <w:lang w:eastAsia="en-US"/>
        </w:rPr>
        <w:t>o</w:t>
      </w:r>
      <w:r w:rsidRPr="001D750B">
        <w:rPr>
          <w:lang w:eastAsia="en-US"/>
        </w:rPr>
        <w:t>uv</w:t>
      </w:r>
      <w:r>
        <w:rPr>
          <w:lang w:eastAsia="en-US"/>
        </w:rPr>
        <w:t>y</w:t>
      </w:r>
      <w:r w:rsidRPr="001D750B">
        <w:rPr>
          <w:lang w:eastAsia="en-US"/>
        </w:rPr>
        <w:t>, pokud takové informace neb</w:t>
      </w:r>
      <w:r>
        <w:rPr>
          <w:lang w:eastAsia="en-US"/>
        </w:rPr>
        <w:t>yly předmětem jiné, dříve mezi s</w:t>
      </w:r>
      <w:r w:rsidRPr="001D750B">
        <w:rPr>
          <w:lang w:eastAsia="en-US"/>
        </w:rPr>
        <w:t>tranami uzavřené smlouvy o ochraně informací,</w:t>
      </w:r>
    </w:p>
    <w:p w14:paraId="75F691A1" w14:textId="77777777" w:rsidR="0055008B" w:rsidRPr="001D750B" w:rsidRDefault="0055008B" w:rsidP="0055008B">
      <w:pPr>
        <w:pStyle w:val="11slovantext"/>
        <w:numPr>
          <w:ilvl w:val="2"/>
          <w:numId w:val="1"/>
        </w:numPr>
        <w:rPr>
          <w:lang w:eastAsia="en-US"/>
        </w:rPr>
      </w:pPr>
      <w:r w:rsidRPr="002F6D56">
        <w:rPr>
          <w:lang w:eastAsia="en-US"/>
        </w:rPr>
        <w:t>které</w:t>
      </w:r>
      <w:r w:rsidRPr="001D750B">
        <w:rPr>
          <w:lang w:eastAsia="en-US"/>
        </w:rPr>
        <w:t xml:space="preserve"> jsou výsledkem postupu</w:t>
      </w:r>
      <w:r>
        <w:rPr>
          <w:lang w:eastAsia="en-US"/>
        </w:rPr>
        <w:t>, při kterém k nim přijímající s</w:t>
      </w:r>
      <w:r w:rsidRPr="001D750B">
        <w:rPr>
          <w:lang w:eastAsia="en-US"/>
        </w:rPr>
        <w:t>trana dospěje nezávisle a je to schopna doložit svými záznamy nebo důvěrnými informacemi třetí strany,</w:t>
      </w:r>
    </w:p>
    <w:p w14:paraId="0F3DD663" w14:textId="2B1B522D" w:rsidR="0055008B" w:rsidRDefault="0055008B" w:rsidP="0055008B">
      <w:pPr>
        <w:pStyle w:val="11slovantext"/>
        <w:numPr>
          <w:ilvl w:val="2"/>
          <w:numId w:val="1"/>
        </w:numPr>
        <w:rPr>
          <w:lang w:eastAsia="en-US"/>
        </w:rPr>
      </w:pPr>
      <w:r w:rsidRPr="002F6D56">
        <w:rPr>
          <w:lang w:eastAsia="en-US"/>
        </w:rPr>
        <w:t>které</w:t>
      </w:r>
      <w:r w:rsidRPr="001D750B">
        <w:rPr>
          <w:lang w:eastAsia="en-US"/>
        </w:rPr>
        <w:t xml:space="preserve"> poskytne přijímající </w:t>
      </w:r>
      <w:r>
        <w:rPr>
          <w:lang w:eastAsia="en-US"/>
        </w:rPr>
        <w:t>s</w:t>
      </w:r>
      <w:r w:rsidRPr="001D750B">
        <w:rPr>
          <w:lang w:eastAsia="en-US"/>
        </w:rPr>
        <w:t xml:space="preserve">traně třetí osoba, jež takové informace přitom nezíská přímo ani nepřímo od </w:t>
      </w:r>
      <w:r>
        <w:rPr>
          <w:lang w:eastAsia="en-US"/>
        </w:rPr>
        <w:t>s</w:t>
      </w:r>
      <w:r w:rsidR="00CF5AC6">
        <w:rPr>
          <w:lang w:eastAsia="en-US"/>
        </w:rPr>
        <w:t>trany, jež je jejich vlastníkem.</w:t>
      </w:r>
    </w:p>
    <w:p w14:paraId="0742E0E8" w14:textId="2D75F889" w:rsidR="00867A56" w:rsidRDefault="00867A56" w:rsidP="00AB47AB">
      <w:pPr>
        <w:pStyle w:val="11slovantext"/>
      </w:pPr>
      <w:r>
        <w:t>Za porušení povinnosti chránit důvěrné informace se nepovažuje zpřístupnění důvěrných informací třetí osobě:</w:t>
      </w:r>
    </w:p>
    <w:p w14:paraId="5256420C" w14:textId="41CA0130" w:rsidR="0055008B" w:rsidRPr="00BF5BC0" w:rsidRDefault="0055008B" w:rsidP="0055008B">
      <w:pPr>
        <w:pStyle w:val="11slovantext"/>
        <w:numPr>
          <w:ilvl w:val="2"/>
          <w:numId w:val="1"/>
        </w:numPr>
        <w:rPr>
          <w:lang w:eastAsia="en-US"/>
        </w:rPr>
      </w:pPr>
      <w:r>
        <w:rPr>
          <w:lang w:eastAsia="en-US"/>
        </w:rPr>
        <w:t xml:space="preserve">jsou-li poskytovány </w:t>
      </w:r>
      <w:r w:rsidRPr="001C6840">
        <w:rPr>
          <w:lang w:eastAsia="en-US"/>
        </w:rPr>
        <w:t>ekonomický</w:t>
      </w:r>
      <w:r>
        <w:rPr>
          <w:lang w:eastAsia="en-US"/>
        </w:rPr>
        <w:t>m, daňovým a právní poradcům</w:t>
      </w:r>
      <w:r w:rsidRPr="001C6840">
        <w:rPr>
          <w:lang w:eastAsia="en-US"/>
        </w:rPr>
        <w:t xml:space="preserve"> smluvních stran</w:t>
      </w:r>
      <w:r w:rsidR="00185318">
        <w:rPr>
          <w:lang w:eastAsia="en-US"/>
        </w:rPr>
        <w:t xml:space="preserve"> a přijímající strana nezbaví tyto osoby povinnosti mlčenlivosti</w:t>
      </w:r>
      <w:r>
        <w:rPr>
          <w:lang w:eastAsia="en-US"/>
        </w:rPr>
        <w:t>,</w:t>
      </w:r>
    </w:p>
    <w:p w14:paraId="52309509" w14:textId="77777777" w:rsidR="0055008B" w:rsidRPr="001D750B" w:rsidRDefault="0055008B" w:rsidP="0055008B">
      <w:pPr>
        <w:pStyle w:val="11slovantext"/>
        <w:numPr>
          <w:ilvl w:val="2"/>
          <w:numId w:val="1"/>
        </w:numPr>
        <w:rPr>
          <w:lang w:eastAsia="en-US"/>
        </w:rPr>
      </w:pPr>
      <w:r>
        <w:rPr>
          <w:lang w:eastAsia="en-US"/>
        </w:rPr>
        <w:t xml:space="preserve">je-li jejich zveřejnění nezbytné k tomu, aby se smluvní strana mohla domáhat ochrany svých práv u soudu nebo rozhodčího soudu, </w:t>
      </w:r>
    </w:p>
    <w:p w14:paraId="2CD24978" w14:textId="1C4BC737" w:rsidR="0055008B" w:rsidRPr="001D750B" w:rsidRDefault="00867A56" w:rsidP="0055008B">
      <w:pPr>
        <w:pStyle w:val="11slovantext"/>
        <w:numPr>
          <w:ilvl w:val="2"/>
          <w:numId w:val="1"/>
        </w:numPr>
        <w:rPr>
          <w:lang w:eastAsia="en-US"/>
        </w:rPr>
      </w:pPr>
      <w:r>
        <w:rPr>
          <w:lang w:eastAsia="en-US"/>
        </w:rPr>
        <w:t>je-li jejich</w:t>
      </w:r>
      <w:r w:rsidR="0055008B" w:rsidRPr="001D750B">
        <w:rPr>
          <w:lang w:eastAsia="en-US"/>
        </w:rPr>
        <w:t xml:space="preserve"> zveřejnění důvodně vyžadováno zákonem či pravomocným rozhodnutím orgánu státní správy, obecných či rozhodčích soudů.</w:t>
      </w:r>
    </w:p>
    <w:p w14:paraId="70E68662" w14:textId="77777777" w:rsidR="0055008B" w:rsidRDefault="0055008B" w:rsidP="0055008B">
      <w:pPr>
        <w:pStyle w:val="11slovantext"/>
        <w:rPr>
          <w:lang w:eastAsia="en-US"/>
        </w:rPr>
      </w:pPr>
      <w:r>
        <w:rPr>
          <w:lang w:eastAsia="en-US"/>
        </w:rPr>
        <w:t xml:space="preserve">Obě smluvní strany se zavazují nakládat s důvěrnými informacemi, které jim byly poskytnuty druhou smluvní stranou nebo je jinak získaly v souvislosti s plněním této Smlouvy, jako s obchodním tajemstvím; zavazují se zejména uchovávat je v tajnosti a učinit veškerá smluvní a technická opatření zabraňující jejich zneužití či prozrazení. </w:t>
      </w:r>
    </w:p>
    <w:p w14:paraId="56BE435A" w14:textId="77777777" w:rsidR="0055008B" w:rsidRDefault="0055008B" w:rsidP="0055008B">
      <w:pPr>
        <w:pStyle w:val="11slovantext"/>
        <w:rPr>
          <w:lang w:eastAsia="en-US"/>
        </w:rPr>
      </w:pPr>
      <w:r>
        <w:rPr>
          <w:lang w:eastAsia="en-US"/>
        </w:rPr>
        <w:t xml:space="preserve">Povinnost utajovat důvěrné informace zavazuje smluvní strany po dobu účinnosti této Smlouvy a </w:t>
      </w:r>
      <w:r w:rsidRPr="006C2EF3">
        <w:rPr>
          <w:lang w:eastAsia="en-US"/>
        </w:rPr>
        <w:t>pět let</w:t>
      </w:r>
      <w:r>
        <w:rPr>
          <w:lang w:eastAsia="en-US"/>
        </w:rPr>
        <w:t xml:space="preserve"> po ukončení její účinnosti.</w:t>
      </w:r>
    </w:p>
    <w:p w14:paraId="0A4A3CD5" w14:textId="77777777" w:rsidR="0055008B" w:rsidRDefault="0055008B" w:rsidP="0055008B">
      <w:pPr>
        <w:pStyle w:val="1lneksmlouvy"/>
      </w:pPr>
      <w:r>
        <w:lastRenderedPageBreak/>
        <w:t>Trvání smlouvy</w:t>
      </w:r>
    </w:p>
    <w:p w14:paraId="5D0C6D1A" w14:textId="0F668FF3" w:rsidR="0055008B" w:rsidRDefault="00B96035" w:rsidP="00B96035">
      <w:pPr>
        <w:pStyle w:val="11slovantext"/>
      </w:pPr>
      <w:r>
        <w:t xml:space="preserve">Tato Smlouva se uzavírá na dobu </w:t>
      </w:r>
      <w:r w:rsidR="00636DE1">
        <w:t xml:space="preserve">tří měsíců </w:t>
      </w:r>
      <w:r w:rsidR="00636DE1">
        <w:rPr>
          <w:lang w:eastAsia="en-US"/>
        </w:rPr>
        <w:t>ode dne následujícího po zřízení Paušálních služeb Poskytovatelem</w:t>
      </w:r>
      <w:r w:rsidR="00F17A23">
        <w:t>.</w:t>
      </w:r>
      <w:r>
        <w:t xml:space="preserve"> </w:t>
      </w:r>
    </w:p>
    <w:p w14:paraId="40C2615A" w14:textId="0FAE7FD8" w:rsidR="004855A1" w:rsidRDefault="00AA3B52" w:rsidP="0055008B">
      <w:pPr>
        <w:pStyle w:val="11slovantext"/>
        <w:rPr>
          <w:lang w:eastAsia="en-US"/>
        </w:rPr>
      </w:pPr>
      <w:r>
        <w:rPr>
          <w:lang w:eastAsia="en-US"/>
        </w:rPr>
        <w:t xml:space="preserve">Každá ze smluvních stran je </w:t>
      </w:r>
      <w:r w:rsidRPr="00182963">
        <w:rPr>
          <w:lang w:eastAsia="en-US"/>
        </w:rPr>
        <w:t xml:space="preserve">oprávněna tuto Smlouvu vypovědět </w:t>
      </w:r>
      <w:r w:rsidR="00D97487" w:rsidRPr="00182963">
        <w:rPr>
          <w:lang w:eastAsia="en-US"/>
        </w:rPr>
        <w:t>i bez udání důvodu</w:t>
      </w:r>
      <w:r w:rsidR="009C3565" w:rsidRPr="00182963">
        <w:rPr>
          <w:lang w:eastAsia="en-US"/>
        </w:rPr>
        <w:t>, a to</w:t>
      </w:r>
      <w:r w:rsidR="00D97487" w:rsidRPr="00182963">
        <w:rPr>
          <w:lang w:eastAsia="en-US"/>
        </w:rPr>
        <w:t xml:space="preserve"> </w:t>
      </w:r>
      <w:r w:rsidRPr="00182963">
        <w:rPr>
          <w:lang w:eastAsia="en-US"/>
        </w:rPr>
        <w:t xml:space="preserve">s výpovědní </w:t>
      </w:r>
      <w:r w:rsidR="00DD34DD" w:rsidRPr="00182963">
        <w:rPr>
          <w:lang w:eastAsia="en-US"/>
        </w:rPr>
        <w:t xml:space="preserve">dobou </w:t>
      </w:r>
      <w:r w:rsidR="00FC6947" w:rsidRPr="00182963">
        <w:rPr>
          <w:lang w:eastAsia="en-US"/>
        </w:rPr>
        <w:t xml:space="preserve">v délce </w:t>
      </w:r>
      <w:r w:rsidR="00EF0590" w:rsidRPr="00182963">
        <w:rPr>
          <w:lang w:eastAsia="en-US"/>
        </w:rPr>
        <w:t>jednoho měsíce</w:t>
      </w:r>
      <w:r w:rsidRPr="00182963">
        <w:rPr>
          <w:lang w:eastAsia="en-US"/>
        </w:rPr>
        <w:t>,</w:t>
      </w:r>
      <w:r w:rsidR="00D97487" w:rsidRPr="00182963">
        <w:rPr>
          <w:lang w:eastAsia="en-US"/>
        </w:rPr>
        <w:t xml:space="preserve"> která uplyne </w:t>
      </w:r>
      <w:r w:rsidR="00632698" w:rsidRPr="00182963">
        <w:rPr>
          <w:lang w:eastAsia="en-US"/>
        </w:rPr>
        <w:t xml:space="preserve">uplynutím </w:t>
      </w:r>
      <w:r w:rsidR="00EF0590" w:rsidRPr="00182963">
        <w:rPr>
          <w:lang w:eastAsia="en-US"/>
        </w:rPr>
        <w:t>jednoho</w:t>
      </w:r>
      <w:r w:rsidR="00EF0590">
        <w:rPr>
          <w:lang w:eastAsia="en-US"/>
        </w:rPr>
        <w:t xml:space="preserve"> </w:t>
      </w:r>
      <w:r w:rsidR="00632698">
        <w:rPr>
          <w:lang w:eastAsia="en-US"/>
        </w:rPr>
        <w:t>měsíce následujícího po měsíci</w:t>
      </w:r>
      <w:r w:rsidR="009C3565">
        <w:rPr>
          <w:lang w:eastAsia="en-US"/>
        </w:rPr>
        <w:t>, kdy byla výpověď doručena druhé smluvní straně</w:t>
      </w:r>
      <w:r>
        <w:rPr>
          <w:lang w:eastAsia="en-US"/>
        </w:rPr>
        <w:t xml:space="preserve">.  </w:t>
      </w:r>
    </w:p>
    <w:p w14:paraId="7C1D8A8A" w14:textId="1D4DD329" w:rsidR="0055008B" w:rsidRDefault="0055008B" w:rsidP="0055008B">
      <w:pPr>
        <w:pStyle w:val="11slovantext"/>
        <w:rPr>
          <w:lang w:eastAsia="en-US"/>
        </w:rPr>
      </w:pPr>
      <w:r w:rsidRPr="00613301">
        <w:rPr>
          <w:lang w:eastAsia="en-US"/>
        </w:rPr>
        <w:t xml:space="preserve">Objednatel je oprávněn odstoupit od Smlouvy v případě, že </w:t>
      </w:r>
      <w:r w:rsidR="00D670E7" w:rsidRPr="00613301">
        <w:t>Poskytovatel</w:t>
      </w:r>
      <w:r w:rsidRPr="00613301">
        <w:rPr>
          <w:lang w:eastAsia="en-US"/>
        </w:rPr>
        <w:t xml:space="preserve"> je v prodlení s plněním povinností dle této Smlouvy déle než 30 dnů a nezjedná nápravu ani do 30 dnů od doručení písemné výzvy Objednatele k odstranění tohoto prodlení</w:t>
      </w:r>
      <w:r w:rsidR="00CD4751" w:rsidRPr="00613301">
        <w:rPr>
          <w:lang w:eastAsia="en-US"/>
        </w:rPr>
        <w:t xml:space="preserve">, </w:t>
      </w:r>
      <w:r w:rsidR="00AE20D4">
        <w:rPr>
          <w:lang w:eastAsia="en-US"/>
        </w:rPr>
        <w:t>přičemž za prodlení Poskytovatele se nepovažuje pozastavení poskytování Služeb dle</w:t>
      </w:r>
      <w:r w:rsidR="00CD4751" w:rsidRPr="00613301">
        <w:rPr>
          <w:lang w:eastAsia="en-US"/>
        </w:rPr>
        <w:t xml:space="preserve"> odst. 5.</w:t>
      </w:r>
      <w:r w:rsidR="00DD34DD">
        <w:rPr>
          <w:lang w:eastAsia="en-US"/>
        </w:rPr>
        <w:t>6</w:t>
      </w:r>
      <w:r w:rsidR="00DD34DD" w:rsidRPr="00613301">
        <w:rPr>
          <w:lang w:eastAsia="en-US"/>
        </w:rPr>
        <w:t xml:space="preserve"> </w:t>
      </w:r>
      <w:r w:rsidR="00CD4751" w:rsidRPr="00613301">
        <w:rPr>
          <w:lang w:eastAsia="en-US"/>
        </w:rPr>
        <w:t>této Smlouvy</w:t>
      </w:r>
      <w:r w:rsidRPr="00613301">
        <w:rPr>
          <w:lang w:eastAsia="en-US"/>
        </w:rPr>
        <w:t>.</w:t>
      </w:r>
    </w:p>
    <w:p w14:paraId="1458CFF7" w14:textId="77777777" w:rsidR="0055008B" w:rsidRDefault="00D50A18" w:rsidP="0055008B">
      <w:pPr>
        <w:pStyle w:val="11slovantext"/>
      </w:pPr>
      <w:r>
        <w:t>Poskytovatel</w:t>
      </w:r>
      <w:r w:rsidR="0055008B">
        <w:t xml:space="preserve"> je oprávněn odstoupit od Smlouvy v případě, že Objednatel je v prodlení s plněním svých peněžitých závazků z této Smlouvy déle než 30 dnů.  </w:t>
      </w:r>
    </w:p>
    <w:p w14:paraId="7316DAF2" w14:textId="2E175DC2" w:rsidR="0021284B" w:rsidRDefault="0021284B" w:rsidP="00DD4674">
      <w:pPr>
        <w:pStyle w:val="11slovantext"/>
      </w:pPr>
      <w:r>
        <w:t xml:space="preserve">V případě odstoupení od Smlouvy kteroukoliv smluvní stranou tato Smlouva zaniká ke dni doručení odstoupení druhé smluvní straně. </w:t>
      </w:r>
      <w:r w:rsidR="00DD4674">
        <w:t xml:space="preserve">Smluvní strany vylučují aplikaci </w:t>
      </w:r>
      <w:r w:rsidR="00DD4674" w:rsidRPr="00DD4674">
        <w:t xml:space="preserve">§ 2004 </w:t>
      </w:r>
      <w:r w:rsidR="003469B2">
        <w:t xml:space="preserve">odst. 1 </w:t>
      </w:r>
      <w:r w:rsidR="00DD4674">
        <w:t>občanského zákoníku.</w:t>
      </w:r>
    </w:p>
    <w:p w14:paraId="2E2EE5B6" w14:textId="36BBA02C" w:rsidR="00D50A18" w:rsidRDefault="00D50A18" w:rsidP="00D50A18">
      <w:pPr>
        <w:pStyle w:val="11slovantext"/>
      </w:pPr>
      <w:r>
        <w:t xml:space="preserve">Ukončením účinnosti této Smlouvy z jakéhokoliv důvodu není dotčeno právo Poskytovatele na úhradu ceny již poskytnutého plnění. </w:t>
      </w:r>
    </w:p>
    <w:p w14:paraId="582F4CAF" w14:textId="77777777" w:rsidR="00D50A18" w:rsidRDefault="00D50A18" w:rsidP="00D50A18">
      <w:pPr>
        <w:pStyle w:val="11slovantext"/>
      </w:pPr>
      <w:r>
        <w:t xml:space="preserve">Ukončení účinnosti této Smlouvy se nedotýká ujednání o náhradě </w:t>
      </w:r>
      <w:r w:rsidR="00D670E7">
        <w:t>újmy</w:t>
      </w:r>
      <w:r w:rsidR="00844CB8">
        <w:t>, ochraně</w:t>
      </w:r>
      <w:r>
        <w:t xml:space="preserve"> informací</w:t>
      </w:r>
      <w:r w:rsidR="00844CB8">
        <w:t>, řešení sporů,</w:t>
      </w:r>
      <w:r>
        <w:t xml:space="preserve"> ani ujednání, z jejichž povahy vyplývá, že mají trvat i po dobu po ukončení této Smlouvy. </w:t>
      </w:r>
    </w:p>
    <w:p w14:paraId="299DC00D" w14:textId="77777777" w:rsidR="0055008B" w:rsidRDefault="0055008B" w:rsidP="0055008B">
      <w:pPr>
        <w:pStyle w:val="1lneksmlouvy"/>
      </w:pPr>
      <w:r>
        <w:t xml:space="preserve">ZÁVĚREČNÁ </w:t>
      </w:r>
      <w:r w:rsidRPr="0089191B">
        <w:t>USTANOVENÍ</w:t>
      </w:r>
    </w:p>
    <w:p w14:paraId="23DD6A79" w14:textId="77777777" w:rsidR="0055008B" w:rsidRDefault="0055008B" w:rsidP="0055008B">
      <w:pPr>
        <w:pStyle w:val="11slovantext"/>
      </w:pPr>
      <w:bookmarkStart w:id="5" w:name="_Ref258354601"/>
      <w:r>
        <w:t>Tato Smlouva představuje úplnou dohodu smluvních stran o předmětu Smlouvy, přičemž tuto Smlouvu je možné měnit pouze písemnou dohodou smluvních stran ve formě číslovaných dodatků, oboustranně odsouhlasených a podepsaných oprávněnými zástupci obou smluvních stran.</w:t>
      </w:r>
      <w:bookmarkEnd w:id="5"/>
    </w:p>
    <w:p w14:paraId="004A5CD5" w14:textId="7CB2EC72" w:rsidR="0055008B" w:rsidRDefault="0055008B" w:rsidP="0055008B">
      <w:pPr>
        <w:pStyle w:val="11slovantext"/>
      </w:pPr>
      <w:r>
        <w:t>Pokud by se kterékoliv ustanovení Smlouvy ukázalo být neplatným z důvod</w:t>
      </w:r>
      <w:r w:rsidR="008D7CEB">
        <w:t>u</w:t>
      </w:r>
      <w:r>
        <w:t xml:space="preserve"> rozporu s kogentním ustanovením obecně závazných právních předpisů, pak tato skutečnost nepůsobí neplatnost než onoho konkrétního ustanovení. Smluvní strany se zavazují takové neplatné ustanovení dohodou nahradit ustanovením svým obsahem nejbližším duchu takového neplatného ustanovení, respektujícím požadavky kogentních ustanovení právních předpisů.</w:t>
      </w:r>
    </w:p>
    <w:p w14:paraId="3FD805AF" w14:textId="77777777" w:rsidR="0055008B" w:rsidRDefault="0055008B" w:rsidP="0055008B">
      <w:pPr>
        <w:pStyle w:val="11slovantext"/>
        <w:rPr>
          <w:lang w:eastAsia="en-US"/>
        </w:rPr>
      </w:pPr>
      <w:r>
        <w:t>Nedílnou součást Smlouvy tvoří tyto přílohy:</w:t>
      </w:r>
    </w:p>
    <w:tbl>
      <w:tblPr>
        <w:tblW w:w="0" w:type="auto"/>
        <w:tblInd w:w="1474" w:type="dxa"/>
        <w:tblLook w:val="04A0" w:firstRow="1" w:lastRow="0" w:firstColumn="1" w:lastColumn="0" w:noHBand="0" w:noVBand="1"/>
      </w:tblPr>
      <w:tblGrid>
        <w:gridCol w:w="1445"/>
        <w:gridCol w:w="6153"/>
      </w:tblGrid>
      <w:tr w:rsidR="0055008B" w:rsidRPr="0089191B" w14:paraId="32F7D30F" w14:textId="77777777" w:rsidTr="00AB47AB">
        <w:tc>
          <w:tcPr>
            <w:tcW w:w="1445" w:type="dxa"/>
          </w:tcPr>
          <w:p w14:paraId="5D5EEE27" w14:textId="77777777" w:rsidR="0055008B" w:rsidRDefault="0055008B" w:rsidP="00DA7367">
            <w:pPr>
              <w:pStyle w:val="11slovantext"/>
              <w:numPr>
                <w:ilvl w:val="0"/>
                <w:numId w:val="0"/>
              </w:numPr>
              <w:rPr>
                <w:lang w:eastAsia="en-US"/>
              </w:rPr>
            </w:pPr>
            <w:r>
              <w:rPr>
                <w:lang w:eastAsia="en-US"/>
              </w:rPr>
              <w:t>Příloha č. 1:</w:t>
            </w:r>
          </w:p>
        </w:tc>
        <w:tc>
          <w:tcPr>
            <w:tcW w:w="6153" w:type="dxa"/>
          </w:tcPr>
          <w:p w14:paraId="1DE345C2" w14:textId="77777777" w:rsidR="0055008B" w:rsidRDefault="0055008B" w:rsidP="003836C3">
            <w:pPr>
              <w:pStyle w:val="11slovantext"/>
              <w:numPr>
                <w:ilvl w:val="0"/>
                <w:numId w:val="0"/>
              </w:numPr>
              <w:rPr>
                <w:lang w:eastAsia="en-US"/>
              </w:rPr>
            </w:pPr>
            <w:r>
              <w:rPr>
                <w:szCs w:val="22"/>
              </w:rPr>
              <w:t xml:space="preserve">Specifikace </w:t>
            </w:r>
            <w:r w:rsidR="003836C3">
              <w:rPr>
                <w:szCs w:val="22"/>
              </w:rPr>
              <w:t>služeb</w:t>
            </w:r>
          </w:p>
        </w:tc>
      </w:tr>
      <w:tr w:rsidR="0055008B" w:rsidRPr="0089191B" w14:paraId="648EC3D2" w14:textId="77777777" w:rsidTr="00AB47AB">
        <w:tc>
          <w:tcPr>
            <w:tcW w:w="1445" w:type="dxa"/>
          </w:tcPr>
          <w:p w14:paraId="6868A709" w14:textId="77777777" w:rsidR="0055008B" w:rsidRDefault="0055008B" w:rsidP="00DA7367">
            <w:pPr>
              <w:pStyle w:val="11slovantext"/>
              <w:numPr>
                <w:ilvl w:val="0"/>
                <w:numId w:val="0"/>
              </w:numPr>
              <w:rPr>
                <w:lang w:eastAsia="en-US"/>
              </w:rPr>
            </w:pPr>
            <w:r>
              <w:rPr>
                <w:lang w:eastAsia="en-US"/>
              </w:rPr>
              <w:t>Příloha č. 2:</w:t>
            </w:r>
          </w:p>
        </w:tc>
        <w:tc>
          <w:tcPr>
            <w:tcW w:w="6153" w:type="dxa"/>
          </w:tcPr>
          <w:p w14:paraId="11DCF424" w14:textId="1CF1669B" w:rsidR="0055008B" w:rsidRDefault="003836C3" w:rsidP="00DA7367">
            <w:pPr>
              <w:pStyle w:val="11slovantext"/>
              <w:numPr>
                <w:ilvl w:val="0"/>
                <w:numId w:val="0"/>
              </w:numPr>
              <w:rPr>
                <w:lang w:eastAsia="en-US"/>
              </w:rPr>
            </w:pPr>
            <w:r>
              <w:rPr>
                <w:szCs w:val="22"/>
              </w:rPr>
              <w:t>Cena</w:t>
            </w:r>
            <w:r w:rsidR="008D7CEB">
              <w:rPr>
                <w:szCs w:val="22"/>
              </w:rPr>
              <w:t xml:space="preserve"> služeb</w:t>
            </w:r>
          </w:p>
        </w:tc>
      </w:tr>
    </w:tbl>
    <w:p w14:paraId="587AFC1E" w14:textId="4E72056B" w:rsidR="00AE20D4" w:rsidRDefault="00AE20D4" w:rsidP="0055008B">
      <w:pPr>
        <w:pStyle w:val="11slovantext"/>
      </w:pPr>
      <w:r>
        <w:t>Objednatel podpisem této Smlouvy potvrzuje, že se s jejím obsahem řádně seznámil, její ustanovení jsou mu srozumitelná a plně s nimi souhlasí. Smluvní strany tímto v souladu s § 1801 občanského zákoníku, vylučují aplikaci ustanovení § 1799 a § 1800 občanského zákoníku.</w:t>
      </w:r>
    </w:p>
    <w:p w14:paraId="1BC5FCBF" w14:textId="77777777" w:rsidR="0055008B" w:rsidRDefault="0055008B" w:rsidP="0055008B">
      <w:pPr>
        <w:pStyle w:val="11slovantext"/>
      </w:pPr>
      <w:r>
        <w:t>Smlouva byla vyhotovena a smluvními stranami podepsána ve dvou (2) vyhotoveních, z nichž každá ze smluvních stran obdrží po jednom (1) vyhotovení.</w:t>
      </w:r>
    </w:p>
    <w:p w14:paraId="569BD9CC" w14:textId="77777777" w:rsidR="00590882" w:rsidRDefault="00590882" w:rsidP="0078699E">
      <w:pPr>
        <w:pStyle w:val="11slovantext"/>
        <w:numPr>
          <w:ilvl w:val="0"/>
          <w:numId w:val="0"/>
        </w:numPr>
        <w:ind w:left="1004"/>
      </w:pPr>
    </w:p>
    <w:p w14:paraId="33FF4EBC" w14:textId="77777777" w:rsidR="00590882" w:rsidRDefault="00590882" w:rsidP="0078699E">
      <w:pPr>
        <w:pStyle w:val="11slovantext"/>
        <w:numPr>
          <w:ilvl w:val="0"/>
          <w:numId w:val="0"/>
        </w:numPr>
        <w:ind w:left="1004"/>
      </w:pPr>
    </w:p>
    <w:tbl>
      <w:tblPr>
        <w:tblW w:w="9210" w:type="dxa"/>
        <w:tblInd w:w="108" w:type="dxa"/>
        <w:tblLayout w:type="fixed"/>
        <w:tblLook w:val="0000" w:firstRow="0" w:lastRow="0" w:firstColumn="0" w:lastColumn="0" w:noHBand="0" w:noVBand="0"/>
      </w:tblPr>
      <w:tblGrid>
        <w:gridCol w:w="4605"/>
        <w:gridCol w:w="4605"/>
      </w:tblGrid>
      <w:tr w:rsidR="0055008B" w:rsidRPr="0078699E" w14:paraId="54D2BD7A" w14:textId="77777777" w:rsidTr="0078699E">
        <w:tc>
          <w:tcPr>
            <w:tcW w:w="4605" w:type="dxa"/>
          </w:tcPr>
          <w:p w14:paraId="1D3403E9" w14:textId="77777777" w:rsidR="0055008B" w:rsidRPr="0078699E" w:rsidRDefault="0055008B" w:rsidP="00DA7367">
            <w:pPr>
              <w:snapToGrid w:val="0"/>
              <w:spacing w:after="480"/>
              <w:rPr>
                <w:rFonts w:cs="Tahoma"/>
                <w:b/>
              </w:rPr>
            </w:pPr>
            <w:r w:rsidRPr="0078699E">
              <w:rPr>
                <w:rFonts w:cs="Tahoma"/>
                <w:b/>
              </w:rPr>
              <w:t>Objednatel:</w:t>
            </w:r>
          </w:p>
          <w:p w14:paraId="6F86C514" w14:textId="302DB567" w:rsidR="0055008B" w:rsidRPr="0078699E" w:rsidRDefault="0055008B" w:rsidP="00DA7367">
            <w:pPr>
              <w:rPr>
                <w:rFonts w:cs="Tahoma"/>
              </w:rPr>
            </w:pPr>
            <w:r w:rsidRPr="0078699E">
              <w:rPr>
                <w:rFonts w:cs="Tahoma"/>
              </w:rPr>
              <w:t>V</w:t>
            </w:r>
            <w:r w:rsidR="00636DE1">
              <w:rPr>
                <w:rFonts w:cs="Tahoma"/>
              </w:rPr>
              <w:t> </w:t>
            </w:r>
            <w:r w:rsidR="00EF0590">
              <w:rPr>
                <w:rFonts w:cs="Tahoma"/>
              </w:rPr>
              <w:t>Brně</w:t>
            </w:r>
            <w:r w:rsidR="00636DE1">
              <w:rPr>
                <w:rFonts w:cs="Tahoma"/>
              </w:rPr>
              <w:t xml:space="preserve"> </w:t>
            </w:r>
            <w:r w:rsidRPr="0078699E">
              <w:rPr>
                <w:rFonts w:cs="Tahoma"/>
              </w:rPr>
              <w:t xml:space="preserve">dne </w:t>
            </w:r>
            <w:r w:rsidR="00636DE1">
              <w:rPr>
                <w:rFonts w:cs="Tahoma"/>
              </w:rPr>
              <w:t>14. 5. 2021</w:t>
            </w:r>
          </w:p>
          <w:p w14:paraId="20437C64" w14:textId="77777777" w:rsidR="0055008B" w:rsidRPr="0078699E" w:rsidRDefault="0055008B" w:rsidP="00DA7367">
            <w:pPr>
              <w:rPr>
                <w:rFonts w:cs="Tahoma"/>
              </w:rPr>
            </w:pPr>
          </w:p>
          <w:p w14:paraId="5807C000" w14:textId="77777777" w:rsidR="0078699E" w:rsidRPr="0078699E" w:rsidRDefault="0078699E" w:rsidP="00DA7367">
            <w:pPr>
              <w:rPr>
                <w:rFonts w:cs="Tahoma"/>
              </w:rPr>
            </w:pPr>
          </w:p>
        </w:tc>
        <w:tc>
          <w:tcPr>
            <w:tcW w:w="4605" w:type="dxa"/>
          </w:tcPr>
          <w:p w14:paraId="3C5D9844" w14:textId="41AED1FF" w:rsidR="0055008B" w:rsidRPr="0078699E" w:rsidRDefault="00636DE1" w:rsidP="00DA7367">
            <w:pPr>
              <w:snapToGrid w:val="0"/>
              <w:spacing w:after="480"/>
              <w:rPr>
                <w:rFonts w:cs="Tahoma"/>
                <w:b/>
              </w:rPr>
            </w:pPr>
            <w:r>
              <w:rPr>
                <w:rFonts w:cs="Tahoma"/>
                <w:b/>
              </w:rPr>
              <w:t xml:space="preserve">    </w:t>
            </w:r>
            <w:r w:rsidR="00B058D6" w:rsidRPr="0078699E">
              <w:rPr>
                <w:rFonts w:cs="Tahoma"/>
                <w:b/>
              </w:rPr>
              <w:t>Poskytovatel</w:t>
            </w:r>
            <w:r w:rsidR="0055008B" w:rsidRPr="0078699E">
              <w:rPr>
                <w:rFonts w:cs="Tahoma"/>
                <w:b/>
              </w:rPr>
              <w:t>:</w:t>
            </w:r>
          </w:p>
          <w:p w14:paraId="6DA7417E" w14:textId="55CC4EB7" w:rsidR="0055008B" w:rsidRPr="0078699E" w:rsidRDefault="00636DE1" w:rsidP="00DA7367">
            <w:pPr>
              <w:rPr>
                <w:rFonts w:cs="Tahoma"/>
              </w:rPr>
            </w:pPr>
            <w:r>
              <w:rPr>
                <w:rFonts w:cs="Tahoma"/>
              </w:rPr>
              <w:t xml:space="preserve">    </w:t>
            </w:r>
            <w:r w:rsidR="0055008B" w:rsidRPr="0078699E">
              <w:rPr>
                <w:rFonts w:cs="Tahoma"/>
              </w:rPr>
              <w:t xml:space="preserve">V </w:t>
            </w:r>
            <w:r w:rsidR="00EF0590">
              <w:rPr>
                <w:rFonts w:cs="Tahoma"/>
              </w:rPr>
              <w:t>Brně</w:t>
            </w:r>
            <w:r w:rsidR="0055008B" w:rsidRPr="0078699E">
              <w:rPr>
                <w:rFonts w:cs="Tahoma"/>
              </w:rPr>
              <w:t xml:space="preserve"> dne ____________</w:t>
            </w:r>
          </w:p>
          <w:p w14:paraId="448861FB" w14:textId="77777777" w:rsidR="0055008B" w:rsidRPr="0078699E" w:rsidRDefault="0055008B" w:rsidP="00DA7367">
            <w:pPr>
              <w:rPr>
                <w:rFonts w:cs="Tahoma"/>
              </w:rPr>
            </w:pPr>
          </w:p>
          <w:p w14:paraId="3F23A08B" w14:textId="77777777" w:rsidR="0078699E" w:rsidRPr="0078699E" w:rsidRDefault="0078699E" w:rsidP="00DA7367">
            <w:pPr>
              <w:rPr>
                <w:rFonts w:cs="Tahoma"/>
              </w:rPr>
            </w:pPr>
          </w:p>
        </w:tc>
      </w:tr>
      <w:tr w:rsidR="0055008B" w:rsidRPr="0078699E" w14:paraId="576CEF65" w14:textId="77777777" w:rsidTr="0078699E">
        <w:tc>
          <w:tcPr>
            <w:tcW w:w="4605" w:type="dxa"/>
          </w:tcPr>
          <w:p w14:paraId="33BBC803" w14:textId="77777777" w:rsidR="0078699E" w:rsidRPr="00636DE1" w:rsidRDefault="0078699E" w:rsidP="00E03BC1">
            <w:pPr>
              <w:snapToGrid w:val="0"/>
              <w:rPr>
                <w:rFonts w:cs="Tahoma"/>
              </w:rPr>
            </w:pPr>
          </w:p>
          <w:p w14:paraId="45F4FAFF" w14:textId="77777777" w:rsidR="0055008B" w:rsidRPr="00636DE1" w:rsidRDefault="0055008B" w:rsidP="00E03BC1">
            <w:pPr>
              <w:snapToGrid w:val="0"/>
              <w:rPr>
                <w:rFonts w:cs="Tahoma"/>
              </w:rPr>
            </w:pPr>
            <w:r w:rsidRPr="00636DE1">
              <w:rPr>
                <w:rFonts w:cs="Tahoma"/>
              </w:rPr>
              <w:t>___________________________________</w:t>
            </w:r>
          </w:p>
          <w:p w14:paraId="624DF5A8" w14:textId="7E6424F1" w:rsidR="0055008B" w:rsidRPr="00636DE1" w:rsidRDefault="00182963" w:rsidP="00DA7367">
            <w:pPr>
              <w:snapToGrid w:val="0"/>
              <w:jc w:val="center"/>
              <w:rPr>
                <w:rFonts w:cs="Tahoma"/>
                <w:b/>
              </w:rPr>
            </w:pPr>
            <w:r w:rsidRPr="00636DE1">
              <w:rPr>
                <w:rFonts w:cs="Tahoma"/>
                <w:b/>
              </w:rPr>
              <w:t>KORDIS JMK, a.s.</w:t>
            </w:r>
          </w:p>
          <w:p w14:paraId="63D612E2" w14:textId="76046117" w:rsidR="009F19B9" w:rsidRPr="00636DE1" w:rsidRDefault="00636DE1" w:rsidP="00DA7367">
            <w:pPr>
              <w:snapToGrid w:val="0"/>
              <w:jc w:val="center"/>
              <w:rPr>
                <w:rFonts w:cs="Tahoma"/>
              </w:rPr>
            </w:pPr>
            <w:r>
              <w:rPr>
                <w:rFonts w:cs="Tahoma"/>
              </w:rPr>
              <w:t>Ing. Jiří Horský</w:t>
            </w:r>
          </w:p>
          <w:p w14:paraId="269F54AD" w14:textId="22ACAF42" w:rsidR="009F19B9" w:rsidRPr="00636DE1" w:rsidRDefault="00636DE1" w:rsidP="009F4879">
            <w:pPr>
              <w:snapToGrid w:val="0"/>
              <w:jc w:val="center"/>
              <w:rPr>
                <w:rFonts w:cs="Tahoma"/>
              </w:rPr>
            </w:pPr>
            <w:r>
              <w:rPr>
                <w:rFonts w:cs="Tahoma"/>
              </w:rPr>
              <w:t>ředitel společnosti</w:t>
            </w:r>
          </w:p>
        </w:tc>
        <w:tc>
          <w:tcPr>
            <w:tcW w:w="4605" w:type="dxa"/>
          </w:tcPr>
          <w:p w14:paraId="49802BE4" w14:textId="77777777" w:rsidR="0078699E" w:rsidRPr="0078699E" w:rsidRDefault="0078699E" w:rsidP="00DA7367">
            <w:pPr>
              <w:jc w:val="center"/>
              <w:rPr>
                <w:rFonts w:cs="Tahoma"/>
              </w:rPr>
            </w:pPr>
          </w:p>
          <w:p w14:paraId="5520A8C3" w14:textId="77777777" w:rsidR="0055008B" w:rsidRPr="0078699E" w:rsidRDefault="0055008B" w:rsidP="00DA7367">
            <w:pPr>
              <w:jc w:val="center"/>
              <w:rPr>
                <w:rFonts w:cs="Tahoma"/>
              </w:rPr>
            </w:pPr>
            <w:r w:rsidRPr="0078699E">
              <w:rPr>
                <w:rFonts w:cs="Tahoma"/>
              </w:rPr>
              <w:t>___________________________________</w:t>
            </w:r>
          </w:p>
          <w:p w14:paraId="60F71FFF" w14:textId="77777777" w:rsidR="0055008B" w:rsidRPr="0078699E" w:rsidRDefault="0055008B" w:rsidP="00DA7367">
            <w:pPr>
              <w:jc w:val="center"/>
              <w:rPr>
                <w:rFonts w:cs="Tahoma"/>
                <w:b/>
                <w:bCs/>
                <w:iCs/>
              </w:rPr>
            </w:pPr>
            <w:r w:rsidRPr="0078699E">
              <w:rPr>
                <w:rFonts w:cs="Tahoma"/>
                <w:b/>
                <w:bCs/>
                <w:iCs/>
              </w:rPr>
              <w:t>VISITECH a.s.</w:t>
            </w:r>
          </w:p>
          <w:p w14:paraId="03936DB4" w14:textId="77777777" w:rsidR="0055008B" w:rsidRPr="0078699E" w:rsidRDefault="0055008B" w:rsidP="00DA7367">
            <w:pPr>
              <w:jc w:val="center"/>
              <w:rPr>
                <w:rFonts w:cs="Tahoma"/>
              </w:rPr>
            </w:pPr>
            <w:r w:rsidRPr="0078699E">
              <w:rPr>
                <w:rFonts w:cs="Tahoma"/>
              </w:rPr>
              <w:t xml:space="preserve">Pavel Kocour </w:t>
            </w:r>
          </w:p>
          <w:p w14:paraId="49E453BA" w14:textId="77777777" w:rsidR="0055008B" w:rsidRPr="0078699E" w:rsidRDefault="0055008B" w:rsidP="00DA7367">
            <w:pPr>
              <w:jc w:val="center"/>
              <w:rPr>
                <w:rFonts w:cs="Tahoma"/>
                <w:b/>
              </w:rPr>
            </w:pPr>
            <w:r w:rsidRPr="0078699E">
              <w:rPr>
                <w:rFonts w:cs="Tahoma"/>
              </w:rPr>
              <w:t>předseda představenstva</w:t>
            </w:r>
          </w:p>
        </w:tc>
      </w:tr>
    </w:tbl>
    <w:p w14:paraId="15CA0539" w14:textId="77777777" w:rsidR="003836C3" w:rsidRDefault="003836C3">
      <w:pPr>
        <w:sectPr w:rsidR="003836C3" w:rsidSect="00F56A9C">
          <w:pgSz w:w="11906" w:h="16838"/>
          <w:pgMar w:top="1417" w:right="1417" w:bottom="1417" w:left="1417" w:header="708" w:footer="708" w:gutter="0"/>
          <w:cols w:space="708"/>
          <w:docGrid w:linePitch="360"/>
        </w:sectPr>
      </w:pPr>
    </w:p>
    <w:p w14:paraId="02371781" w14:textId="77777777" w:rsidR="004125B8" w:rsidRPr="00613301" w:rsidRDefault="003836C3" w:rsidP="00AB47AB">
      <w:pPr>
        <w:jc w:val="center"/>
        <w:rPr>
          <w:rFonts w:cs="Tahoma"/>
          <w:b/>
          <w:sz w:val="24"/>
          <w:szCs w:val="24"/>
        </w:rPr>
      </w:pPr>
      <w:r w:rsidRPr="00613301">
        <w:rPr>
          <w:rFonts w:cs="Tahoma"/>
          <w:b/>
          <w:sz w:val="24"/>
          <w:szCs w:val="24"/>
        </w:rPr>
        <w:lastRenderedPageBreak/>
        <w:t>Příloha č. 1</w:t>
      </w:r>
    </w:p>
    <w:p w14:paraId="168D6165" w14:textId="77777777" w:rsidR="003836C3" w:rsidRPr="00613301" w:rsidRDefault="003836C3" w:rsidP="00AB47AB">
      <w:pPr>
        <w:jc w:val="center"/>
        <w:rPr>
          <w:rFonts w:cs="Tahoma"/>
          <w:b/>
          <w:sz w:val="24"/>
          <w:szCs w:val="24"/>
        </w:rPr>
      </w:pPr>
      <w:r w:rsidRPr="00613301">
        <w:rPr>
          <w:rFonts w:cs="Tahoma"/>
          <w:b/>
          <w:sz w:val="24"/>
          <w:szCs w:val="24"/>
        </w:rPr>
        <w:t>Specifikace služeb</w:t>
      </w:r>
    </w:p>
    <w:p w14:paraId="48DE15A4" w14:textId="77777777" w:rsidR="003836C3" w:rsidRPr="00613301" w:rsidRDefault="003836C3" w:rsidP="003836C3">
      <w:pPr>
        <w:jc w:val="right"/>
        <w:rPr>
          <w:rFonts w:cs="Tahoma"/>
          <w:b/>
          <w:sz w:val="24"/>
          <w:szCs w:val="24"/>
        </w:rPr>
      </w:pPr>
    </w:p>
    <w:p w14:paraId="56BB71FE" w14:textId="3F4F7013" w:rsidR="00EF0590" w:rsidRDefault="00EF0590" w:rsidP="00530649">
      <w:pPr>
        <w:pStyle w:val="Odstavecseseznamem"/>
        <w:numPr>
          <w:ilvl w:val="0"/>
          <w:numId w:val="4"/>
        </w:numPr>
        <w:rPr>
          <w:rFonts w:cs="Tahoma"/>
          <w:b/>
          <w:bCs/>
          <w:szCs w:val="20"/>
        </w:rPr>
      </w:pPr>
      <w:r>
        <w:rPr>
          <w:rFonts w:cs="Tahoma"/>
          <w:b/>
          <w:bCs/>
          <w:szCs w:val="20"/>
        </w:rPr>
        <w:t>Seznam připojených zařízení a technologií</w:t>
      </w:r>
    </w:p>
    <w:p w14:paraId="658B667C" w14:textId="15BEFEA3" w:rsidR="00EF0590" w:rsidRPr="00EF0590" w:rsidRDefault="00EF0590" w:rsidP="00EF0590">
      <w:pPr>
        <w:pStyle w:val="Odstavecseseznamem"/>
        <w:numPr>
          <w:ilvl w:val="1"/>
          <w:numId w:val="4"/>
        </w:numPr>
        <w:rPr>
          <w:rFonts w:cs="Tahoma"/>
          <w:b/>
          <w:bCs/>
          <w:szCs w:val="20"/>
        </w:rPr>
      </w:pPr>
      <w:r>
        <w:t xml:space="preserve">technologie </w:t>
      </w:r>
      <w:proofErr w:type="spellStart"/>
      <w:r>
        <w:t>Flowmon</w:t>
      </w:r>
      <w:proofErr w:type="spellEnd"/>
    </w:p>
    <w:p w14:paraId="5B3B6E08" w14:textId="396653AA" w:rsidR="00EF0590" w:rsidRPr="00483BF3" w:rsidRDefault="00EF0590" w:rsidP="00EF0590">
      <w:pPr>
        <w:pStyle w:val="Odstavecseseznamem"/>
        <w:numPr>
          <w:ilvl w:val="1"/>
          <w:numId w:val="4"/>
        </w:numPr>
        <w:rPr>
          <w:rFonts w:cs="Tahoma"/>
          <w:b/>
          <w:bCs/>
          <w:szCs w:val="20"/>
        </w:rPr>
      </w:pPr>
      <w:r>
        <w:t xml:space="preserve">firewall </w:t>
      </w:r>
      <w:proofErr w:type="spellStart"/>
      <w:r w:rsidR="00483BF3">
        <w:t>Fortigate</w:t>
      </w:r>
      <w:proofErr w:type="spellEnd"/>
      <w:r w:rsidR="00483BF3">
        <w:t xml:space="preserve"> </w:t>
      </w:r>
    </w:p>
    <w:p w14:paraId="25A46F5C" w14:textId="4D4A0D72" w:rsidR="00483BF3" w:rsidRDefault="00483BF3" w:rsidP="00EF0590">
      <w:pPr>
        <w:pStyle w:val="Odstavecseseznamem"/>
        <w:numPr>
          <w:ilvl w:val="1"/>
          <w:numId w:val="4"/>
        </w:numPr>
        <w:rPr>
          <w:rFonts w:cs="Tahoma"/>
          <w:b/>
          <w:bCs/>
          <w:szCs w:val="20"/>
        </w:rPr>
      </w:pPr>
      <w:r>
        <w:t>antivir</w:t>
      </w:r>
      <w:r w:rsidR="00182963">
        <w:t>us</w:t>
      </w:r>
      <w:r>
        <w:t xml:space="preserve"> ESET EDR</w:t>
      </w:r>
    </w:p>
    <w:p w14:paraId="160F1E04" w14:textId="77777777" w:rsidR="00EF0590" w:rsidRPr="00EF0590" w:rsidRDefault="00EF0590" w:rsidP="00EF0590">
      <w:pPr>
        <w:rPr>
          <w:rFonts w:cs="Tahoma"/>
          <w:b/>
          <w:bCs/>
          <w:szCs w:val="20"/>
        </w:rPr>
      </w:pPr>
    </w:p>
    <w:p w14:paraId="2B65120E" w14:textId="61AFC406" w:rsidR="00EF0590" w:rsidRDefault="0045069F" w:rsidP="00483BF3">
      <w:pPr>
        <w:pStyle w:val="Odstavecseseznamem"/>
        <w:numPr>
          <w:ilvl w:val="0"/>
          <w:numId w:val="4"/>
        </w:numPr>
        <w:rPr>
          <w:rFonts w:cs="Tahoma"/>
          <w:b/>
          <w:bCs/>
          <w:szCs w:val="20"/>
        </w:rPr>
      </w:pPr>
      <w:r w:rsidRPr="00483BF3">
        <w:rPr>
          <w:rFonts w:cs="Tahoma"/>
          <w:b/>
          <w:bCs/>
          <w:szCs w:val="20"/>
        </w:rPr>
        <w:t>Paušální</w:t>
      </w:r>
      <w:r w:rsidR="0018120B" w:rsidRPr="00483BF3">
        <w:rPr>
          <w:rFonts w:cs="Tahoma"/>
          <w:b/>
          <w:bCs/>
          <w:szCs w:val="20"/>
        </w:rPr>
        <w:t xml:space="preserve"> </w:t>
      </w:r>
      <w:r w:rsidR="00E67DAA" w:rsidRPr="00483BF3">
        <w:rPr>
          <w:rFonts w:cs="Tahoma"/>
          <w:b/>
          <w:bCs/>
          <w:szCs w:val="20"/>
        </w:rPr>
        <w:t>služby</w:t>
      </w:r>
      <w:r w:rsidR="00483BF3" w:rsidRPr="00483BF3">
        <w:rPr>
          <w:rFonts w:cs="Tahoma"/>
          <w:b/>
          <w:bCs/>
          <w:szCs w:val="20"/>
        </w:rPr>
        <w:t xml:space="preserve"> </w:t>
      </w:r>
      <w:r w:rsidR="00483BF3">
        <w:rPr>
          <w:rFonts w:cs="Tahoma"/>
          <w:b/>
          <w:bCs/>
          <w:szCs w:val="20"/>
        </w:rPr>
        <w:t>-</w:t>
      </w:r>
      <w:r w:rsidR="00483BF3" w:rsidRPr="00483BF3">
        <w:t xml:space="preserve"> </w:t>
      </w:r>
      <w:r w:rsidR="00483BF3">
        <w:rPr>
          <w:rFonts w:cs="Tahoma"/>
          <w:b/>
          <w:bCs/>
          <w:szCs w:val="20"/>
        </w:rPr>
        <w:t>p</w:t>
      </w:r>
      <w:r w:rsidR="00483BF3" w:rsidRPr="00483BF3">
        <w:rPr>
          <w:rFonts w:cs="Tahoma"/>
          <w:b/>
          <w:bCs/>
          <w:szCs w:val="20"/>
        </w:rPr>
        <w:t>opis vykonávaných činností</w:t>
      </w:r>
    </w:p>
    <w:p w14:paraId="2F0009D3" w14:textId="30665A0A" w:rsidR="00483BF3" w:rsidRDefault="00483BF3" w:rsidP="00483BF3">
      <w:pPr>
        <w:rPr>
          <w:rFonts w:cs="Tahoma"/>
          <w:b/>
          <w:bCs/>
          <w:szCs w:val="20"/>
        </w:rPr>
      </w:pPr>
    </w:p>
    <w:tbl>
      <w:tblPr>
        <w:tblpPr w:leftFromText="141" w:rightFromText="141" w:vertAnchor="text" w:horzAnchor="margin" w:tblpY="166"/>
        <w:tblW w:w="9426" w:type="dxa"/>
        <w:tblLayout w:type="fixed"/>
        <w:tblCellMar>
          <w:left w:w="70" w:type="dxa"/>
          <w:right w:w="70" w:type="dxa"/>
        </w:tblCellMar>
        <w:tblLook w:val="04A0" w:firstRow="1" w:lastRow="0" w:firstColumn="1" w:lastColumn="0" w:noHBand="0" w:noVBand="1"/>
      </w:tblPr>
      <w:tblGrid>
        <w:gridCol w:w="2905"/>
        <w:gridCol w:w="6521"/>
      </w:tblGrid>
      <w:tr w:rsidR="00483BF3" w:rsidRPr="00DF7BD9" w14:paraId="5C144CCD" w14:textId="77777777" w:rsidTr="00483BF3">
        <w:trPr>
          <w:trHeight w:val="300"/>
        </w:trPr>
        <w:tc>
          <w:tcPr>
            <w:tcW w:w="2905" w:type="dxa"/>
            <w:tcBorders>
              <w:top w:val="single" w:sz="4" w:space="0" w:color="auto"/>
              <w:left w:val="single" w:sz="4" w:space="0" w:color="auto"/>
              <w:bottom w:val="single" w:sz="4" w:space="0" w:color="auto"/>
              <w:right w:val="single" w:sz="4" w:space="0" w:color="auto"/>
            </w:tcBorders>
            <w:shd w:val="clear" w:color="auto" w:fill="D9D9D9"/>
            <w:noWrap/>
          </w:tcPr>
          <w:p w14:paraId="11939D5E" w14:textId="77777777" w:rsidR="00483BF3" w:rsidRPr="00DF7BD9" w:rsidRDefault="00483BF3" w:rsidP="00483BF3">
            <w:pPr>
              <w:rPr>
                <w:b/>
              </w:rPr>
            </w:pPr>
            <w:r w:rsidRPr="00DF7BD9">
              <w:rPr>
                <w:b/>
              </w:rPr>
              <w:t> Služba Dohledu 5x8 hodin</w:t>
            </w:r>
          </w:p>
        </w:tc>
        <w:tc>
          <w:tcPr>
            <w:tcW w:w="6521" w:type="dxa"/>
            <w:tcBorders>
              <w:top w:val="single" w:sz="4" w:space="0" w:color="auto"/>
              <w:left w:val="nil"/>
              <w:bottom w:val="single" w:sz="4" w:space="0" w:color="auto"/>
              <w:right w:val="single" w:sz="4" w:space="0" w:color="auto"/>
            </w:tcBorders>
            <w:shd w:val="clear" w:color="auto" w:fill="D9D9D9"/>
            <w:noWrap/>
            <w:hideMark/>
          </w:tcPr>
          <w:p w14:paraId="6708EA60" w14:textId="77777777" w:rsidR="00483BF3" w:rsidRPr="00DF7BD9" w:rsidRDefault="00483BF3" w:rsidP="00483BF3">
            <w:pPr>
              <w:rPr>
                <w:b/>
              </w:rPr>
            </w:pPr>
            <w:r w:rsidRPr="00DF7BD9">
              <w:rPr>
                <w:b/>
              </w:rPr>
              <w:t>Popis činností</w:t>
            </w:r>
          </w:p>
        </w:tc>
      </w:tr>
      <w:tr w:rsidR="00483BF3" w:rsidRPr="00DF7BD9" w14:paraId="2471534C" w14:textId="77777777" w:rsidTr="00483BF3">
        <w:trPr>
          <w:trHeight w:val="600"/>
        </w:trPr>
        <w:tc>
          <w:tcPr>
            <w:tcW w:w="2905" w:type="dxa"/>
            <w:tcBorders>
              <w:top w:val="nil"/>
              <w:left w:val="single" w:sz="4" w:space="0" w:color="auto"/>
              <w:bottom w:val="single" w:sz="4" w:space="0" w:color="auto"/>
              <w:right w:val="single" w:sz="4" w:space="0" w:color="auto"/>
            </w:tcBorders>
            <w:shd w:val="clear" w:color="auto" w:fill="auto"/>
            <w:noWrap/>
          </w:tcPr>
          <w:p w14:paraId="11D32BD8" w14:textId="77777777" w:rsidR="00483BF3" w:rsidRPr="00DF7BD9" w:rsidRDefault="00483BF3" w:rsidP="00483BF3">
            <w:r w:rsidRPr="00DF7BD9">
              <w:t xml:space="preserve">Layer-1 - </w:t>
            </w:r>
            <w:proofErr w:type="spellStart"/>
            <w:r w:rsidRPr="00DF7BD9">
              <w:t>Operation</w:t>
            </w:r>
            <w:proofErr w:type="spellEnd"/>
          </w:p>
        </w:tc>
        <w:tc>
          <w:tcPr>
            <w:tcW w:w="6521" w:type="dxa"/>
            <w:tcBorders>
              <w:top w:val="nil"/>
              <w:left w:val="nil"/>
              <w:bottom w:val="single" w:sz="4" w:space="0" w:color="auto"/>
              <w:right w:val="single" w:sz="4" w:space="0" w:color="auto"/>
            </w:tcBorders>
            <w:shd w:val="clear" w:color="auto" w:fill="auto"/>
            <w:hideMark/>
          </w:tcPr>
          <w:p w14:paraId="6D45A900" w14:textId="77777777" w:rsidR="00483BF3" w:rsidRPr="00DF7BD9" w:rsidRDefault="00483BF3" w:rsidP="00483BF3">
            <w:r w:rsidRPr="00DF7BD9">
              <w:t xml:space="preserve">Přijetí hovoru na ServiceDesk provozovatele služby </w:t>
            </w:r>
          </w:p>
        </w:tc>
      </w:tr>
      <w:tr w:rsidR="00483BF3" w:rsidRPr="00DF7BD9" w14:paraId="6911F527" w14:textId="77777777" w:rsidTr="00483BF3">
        <w:trPr>
          <w:trHeight w:val="600"/>
        </w:trPr>
        <w:tc>
          <w:tcPr>
            <w:tcW w:w="2905" w:type="dxa"/>
            <w:tcBorders>
              <w:top w:val="nil"/>
              <w:left w:val="single" w:sz="4" w:space="0" w:color="auto"/>
              <w:bottom w:val="single" w:sz="4" w:space="0" w:color="auto"/>
              <w:right w:val="single" w:sz="4" w:space="0" w:color="auto"/>
            </w:tcBorders>
            <w:shd w:val="clear" w:color="auto" w:fill="auto"/>
            <w:noWrap/>
            <w:hideMark/>
          </w:tcPr>
          <w:p w14:paraId="2A954C79" w14:textId="77777777" w:rsidR="00483BF3" w:rsidRPr="00DF7BD9" w:rsidRDefault="00483BF3" w:rsidP="00483BF3">
            <w:r w:rsidRPr="00DF7BD9">
              <w:t xml:space="preserve">Layer-1 - </w:t>
            </w:r>
            <w:proofErr w:type="spellStart"/>
            <w:r w:rsidRPr="00DF7BD9">
              <w:t>Operation</w:t>
            </w:r>
            <w:proofErr w:type="spellEnd"/>
          </w:p>
        </w:tc>
        <w:tc>
          <w:tcPr>
            <w:tcW w:w="6521" w:type="dxa"/>
            <w:tcBorders>
              <w:top w:val="nil"/>
              <w:left w:val="nil"/>
              <w:bottom w:val="single" w:sz="4" w:space="0" w:color="auto"/>
              <w:right w:val="single" w:sz="4" w:space="0" w:color="auto"/>
            </w:tcBorders>
            <w:shd w:val="clear" w:color="auto" w:fill="auto"/>
          </w:tcPr>
          <w:p w14:paraId="3CA38AD6" w14:textId="77777777" w:rsidR="00483BF3" w:rsidRPr="00DF7BD9" w:rsidRDefault="00483BF3" w:rsidP="00483BF3">
            <w:r w:rsidRPr="00DF7BD9">
              <w:t>Průběžné sledování provozu smluvního zařízení klienta. V případě anomálie posouzení její relevance a závažnosti.</w:t>
            </w:r>
          </w:p>
        </w:tc>
      </w:tr>
      <w:tr w:rsidR="00483BF3" w:rsidRPr="00DF7BD9" w14:paraId="78C4C57B" w14:textId="77777777" w:rsidTr="00483BF3">
        <w:trPr>
          <w:trHeight w:val="900"/>
        </w:trPr>
        <w:tc>
          <w:tcPr>
            <w:tcW w:w="2905" w:type="dxa"/>
            <w:tcBorders>
              <w:top w:val="nil"/>
              <w:left w:val="single" w:sz="4" w:space="0" w:color="auto"/>
              <w:bottom w:val="single" w:sz="4" w:space="0" w:color="auto"/>
              <w:right w:val="single" w:sz="4" w:space="0" w:color="auto"/>
            </w:tcBorders>
            <w:shd w:val="clear" w:color="auto" w:fill="auto"/>
            <w:noWrap/>
          </w:tcPr>
          <w:p w14:paraId="70F6C8F5" w14:textId="77777777" w:rsidR="00483BF3" w:rsidRPr="00DF7BD9" w:rsidRDefault="00483BF3" w:rsidP="00483BF3">
            <w:r w:rsidRPr="00DF7BD9">
              <w:t xml:space="preserve">Layer-2 - </w:t>
            </w:r>
            <w:proofErr w:type="spellStart"/>
            <w:r w:rsidRPr="00DF7BD9">
              <w:t>Analytics</w:t>
            </w:r>
            <w:proofErr w:type="spellEnd"/>
          </w:p>
        </w:tc>
        <w:tc>
          <w:tcPr>
            <w:tcW w:w="6521" w:type="dxa"/>
            <w:tcBorders>
              <w:top w:val="nil"/>
              <w:left w:val="nil"/>
              <w:bottom w:val="single" w:sz="4" w:space="0" w:color="auto"/>
              <w:right w:val="single" w:sz="4" w:space="0" w:color="auto"/>
            </w:tcBorders>
            <w:shd w:val="clear" w:color="auto" w:fill="auto"/>
          </w:tcPr>
          <w:p w14:paraId="46885F81" w14:textId="77777777" w:rsidR="00483BF3" w:rsidRPr="00DF7BD9" w:rsidRDefault="00483BF3" w:rsidP="00483BF3">
            <w:r w:rsidRPr="00DF7BD9">
              <w:t>2x denně odborné posouzení bezpečnostní situace a provozního stavu</w:t>
            </w:r>
          </w:p>
        </w:tc>
      </w:tr>
      <w:tr w:rsidR="00483BF3" w:rsidRPr="00DF7BD9" w14:paraId="4A5A485A" w14:textId="77777777" w:rsidTr="00483BF3">
        <w:trPr>
          <w:trHeight w:val="900"/>
        </w:trPr>
        <w:tc>
          <w:tcPr>
            <w:tcW w:w="2905" w:type="dxa"/>
            <w:tcBorders>
              <w:top w:val="nil"/>
              <w:left w:val="single" w:sz="4" w:space="0" w:color="auto"/>
              <w:bottom w:val="single" w:sz="4" w:space="0" w:color="auto"/>
              <w:right w:val="single" w:sz="4" w:space="0" w:color="auto"/>
            </w:tcBorders>
            <w:shd w:val="clear" w:color="auto" w:fill="auto"/>
            <w:noWrap/>
            <w:hideMark/>
          </w:tcPr>
          <w:p w14:paraId="2FD8F5EC" w14:textId="77777777" w:rsidR="00483BF3" w:rsidRPr="00DF7BD9" w:rsidRDefault="00483BF3" w:rsidP="00483BF3">
            <w:r w:rsidRPr="00DF7BD9">
              <w:t xml:space="preserve">Layer-2 - </w:t>
            </w:r>
            <w:proofErr w:type="spellStart"/>
            <w:r w:rsidRPr="00DF7BD9">
              <w:t>Analytics</w:t>
            </w:r>
            <w:proofErr w:type="spellEnd"/>
          </w:p>
        </w:tc>
        <w:tc>
          <w:tcPr>
            <w:tcW w:w="6521" w:type="dxa"/>
            <w:tcBorders>
              <w:top w:val="nil"/>
              <w:left w:val="nil"/>
              <w:bottom w:val="single" w:sz="4" w:space="0" w:color="auto"/>
              <w:right w:val="single" w:sz="4" w:space="0" w:color="auto"/>
            </w:tcBorders>
            <w:shd w:val="clear" w:color="auto" w:fill="auto"/>
          </w:tcPr>
          <w:p w14:paraId="315F2A7D" w14:textId="77777777" w:rsidR="00483BF3" w:rsidRPr="00DF7BD9" w:rsidRDefault="00483BF3" w:rsidP="00483BF3">
            <w:proofErr w:type="spellStart"/>
            <w:r w:rsidRPr="00DF7BD9">
              <w:rPr>
                <w:i/>
              </w:rPr>
              <w:t>Detection</w:t>
            </w:r>
            <w:proofErr w:type="spellEnd"/>
            <w:r w:rsidRPr="00DF7BD9">
              <w:rPr>
                <w:i/>
              </w:rPr>
              <w:t xml:space="preserve"> </w:t>
            </w:r>
            <w:r w:rsidRPr="00DF7BD9">
              <w:t>- Posouzení a případná eskalace problému klienta na analytického specialistu.</w:t>
            </w:r>
          </w:p>
          <w:p w14:paraId="2AEDC964" w14:textId="77777777" w:rsidR="00483BF3" w:rsidRPr="00DF7BD9" w:rsidRDefault="00483BF3" w:rsidP="00483BF3">
            <w:r w:rsidRPr="00DF7BD9">
              <w:rPr>
                <w:i/>
              </w:rPr>
              <w:t xml:space="preserve">Event &amp; Incident management </w:t>
            </w:r>
            <w:r w:rsidRPr="00DF7BD9">
              <w:t>- Detekce a vyhodnocení závažnosti identifikovaných anomálií v prostředí klienta.</w:t>
            </w:r>
          </w:p>
          <w:p w14:paraId="7F53BBD8" w14:textId="77777777" w:rsidR="00483BF3" w:rsidRPr="00DF7BD9" w:rsidRDefault="00483BF3" w:rsidP="00483BF3">
            <w:proofErr w:type="spellStart"/>
            <w:r w:rsidRPr="00DF7BD9">
              <w:rPr>
                <w:i/>
              </w:rPr>
              <w:t>Emergency</w:t>
            </w:r>
            <w:proofErr w:type="spellEnd"/>
            <w:r w:rsidRPr="00DF7BD9">
              <w:t xml:space="preserve"> - Posouzení a případná eskalace nestandardní situace v provozu klienta na službu včasné výstrahy a reakce na incident.</w:t>
            </w:r>
          </w:p>
        </w:tc>
      </w:tr>
      <w:tr w:rsidR="00483BF3" w:rsidRPr="00DF7BD9" w14:paraId="155B1EB1" w14:textId="77777777" w:rsidTr="00483BF3">
        <w:trPr>
          <w:trHeight w:val="600"/>
        </w:trPr>
        <w:tc>
          <w:tcPr>
            <w:tcW w:w="2905" w:type="dxa"/>
            <w:tcBorders>
              <w:top w:val="single" w:sz="4" w:space="0" w:color="auto"/>
              <w:left w:val="single" w:sz="4" w:space="0" w:color="auto"/>
              <w:bottom w:val="single" w:sz="4" w:space="0" w:color="auto"/>
              <w:right w:val="single" w:sz="4" w:space="0" w:color="auto"/>
            </w:tcBorders>
            <w:shd w:val="clear" w:color="auto" w:fill="auto"/>
            <w:noWrap/>
          </w:tcPr>
          <w:p w14:paraId="04967A58" w14:textId="77777777" w:rsidR="00483BF3" w:rsidRPr="00DF7BD9" w:rsidRDefault="00483BF3" w:rsidP="00483BF3">
            <w:r w:rsidRPr="00DF7BD9">
              <w:t>Layer-3 - Služba včasné výstrahy a reakce na nestandardní situaci v prostředí klienta - Incident Response (CERT)</w:t>
            </w:r>
          </w:p>
        </w:tc>
        <w:tc>
          <w:tcPr>
            <w:tcW w:w="6521" w:type="dxa"/>
            <w:tcBorders>
              <w:top w:val="single" w:sz="4" w:space="0" w:color="auto"/>
              <w:left w:val="nil"/>
              <w:bottom w:val="single" w:sz="4" w:space="0" w:color="auto"/>
              <w:right w:val="single" w:sz="4" w:space="0" w:color="auto"/>
            </w:tcBorders>
            <w:shd w:val="clear" w:color="auto" w:fill="auto"/>
          </w:tcPr>
          <w:p w14:paraId="1BE026B0" w14:textId="77777777" w:rsidR="00483BF3" w:rsidRPr="00DF7BD9" w:rsidRDefault="00483BF3" w:rsidP="00483BF3">
            <w:r w:rsidRPr="00DF7BD9">
              <w:rPr>
                <w:i/>
              </w:rPr>
              <w:t>TRIAGE</w:t>
            </w:r>
            <w:r w:rsidRPr="00DF7BD9">
              <w:t xml:space="preserve"> – podpora jednotného kontaktní místa pro sběr, třídění, seřazování, procházejících informací o anomáliích. Zajišťuje konsolidaci informací přicházejících s rozdílných zdrojů nebo v rozdílných formátech datových struktur.  </w:t>
            </w:r>
          </w:p>
          <w:p w14:paraId="0138E191" w14:textId="77777777" w:rsidR="00483BF3" w:rsidRPr="00DF7BD9" w:rsidRDefault="00483BF3" w:rsidP="00483BF3">
            <w:r w:rsidRPr="00DF7BD9">
              <w:rPr>
                <w:i/>
              </w:rPr>
              <w:t>HANDLING</w:t>
            </w:r>
            <w:r w:rsidRPr="00DF7BD9">
              <w:t xml:space="preserve"> - podpora a vedení podezřelých anomálií nebo potvrzených incidentů, hrozeb a útoků.</w:t>
            </w:r>
          </w:p>
          <w:p w14:paraId="7E3230EB" w14:textId="77777777" w:rsidR="00483BF3" w:rsidRPr="00DF7BD9" w:rsidRDefault="00483BF3" w:rsidP="00483BF3">
            <w:r w:rsidRPr="00DF7BD9">
              <w:rPr>
                <w:i/>
              </w:rPr>
              <w:t>ANNOUNCEMENT</w:t>
            </w:r>
            <w:r w:rsidRPr="00DF7BD9">
              <w:t xml:space="preserve"> - přizpůsobení informací z různých formátů do podoby užitečné klientovi, informování o probíhajících hrozbách a nezbytných krocích, které klient může přijmout k ochraně před těmito hrozbami.</w:t>
            </w:r>
          </w:p>
          <w:p w14:paraId="668B9EE2" w14:textId="77777777" w:rsidR="00483BF3" w:rsidRPr="00DF7BD9" w:rsidRDefault="00483BF3" w:rsidP="00483BF3">
            <w:r w:rsidRPr="00DF7BD9">
              <w:rPr>
                <w:i/>
              </w:rPr>
              <w:t>FEEDBACK</w:t>
            </w:r>
            <w:r w:rsidRPr="00DF7BD9">
              <w:t xml:space="preserve"> - poskytování zpětné vazby na bezpečnostní otázky, které se přímo netýkají konkrétních událostí klienta, nicméně mohou přispět ke zlepšování služby a interních procesů.</w:t>
            </w:r>
          </w:p>
        </w:tc>
      </w:tr>
    </w:tbl>
    <w:p w14:paraId="6198FF8E" w14:textId="068488BD" w:rsidR="00483BF3" w:rsidRDefault="00483BF3" w:rsidP="00483BF3">
      <w:pPr>
        <w:rPr>
          <w:rFonts w:cs="Tahoma"/>
          <w:b/>
          <w:bCs/>
          <w:szCs w:val="20"/>
        </w:rPr>
      </w:pPr>
    </w:p>
    <w:tbl>
      <w:tblPr>
        <w:tblpPr w:leftFromText="141" w:rightFromText="141" w:vertAnchor="text" w:horzAnchor="margin" w:tblpY="91"/>
        <w:tblW w:w="9426" w:type="dxa"/>
        <w:tblLayout w:type="fixed"/>
        <w:tblCellMar>
          <w:left w:w="70" w:type="dxa"/>
          <w:right w:w="70" w:type="dxa"/>
        </w:tblCellMar>
        <w:tblLook w:val="04A0" w:firstRow="1" w:lastRow="0" w:firstColumn="1" w:lastColumn="0" w:noHBand="0" w:noVBand="1"/>
      </w:tblPr>
      <w:tblGrid>
        <w:gridCol w:w="2905"/>
        <w:gridCol w:w="6521"/>
      </w:tblGrid>
      <w:tr w:rsidR="00483BF3" w:rsidRPr="00DF7BD9" w14:paraId="0ED06C16" w14:textId="77777777" w:rsidTr="00483BF3">
        <w:trPr>
          <w:trHeight w:val="292"/>
        </w:trPr>
        <w:tc>
          <w:tcPr>
            <w:tcW w:w="2905" w:type="dxa"/>
            <w:tcBorders>
              <w:top w:val="single" w:sz="4" w:space="0" w:color="auto"/>
              <w:left w:val="single" w:sz="4" w:space="0" w:color="auto"/>
              <w:bottom w:val="single" w:sz="4" w:space="0" w:color="auto"/>
              <w:right w:val="single" w:sz="4" w:space="0" w:color="auto"/>
            </w:tcBorders>
            <w:shd w:val="clear" w:color="auto" w:fill="D9D9D9"/>
            <w:noWrap/>
            <w:hideMark/>
          </w:tcPr>
          <w:p w14:paraId="176C4ED1" w14:textId="77777777" w:rsidR="00483BF3" w:rsidRPr="00DF7BD9" w:rsidRDefault="00483BF3" w:rsidP="00483BF3">
            <w:pPr>
              <w:rPr>
                <w:b/>
              </w:rPr>
            </w:pPr>
            <w:r w:rsidRPr="00DF7BD9">
              <w:rPr>
                <w:b/>
              </w:rPr>
              <w:t xml:space="preserve">Služba supportu </w:t>
            </w:r>
          </w:p>
        </w:tc>
        <w:tc>
          <w:tcPr>
            <w:tcW w:w="6521" w:type="dxa"/>
            <w:tcBorders>
              <w:top w:val="single" w:sz="4" w:space="0" w:color="auto"/>
              <w:left w:val="nil"/>
              <w:bottom w:val="single" w:sz="4" w:space="0" w:color="auto"/>
              <w:right w:val="single" w:sz="4" w:space="0" w:color="auto"/>
            </w:tcBorders>
            <w:shd w:val="clear" w:color="auto" w:fill="D9D9D9"/>
            <w:hideMark/>
          </w:tcPr>
          <w:p w14:paraId="31185DBA" w14:textId="77777777" w:rsidR="00483BF3" w:rsidRPr="00DF7BD9" w:rsidRDefault="00483BF3" w:rsidP="00483BF3">
            <w:pPr>
              <w:rPr>
                <w:b/>
              </w:rPr>
            </w:pPr>
            <w:r w:rsidRPr="00DF7BD9">
              <w:rPr>
                <w:b/>
              </w:rPr>
              <w:t>Popis činností</w:t>
            </w:r>
          </w:p>
        </w:tc>
      </w:tr>
      <w:tr w:rsidR="00483BF3" w:rsidRPr="00DF7BD9" w14:paraId="17D7734E" w14:textId="77777777" w:rsidTr="00483BF3">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6CCF2E5A" w14:textId="77777777" w:rsidR="00483BF3" w:rsidRPr="00DF7BD9" w:rsidRDefault="00483BF3" w:rsidP="00483BF3">
            <w:r w:rsidRPr="00DF7BD9">
              <w:t>Vizuální Dashboardy</w:t>
            </w:r>
          </w:p>
        </w:tc>
        <w:tc>
          <w:tcPr>
            <w:tcW w:w="6521" w:type="dxa"/>
            <w:tcBorders>
              <w:top w:val="nil"/>
              <w:left w:val="nil"/>
              <w:bottom w:val="single" w:sz="4" w:space="0" w:color="auto"/>
              <w:right w:val="single" w:sz="4" w:space="0" w:color="auto"/>
            </w:tcBorders>
            <w:shd w:val="clear" w:color="auto" w:fill="auto"/>
            <w:vAlign w:val="bottom"/>
            <w:hideMark/>
          </w:tcPr>
          <w:p w14:paraId="633232E5" w14:textId="77777777" w:rsidR="00483BF3" w:rsidRPr="00DF7BD9" w:rsidRDefault="00483BF3" w:rsidP="00483BF3">
            <w:r w:rsidRPr="00DF7BD9">
              <w:t>Real-</w:t>
            </w:r>
            <w:proofErr w:type="spellStart"/>
            <w:r w:rsidRPr="00DF7BD9">
              <w:t>time</w:t>
            </w:r>
            <w:proofErr w:type="spellEnd"/>
            <w:r w:rsidRPr="00DF7BD9">
              <w:t xml:space="preserve"> analýza situace v napojených zařízeních podle skupin, kategorií zařízení a podle kontextu získaných záznamů nebo událostí.</w:t>
            </w:r>
          </w:p>
        </w:tc>
      </w:tr>
      <w:tr w:rsidR="00483BF3" w:rsidRPr="00DF7BD9" w14:paraId="31D6B6AD" w14:textId="77777777" w:rsidTr="00483BF3">
        <w:trPr>
          <w:trHeight w:val="600"/>
        </w:trPr>
        <w:tc>
          <w:tcPr>
            <w:tcW w:w="2905" w:type="dxa"/>
            <w:tcBorders>
              <w:top w:val="nil"/>
              <w:left w:val="single" w:sz="4" w:space="0" w:color="auto"/>
              <w:bottom w:val="single" w:sz="4" w:space="0" w:color="auto"/>
              <w:right w:val="single" w:sz="4" w:space="0" w:color="auto"/>
            </w:tcBorders>
            <w:shd w:val="clear" w:color="auto" w:fill="auto"/>
            <w:noWrap/>
            <w:vAlign w:val="bottom"/>
          </w:tcPr>
          <w:p w14:paraId="3F6F3155" w14:textId="77777777" w:rsidR="00483BF3" w:rsidRPr="00DF7BD9" w:rsidRDefault="00483BF3" w:rsidP="00483BF3">
            <w:r w:rsidRPr="00DF7BD9">
              <w:t> Analytické reporty</w:t>
            </w:r>
          </w:p>
        </w:tc>
        <w:tc>
          <w:tcPr>
            <w:tcW w:w="6521" w:type="dxa"/>
            <w:tcBorders>
              <w:top w:val="nil"/>
              <w:left w:val="nil"/>
              <w:bottom w:val="single" w:sz="4" w:space="0" w:color="auto"/>
              <w:right w:val="single" w:sz="4" w:space="0" w:color="auto"/>
            </w:tcBorders>
            <w:shd w:val="clear" w:color="auto" w:fill="auto"/>
            <w:vAlign w:val="bottom"/>
          </w:tcPr>
          <w:p w14:paraId="27C453FC" w14:textId="77777777" w:rsidR="00483BF3" w:rsidRPr="00DF7BD9" w:rsidRDefault="00483BF3" w:rsidP="00483BF3">
            <w:r w:rsidRPr="00DF7BD9">
              <w:t>Zpracování analytických scénářů na aktuální kybernetické hrozby</w:t>
            </w:r>
          </w:p>
        </w:tc>
      </w:tr>
      <w:tr w:rsidR="00483BF3" w:rsidRPr="00DF7BD9" w14:paraId="3ED8146E" w14:textId="77777777" w:rsidTr="00483BF3">
        <w:trPr>
          <w:trHeight w:val="600"/>
        </w:trPr>
        <w:tc>
          <w:tcPr>
            <w:tcW w:w="2905" w:type="dxa"/>
            <w:tcBorders>
              <w:top w:val="nil"/>
              <w:left w:val="single" w:sz="4" w:space="0" w:color="auto"/>
              <w:bottom w:val="single" w:sz="4" w:space="0" w:color="auto"/>
              <w:right w:val="single" w:sz="4" w:space="0" w:color="auto"/>
            </w:tcBorders>
            <w:shd w:val="clear" w:color="auto" w:fill="auto"/>
            <w:noWrap/>
            <w:vAlign w:val="bottom"/>
          </w:tcPr>
          <w:p w14:paraId="152AD34E" w14:textId="77777777" w:rsidR="00483BF3" w:rsidRPr="00DF7BD9" w:rsidRDefault="00483BF3" w:rsidP="00483BF3">
            <w:r w:rsidRPr="00DF7BD9">
              <w:t>Profylaxe</w:t>
            </w:r>
          </w:p>
        </w:tc>
        <w:tc>
          <w:tcPr>
            <w:tcW w:w="6521" w:type="dxa"/>
            <w:tcBorders>
              <w:top w:val="nil"/>
              <w:left w:val="nil"/>
              <w:bottom w:val="single" w:sz="4" w:space="0" w:color="auto"/>
              <w:right w:val="single" w:sz="4" w:space="0" w:color="auto"/>
            </w:tcBorders>
            <w:shd w:val="clear" w:color="auto" w:fill="auto"/>
            <w:vAlign w:val="bottom"/>
          </w:tcPr>
          <w:p w14:paraId="26F9239D" w14:textId="77777777" w:rsidR="00483BF3" w:rsidRPr="00DF7BD9" w:rsidRDefault="00483BF3" w:rsidP="00483BF3">
            <w:r w:rsidRPr="00DF7BD9">
              <w:t>Periodická kontrola souladu nastavení sledovaných komponent klienta. Průběžné sledování provozu smluvního zařízení klienta. V případě anomálie posouzení její relevance a závažnosti.</w:t>
            </w:r>
          </w:p>
        </w:tc>
      </w:tr>
      <w:tr w:rsidR="00483BF3" w:rsidRPr="00DF7BD9" w14:paraId="78F649A6" w14:textId="77777777" w:rsidTr="00483BF3">
        <w:trPr>
          <w:trHeight w:val="600"/>
        </w:trPr>
        <w:tc>
          <w:tcPr>
            <w:tcW w:w="29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48400" w14:textId="77777777" w:rsidR="00483BF3" w:rsidRPr="00DF7BD9" w:rsidRDefault="00483BF3" w:rsidP="00483BF3">
            <w:proofErr w:type="spellStart"/>
            <w:r w:rsidRPr="00DF7BD9">
              <w:t>Configuration</w:t>
            </w:r>
            <w:proofErr w:type="spellEnd"/>
            <w:r w:rsidRPr="00DF7BD9">
              <w:t xml:space="preserve"> &amp; </w:t>
            </w:r>
            <w:proofErr w:type="spellStart"/>
            <w:r w:rsidRPr="00DF7BD9">
              <w:t>Change</w:t>
            </w:r>
            <w:proofErr w:type="spellEnd"/>
            <w:r w:rsidRPr="00DF7BD9">
              <w:t xml:space="preserve"> management</w:t>
            </w:r>
          </w:p>
        </w:tc>
        <w:tc>
          <w:tcPr>
            <w:tcW w:w="6521" w:type="dxa"/>
            <w:tcBorders>
              <w:top w:val="single" w:sz="4" w:space="0" w:color="auto"/>
              <w:left w:val="nil"/>
              <w:bottom w:val="single" w:sz="4" w:space="0" w:color="auto"/>
              <w:right w:val="single" w:sz="4" w:space="0" w:color="auto"/>
            </w:tcBorders>
            <w:shd w:val="clear" w:color="auto" w:fill="auto"/>
            <w:vAlign w:val="bottom"/>
          </w:tcPr>
          <w:p w14:paraId="1698A4C8" w14:textId="77777777" w:rsidR="00483BF3" w:rsidRPr="00DF7BD9" w:rsidRDefault="00483BF3" w:rsidP="00483BF3">
            <w:r w:rsidRPr="00DF7BD9">
              <w:t xml:space="preserve">Zapracování změn podle požadavků klienta nebo podle požadavků či </w:t>
            </w:r>
            <w:proofErr w:type="spellStart"/>
            <w:r w:rsidRPr="00DF7BD9">
              <w:t>best-practice</w:t>
            </w:r>
            <w:proofErr w:type="spellEnd"/>
            <w:r w:rsidRPr="00DF7BD9">
              <w:t>.</w:t>
            </w:r>
          </w:p>
        </w:tc>
      </w:tr>
    </w:tbl>
    <w:p w14:paraId="7CDBE115" w14:textId="4C5AE6EF" w:rsidR="00EF0590" w:rsidRPr="00483BF3" w:rsidRDefault="00483BF3" w:rsidP="00483BF3">
      <w:pPr>
        <w:pStyle w:val="Odstavecseseznamem"/>
        <w:numPr>
          <w:ilvl w:val="0"/>
          <w:numId w:val="4"/>
        </w:numPr>
        <w:rPr>
          <w:rFonts w:cs="Tahoma"/>
          <w:b/>
          <w:bCs/>
          <w:szCs w:val="20"/>
        </w:rPr>
      </w:pPr>
      <w:r>
        <w:rPr>
          <w:rFonts w:cs="Tahoma"/>
          <w:b/>
          <w:bCs/>
          <w:szCs w:val="20"/>
        </w:rPr>
        <w:lastRenderedPageBreak/>
        <w:t xml:space="preserve">Vytvoření bezpečnostní analýzy -  </w:t>
      </w:r>
      <w:r w:rsidRPr="00483BF3">
        <w:rPr>
          <w:rFonts w:cs="Tahoma"/>
          <w:bCs/>
          <w:szCs w:val="20"/>
        </w:rPr>
        <w:t>ana</w:t>
      </w:r>
      <w:r>
        <w:rPr>
          <w:rFonts w:cs="Tahoma"/>
          <w:bCs/>
          <w:szCs w:val="20"/>
        </w:rPr>
        <w:t xml:space="preserve">lýza bude vytvořena </w:t>
      </w:r>
      <w:r w:rsidRPr="00483BF3">
        <w:rPr>
          <w:rFonts w:cs="Tahoma"/>
          <w:bCs/>
          <w:szCs w:val="20"/>
        </w:rPr>
        <w:t>jednou za dva měsíce</w:t>
      </w:r>
    </w:p>
    <w:p w14:paraId="565A3C1C" w14:textId="526A14F4" w:rsidR="00483BF3" w:rsidRPr="00483BF3" w:rsidRDefault="00483BF3" w:rsidP="00182963">
      <w:pPr>
        <w:ind w:left="3975"/>
        <w:rPr>
          <w:rFonts w:cs="Tahoma"/>
          <w:bCs/>
          <w:szCs w:val="20"/>
        </w:rPr>
      </w:pPr>
      <w:r w:rsidRPr="00483BF3">
        <w:rPr>
          <w:rFonts w:cs="Tahoma"/>
          <w:bCs/>
          <w:szCs w:val="20"/>
        </w:rPr>
        <w:t>-  analýza bude s Objednatelem projednána a vysvětlena, budou zodpovězeny Objednatelovi dotazy</w:t>
      </w:r>
    </w:p>
    <w:p w14:paraId="2288B748" w14:textId="77777777" w:rsidR="00EF0590" w:rsidRPr="00DF7BD9" w:rsidRDefault="00EF0590" w:rsidP="00EF0590"/>
    <w:p w14:paraId="79123A5B" w14:textId="77777777" w:rsidR="00EF0590" w:rsidRPr="00613301" w:rsidRDefault="00EF0590" w:rsidP="00EF0590">
      <w:pPr>
        <w:pStyle w:val="Odstavecseseznamem"/>
        <w:rPr>
          <w:rFonts w:cs="Tahoma"/>
          <w:b/>
          <w:bCs/>
          <w:szCs w:val="20"/>
        </w:rPr>
      </w:pPr>
    </w:p>
    <w:p w14:paraId="1A60A8F4" w14:textId="77777777" w:rsidR="00894CA6" w:rsidRPr="00613301" w:rsidRDefault="00894CA6">
      <w:pPr>
        <w:rPr>
          <w:rFonts w:cs="Tahoma"/>
          <w:szCs w:val="20"/>
        </w:rPr>
      </w:pPr>
    </w:p>
    <w:p w14:paraId="093E4D3E" w14:textId="14B2DF6A" w:rsidR="00894CA6" w:rsidRPr="00613301" w:rsidRDefault="00AB47AB" w:rsidP="00530649">
      <w:pPr>
        <w:pStyle w:val="Odstavecseseznamem"/>
        <w:numPr>
          <w:ilvl w:val="0"/>
          <w:numId w:val="4"/>
        </w:numPr>
        <w:rPr>
          <w:rFonts w:cs="Tahoma"/>
          <w:b/>
          <w:bCs/>
          <w:szCs w:val="20"/>
        </w:rPr>
      </w:pPr>
      <w:r>
        <w:rPr>
          <w:rFonts w:cs="Tahoma"/>
          <w:b/>
          <w:bCs/>
          <w:szCs w:val="20"/>
        </w:rPr>
        <w:t>Ad ho</w:t>
      </w:r>
      <w:r w:rsidR="009C775B">
        <w:rPr>
          <w:rFonts w:cs="Tahoma"/>
          <w:b/>
          <w:bCs/>
          <w:szCs w:val="20"/>
        </w:rPr>
        <w:t>c</w:t>
      </w:r>
      <w:r w:rsidR="00894CA6" w:rsidRPr="00613301">
        <w:rPr>
          <w:rFonts w:cs="Tahoma"/>
          <w:b/>
          <w:bCs/>
          <w:szCs w:val="20"/>
        </w:rPr>
        <w:t xml:space="preserve"> </w:t>
      </w:r>
      <w:r>
        <w:rPr>
          <w:rFonts w:cs="Tahoma"/>
          <w:b/>
          <w:bCs/>
          <w:szCs w:val="20"/>
        </w:rPr>
        <w:t>s</w:t>
      </w:r>
      <w:r w:rsidR="00894CA6" w:rsidRPr="00613301">
        <w:rPr>
          <w:rFonts w:cs="Tahoma"/>
          <w:b/>
          <w:bCs/>
          <w:szCs w:val="20"/>
        </w:rPr>
        <w:t xml:space="preserve">lužby </w:t>
      </w:r>
      <w:r>
        <w:rPr>
          <w:rFonts w:cs="Tahoma"/>
          <w:b/>
          <w:bCs/>
          <w:szCs w:val="20"/>
        </w:rPr>
        <w:t xml:space="preserve"> </w:t>
      </w:r>
    </w:p>
    <w:p w14:paraId="4615A44F" w14:textId="77777777" w:rsidR="005409B2" w:rsidRPr="00613301" w:rsidRDefault="005409B2" w:rsidP="00894CA6">
      <w:pPr>
        <w:spacing w:line="240" w:lineRule="auto"/>
        <w:rPr>
          <w:rFonts w:cs="Tahoma"/>
          <w:b/>
          <w:bCs/>
          <w:szCs w:val="20"/>
        </w:rPr>
      </w:pPr>
    </w:p>
    <w:p w14:paraId="59E92EF3" w14:textId="443222B3" w:rsidR="00AB47AB" w:rsidRPr="00483BF3" w:rsidRDefault="00483BF3" w:rsidP="00483BF3">
      <w:pPr>
        <w:ind w:left="360"/>
        <w:rPr>
          <w:rFonts w:cs="Tahoma"/>
          <w:szCs w:val="20"/>
        </w:rPr>
      </w:pPr>
      <w:r>
        <w:rPr>
          <w:rFonts w:cs="Tahoma"/>
          <w:szCs w:val="20"/>
        </w:rPr>
        <w:t>Ad ho</w:t>
      </w:r>
      <w:r w:rsidR="00182963">
        <w:rPr>
          <w:rFonts w:cs="Tahoma"/>
          <w:szCs w:val="20"/>
        </w:rPr>
        <w:t>c</w:t>
      </w:r>
      <w:r>
        <w:rPr>
          <w:rFonts w:cs="Tahoma"/>
          <w:szCs w:val="20"/>
        </w:rPr>
        <w:t xml:space="preserve"> služby budou poskytovány na základě objednávky Objednatele a po předchozí dohodě obou zúčastněných stran.</w:t>
      </w:r>
    </w:p>
    <w:p w14:paraId="4A803261" w14:textId="542D6D16" w:rsidR="00562DA6" w:rsidRPr="00613301" w:rsidRDefault="0045069F" w:rsidP="00B26AFD">
      <w:pPr>
        <w:pStyle w:val="Zkladntextodsazen"/>
        <w:spacing w:before="120" w:line="240" w:lineRule="auto"/>
        <w:ind w:left="0"/>
        <w:jc w:val="both"/>
        <w:rPr>
          <w:rFonts w:cs="Tahoma"/>
          <w:szCs w:val="20"/>
        </w:rPr>
      </w:pPr>
      <w:r>
        <w:rPr>
          <w:rFonts w:cs="Tahoma"/>
          <w:bCs/>
          <w:szCs w:val="20"/>
        </w:rPr>
        <w:t xml:space="preserve"> </w:t>
      </w:r>
    </w:p>
    <w:p w14:paraId="4115B171" w14:textId="6F0DC793" w:rsidR="003836C3" w:rsidRPr="00613301" w:rsidRDefault="003836C3" w:rsidP="00410DBE">
      <w:pPr>
        <w:rPr>
          <w:rFonts w:cs="Tahoma"/>
          <w:szCs w:val="20"/>
        </w:rPr>
      </w:pPr>
      <w:r w:rsidRPr="00613301">
        <w:rPr>
          <w:rFonts w:cs="Tahoma"/>
          <w:szCs w:val="20"/>
        </w:rPr>
        <w:br w:type="page"/>
      </w:r>
    </w:p>
    <w:p w14:paraId="28193752" w14:textId="7E69DCE7" w:rsidR="005409B2" w:rsidRPr="003B2E67" w:rsidRDefault="005409B2" w:rsidP="00AB47AB">
      <w:pPr>
        <w:jc w:val="center"/>
        <w:rPr>
          <w:rFonts w:cs="Tahoma"/>
          <w:szCs w:val="20"/>
          <w:highlight w:val="green"/>
        </w:rPr>
      </w:pPr>
    </w:p>
    <w:p w14:paraId="7845258C" w14:textId="77777777" w:rsidR="003836C3" w:rsidRPr="00613301" w:rsidRDefault="003836C3" w:rsidP="00AB47AB">
      <w:pPr>
        <w:jc w:val="center"/>
        <w:rPr>
          <w:rFonts w:cs="Tahoma"/>
          <w:b/>
          <w:sz w:val="24"/>
          <w:szCs w:val="24"/>
        </w:rPr>
      </w:pPr>
      <w:r w:rsidRPr="00613301">
        <w:rPr>
          <w:rFonts w:cs="Tahoma"/>
          <w:b/>
          <w:sz w:val="24"/>
          <w:szCs w:val="24"/>
        </w:rPr>
        <w:t>Příloha č. 2</w:t>
      </w:r>
    </w:p>
    <w:p w14:paraId="0FBE6279" w14:textId="77777777" w:rsidR="003836C3" w:rsidRDefault="003836C3" w:rsidP="00AB47AB">
      <w:pPr>
        <w:jc w:val="center"/>
        <w:rPr>
          <w:rFonts w:cs="Tahoma"/>
          <w:b/>
          <w:sz w:val="24"/>
          <w:szCs w:val="24"/>
        </w:rPr>
      </w:pPr>
      <w:r w:rsidRPr="00613301">
        <w:rPr>
          <w:rFonts w:cs="Tahoma"/>
          <w:b/>
          <w:sz w:val="24"/>
          <w:szCs w:val="24"/>
        </w:rPr>
        <w:t>Cena služeb</w:t>
      </w:r>
    </w:p>
    <w:p w14:paraId="7AB5C5DB" w14:textId="77777777" w:rsidR="00AB47AB" w:rsidRPr="00613301" w:rsidRDefault="00AB47AB" w:rsidP="00AB47AB">
      <w:pPr>
        <w:jc w:val="center"/>
        <w:rPr>
          <w:rFonts w:cs="Tahoma"/>
          <w:b/>
          <w:sz w:val="24"/>
          <w:szCs w:val="24"/>
        </w:rPr>
      </w:pPr>
    </w:p>
    <w:p w14:paraId="15D4841E" w14:textId="4CF5FD28" w:rsidR="003836C3" w:rsidRPr="00613301" w:rsidRDefault="003836C3" w:rsidP="00530649">
      <w:pPr>
        <w:pStyle w:val="Odstavecseseznamem"/>
        <w:numPr>
          <w:ilvl w:val="0"/>
          <w:numId w:val="6"/>
        </w:numPr>
        <w:rPr>
          <w:rFonts w:cs="Tahoma"/>
          <w:b/>
          <w:szCs w:val="20"/>
        </w:rPr>
      </w:pPr>
      <w:r w:rsidRPr="00613301">
        <w:rPr>
          <w:rFonts w:cs="Tahoma"/>
          <w:b/>
          <w:szCs w:val="20"/>
        </w:rPr>
        <w:t xml:space="preserve">Cena </w:t>
      </w:r>
      <w:r w:rsidR="0045069F">
        <w:rPr>
          <w:rFonts w:cs="Tahoma"/>
          <w:b/>
          <w:szCs w:val="20"/>
        </w:rPr>
        <w:t>Paušálních</w:t>
      </w:r>
      <w:r w:rsidR="0065494C" w:rsidRPr="00613301">
        <w:rPr>
          <w:rFonts w:cs="Tahoma"/>
          <w:b/>
          <w:szCs w:val="20"/>
        </w:rPr>
        <w:t xml:space="preserve"> </w:t>
      </w:r>
      <w:r w:rsidR="00E65E66" w:rsidRPr="00613301">
        <w:rPr>
          <w:rFonts w:cs="Tahoma"/>
          <w:b/>
          <w:szCs w:val="20"/>
        </w:rPr>
        <w:t>s</w:t>
      </w:r>
      <w:r w:rsidRPr="00613301">
        <w:rPr>
          <w:rFonts w:cs="Tahoma"/>
          <w:b/>
          <w:szCs w:val="20"/>
        </w:rPr>
        <w:t>lužeb</w:t>
      </w:r>
    </w:p>
    <w:p w14:paraId="2A74598C" w14:textId="2FCDF883" w:rsidR="00AB47AB" w:rsidRDefault="00AB47AB" w:rsidP="003836C3">
      <w:pPr>
        <w:rPr>
          <w:rFonts w:cs="Tahoma"/>
          <w:b/>
          <w:szCs w:val="20"/>
        </w:rPr>
      </w:pPr>
    </w:p>
    <w:p w14:paraId="204F3501" w14:textId="7292B31F" w:rsidR="00AB103C" w:rsidRDefault="00AB103C" w:rsidP="00AB103C">
      <w:pPr>
        <w:rPr>
          <w:rFonts w:cs="Tahoma"/>
        </w:rPr>
      </w:pPr>
      <w:r>
        <w:rPr>
          <w:rFonts w:cs="Tahoma"/>
        </w:rPr>
        <w:t xml:space="preserve">      Měsíční cena za poskytování služby podpory……………………………</w:t>
      </w:r>
      <w:proofErr w:type="gramStart"/>
      <w:r>
        <w:rPr>
          <w:rFonts w:cs="Tahoma"/>
        </w:rPr>
        <w:t>…….</w:t>
      </w:r>
      <w:proofErr w:type="gramEnd"/>
      <w:r>
        <w:rPr>
          <w:rFonts w:cs="Tahoma"/>
        </w:rPr>
        <w:t>.</w:t>
      </w:r>
      <w:r w:rsidRPr="00591B1A">
        <w:rPr>
          <w:rFonts w:cs="Tahoma"/>
          <w:b/>
        </w:rPr>
        <w:t>35 000</w:t>
      </w:r>
      <w:r>
        <w:rPr>
          <w:rFonts w:cs="Tahoma"/>
        </w:rPr>
        <w:t>,- Kč/měsíc bez DPH</w:t>
      </w:r>
    </w:p>
    <w:p w14:paraId="0BC395D5" w14:textId="77777777" w:rsidR="00AB103C" w:rsidRDefault="00AB103C" w:rsidP="003836C3">
      <w:pPr>
        <w:rPr>
          <w:rFonts w:cs="Tahoma"/>
          <w:b/>
          <w:szCs w:val="20"/>
        </w:rPr>
      </w:pPr>
    </w:p>
    <w:p w14:paraId="4BF13ECE" w14:textId="77777777" w:rsidR="00AB47AB" w:rsidRDefault="00AB47AB" w:rsidP="003836C3">
      <w:pPr>
        <w:rPr>
          <w:rFonts w:cs="Tahoma"/>
          <w:b/>
          <w:szCs w:val="20"/>
        </w:rPr>
      </w:pPr>
    </w:p>
    <w:p w14:paraId="010349C5" w14:textId="77777777" w:rsidR="00AB47AB" w:rsidRPr="00613301" w:rsidRDefault="00AB47AB" w:rsidP="003836C3">
      <w:pPr>
        <w:rPr>
          <w:rFonts w:cs="Tahoma"/>
          <w:b/>
          <w:szCs w:val="20"/>
        </w:rPr>
      </w:pPr>
    </w:p>
    <w:p w14:paraId="347FD51F" w14:textId="248A7FAC" w:rsidR="003836C3" w:rsidRPr="00613301" w:rsidRDefault="003836C3" w:rsidP="00530649">
      <w:pPr>
        <w:pStyle w:val="Odstavecseseznamem"/>
        <w:numPr>
          <w:ilvl w:val="0"/>
          <w:numId w:val="6"/>
        </w:numPr>
        <w:rPr>
          <w:rFonts w:cs="Tahoma"/>
          <w:b/>
          <w:szCs w:val="20"/>
        </w:rPr>
      </w:pPr>
      <w:r w:rsidRPr="00613301">
        <w:rPr>
          <w:rFonts w:cs="Tahoma"/>
          <w:b/>
          <w:szCs w:val="20"/>
        </w:rPr>
        <w:t xml:space="preserve">Cena </w:t>
      </w:r>
      <w:r w:rsidR="00DD34DD">
        <w:rPr>
          <w:rFonts w:cs="Tahoma"/>
          <w:b/>
          <w:szCs w:val="20"/>
        </w:rPr>
        <w:t>Ad hoc služeb</w:t>
      </w:r>
    </w:p>
    <w:p w14:paraId="271FD084" w14:textId="77777777" w:rsidR="003836C3" w:rsidRPr="00613301" w:rsidRDefault="003836C3" w:rsidP="003836C3">
      <w:pPr>
        <w:rPr>
          <w:rFonts w:cs="Tahoma"/>
          <w:szCs w:val="20"/>
        </w:rPr>
      </w:pPr>
    </w:p>
    <w:p w14:paraId="4AF51B26" w14:textId="66A2D1A6" w:rsidR="00483BF3" w:rsidRPr="00483BF3" w:rsidRDefault="00483BF3" w:rsidP="00483BF3">
      <w:pPr>
        <w:ind w:left="360"/>
        <w:rPr>
          <w:rFonts w:cs="Tahoma"/>
          <w:szCs w:val="20"/>
        </w:rPr>
      </w:pPr>
      <w:r w:rsidRPr="00483BF3">
        <w:rPr>
          <w:rFonts w:cs="Tahoma"/>
          <w:szCs w:val="20"/>
        </w:rPr>
        <w:t>Hodinová sazba</w:t>
      </w:r>
      <w:r>
        <w:rPr>
          <w:rFonts w:cs="Tahoma"/>
          <w:szCs w:val="20"/>
        </w:rPr>
        <w:t xml:space="preserve"> za práci na objednávku</w:t>
      </w:r>
      <w:r w:rsidR="00182963">
        <w:rPr>
          <w:rFonts w:cs="Tahoma"/>
          <w:szCs w:val="20"/>
        </w:rPr>
        <w:t>…………………………………………</w:t>
      </w:r>
      <w:r>
        <w:rPr>
          <w:rFonts w:cs="Tahoma"/>
          <w:szCs w:val="20"/>
        </w:rPr>
        <w:t xml:space="preserve"> 1 </w:t>
      </w:r>
      <w:proofErr w:type="gramStart"/>
      <w:r>
        <w:rPr>
          <w:rFonts w:cs="Tahoma"/>
          <w:szCs w:val="20"/>
        </w:rPr>
        <w:t>500 ,</w:t>
      </w:r>
      <w:proofErr w:type="gramEnd"/>
      <w:r>
        <w:rPr>
          <w:rFonts w:cs="Tahoma"/>
          <w:szCs w:val="20"/>
        </w:rPr>
        <w:t>- Kč  bez DPH</w:t>
      </w:r>
    </w:p>
    <w:p w14:paraId="696BC778" w14:textId="603C29BA" w:rsidR="00AB47AB" w:rsidRDefault="00AB47AB" w:rsidP="00AB47AB">
      <w:pPr>
        <w:rPr>
          <w:rFonts w:cs="Tahoma"/>
          <w:b/>
          <w:szCs w:val="20"/>
        </w:rPr>
      </w:pPr>
    </w:p>
    <w:p w14:paraId="5DA357C9" w14:textId="77777777" w:rsidR="00390740" w:rsidRDefault="00390740" w:rsidP="003836C3">
      <w:pPr>
        <w:rPr>
          <w:rFonts w:cs="Tahoma"/>
          <w:szCs w:val="20"/>
        </w:rPr>
      </w:pPr>
    </w:p>
    <w:p w14:paraId="1D4DDDC6" w14:textId="77777777" w:rsidR="004351B9" w:rsidRDefault="004351B9" w:rsidP="007B5571">
      <w:pPr>
        <w:jc w:val="right"/>
        <w:rPr>
          <w:rFonts w:cs="Tahoma"/>
          <w:b/>
          <w:sz w:val="24"/>
          <w:szCs w:val="24"/>
        </w:rPr>
      </w:pPr>
    </w:p>
    <w:p w14:paraId="4F41BAB0" w14:textId="77777777" w:rsidR="004351B9" w:rsidRDefault="004351B9" w:rsidP="007B5571">
      <w:pPr>
        <w:jc w:val="right"/>
        <w:rPr>
          <w:rFonts w:cs="Tahoma"/>
          <w:b/>
          <w:sz w:val="24"/>
          <w:szCs w:val="24"/>
        </w:rPr>
      </w:pPr>
    </w:p>
    <w:p w14:paraId="27A3CFE6" w14:textId="77777777" w:rsidR="004351B9" w:rsidRDefault="004351B9" w:rsidP="007B5571">
      <w:pPr>
        <w:jc w:val="right"/>
        <w:rPr>
          <w:rFonts w:cs="Tahoma"/>
          <w:b/>
          <w:sz w:val="24"/>
          <w:szCs w:val="24"/>
        </w:rPr>
      </w:pPr>
    </w:p>
    <w:p w14:paraId="526B7BDA" w14:textId="77777777" w:rsidR="004351B9" w:rsidRDefault="004351B9" w:rsidP="007B5571">
      <w:pPr>
        <w:jc w:val="right"/>
        <w:rPr>
          <w:rFonts w:cs="Tahoma"/>
          <w:b/>
          <w:sz w:val="24"/>
          <w:szCs w:val="24"/>
        </w:rPr>
      </w:pPr>
    </w:p>
    <w:p w14:paraId="007B371C" w14:textId="77777777" w:rsidR="004351B9" w:rsidRDefault="004351B9" w:rsidP="007B5571">
      <w:pPr>
        <w:jc w:val="right"/>
        <w:rPr>
          <w:rFonts w:cs="Tahoma"/>
          <w:b/>
          <w:sz w:val="24"/>
          <w:szCs w:val="24"/>
        </w:rPr>
      </w:pPr>
    </w:p>
    <w:p w14:paraId="4686E751" w14:textId="77777777" w:rsidR="00410DBE" w:rsidRDefault="00410DBE" w:rsidP="007B5571">
      <w:pPr>
        <w:jc w:val="right"/>
        <w:rPr>
          <w:rFonts w:cs="Tahoma"/>
          <w:b/>
          <w:sz w:val="24"/>
          <w:szCs w:val="24"/>
        </w:rPr>
      </w:pPr>
    </w:p>
    <w:p w14:paraId="33F20DF0" w14:textId="405142DE" w:rsidR="00DE4B07" w:rsidRPr="00DE4B07" w:rsidRDefault="00DE4B07" w:rsidP="005213B3">
      <w:pPr>
        <w:spacing w:after="200"/>
        <w:rPr>
          <w:rFonts w:cs="Tahoma"/>
          <w:b/>
          <w:sz w:val="24"/>
          <w:szCs w:val="24"/>
        </w:rPr>
      </w:pPr>
    </w:p>
    <w:sectPr w:rsidR="00DE4B07" w:rsidRPr="00DE4B07" w:rsidSect="00F56A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83DD" w14:textId="77777777" w:rsidR="002A23DB" w:rsidRDefault="002A23DB">
      <w:pPr>
        <w:spacing w:line="240" w:lineRule="auto"/>
      </w:pPr>
      <w:r>
        <w:separator/>
      </w:r>
    </w:p>
  </w:endnote>
  <w:endnote w:type="continuationSeparator" w:id="0">
    <w:p w14:paraId="44711524" w14:textId="77777777" w:rsidR="002A23DB" w:rsidRDefault="002A2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437C" w14:textId="3C663536" w:rsidR="0052681D" w:rsidRPr="003F74F1" w:rsidRDefault="0052681D" w:rsidP="00DA7367">
    <w:pPr>
      <w:pStyle w:val="Zpat"/>
      <w:jc w:val="center"/>
      <w:rPr>
        <w:color w:val="48595C"/>
        <w:sz w:val="18"/>
        <w:szCs w:val="18"/>
      </w:rPr>
    </w:pPr>
    <w:r w:rsidRPr="003F74F1">
      <w:rPr>
        <w:color w:val="48595C"/>
        <w:sz w:val="18"/>
        <w:szCs w:val="18"/>
      </w:rPr>
      <w:t xml:space="preserve">Strana </w:t>
    </w:r>
    <w:r w:rsidRPr="003F74F1">
      <w:rPr>
        <w:color w:val="48595C"/>
        <w:sz w:val="18"/>
        <w:szCs w:val="18"/>
      </w:rPr>
      <w:fldChar w:fldCharType="begin"/>
    </w:r>
    <w:r w:rsidRPr="003F74F1">
      <w:rPr>
        <w:color w:val="48595C"/>
        <w:sz w:val="18"/>
        <w:szCs w:val="18"/>
      </w:rPr>
      <w:instrText xml:space="preserve"> PAGE   \* MERGEFORMAT </w:instrText>
    </w:r>
    <w:r w:rsidRPr="003F74F1">
      <w:rPr>
        <w:color w:val="48595C"/>
        <w:sz w:val="18"/>
        <w:szCs w:val="18"/>
      </w:rPr>
      <w:fldChar w:fldCharType="separate"/>
    </w:r>
    <w:r w:rsidR="00F74A0F">
      <w:rPr>
        <w:noProof/>
        <w:color w:val="48595C"/>
        <w:sz w:val="18"/>
        <w:szCs w:val="18"/>
      </w:rPr>
      <w:t>3</w:t>
    </w:r>
    <w:r w:rsidRPr="003F74F1">
      <w:rPr>
        <w:color w:val="48595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9FD8" w14:textId="77777777" w:rsidR="002A23DB" w:rsidRDefault="002A23DB">
      <w:pPr>
        <w:spacing w:line="240" w:lineRule="auto"/>
      </w:pPr>
      <w:r>
        <w:separator/>
      </w:r>
    </w:p>
  </w:footnote>
  <w:footnote w:type="continuationSeparator" w:id="0">
    <w:p w14:paraId="3FA3283E" w14:textId="77777777" w:rsidR="002A23DB" w:rsidRDefault="002A23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BC16" w14:textId="77777777" w:rsidR="0052681D" w:rsidRDefault="0052681D" w:rsidP="00DA736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EB3"/>
    <w:multiLevelType w:val="hybridMultilevel"/>
    <w:tmpl w:val="7DB030AC"/>
    <w:lvl w:ilvl="0" w:tplc="A5F42608">
      <w:numFmt w:val="bullet"/>
      <w:lvlText w:val="-"/>
      <w:lvlJc w:val="left"/>
      <w:pPr>
        <w:ind w:left="4259" w:hanging="360"/>
      </w:pPr>
      <w:rPr>
        <w:rFonts w:ascii="Tahoma" w:eastAsiaTheme="minorHAnsi" w:hAnsi="Tahoma" w:cs="Tahoma" w:hint="default"/>
      </w:rPr>
    </w:lvl>
    <w:lvl w:ilvl="1" w:tplc="04050003" w:tentative="1">
      <w:start w:val="1"/>
      <w:numFmt w:val="bullet"/>
      <w:lvlText w:val="o"/>
      <w:lvlJc w:val="left"/>
      <w:pPr>
        <w:ind w:left="4979" w:hanging="360"/>
      </w:pPr>
      <w:rPr>
        <w:rFonts w:ascii="Courier New" w:hAnsi="Courier New" w:cs="Courier New" w:hint="default"/>
      </w:rPr>
    </w:lvl>
    <w:lvl w:ilvl="2" w:tplc="04050005" w:tentative="1">
      <w:start w:val="1"/>
      <w:numFmt w:val="bullet"/>
      <w:lvlText w:val=""/>
      <w:lvlJc w:val="left"/>
      <w:pPr>
        <w:ind w:left="5699" w:hanging="360"/>
      </w:pPr>
      <w:rPr>
        <w:rFonts w:ascii="Wingdings" w:hAnsi="Wingdings" w:hint="default"/>
      </w:rPr>
    </w:lvl>
    <w:lvl w:ilvl="3" w:tplc="04050001" w:tentative="1">
      <w:start w:val="1"/>
      <w:numFmt w:val="bullet"/>
      <w:lvlText w:val=""/>
      <w:lvlJc w:val="left"/>
      <w:pPr>
        <w:ind w:left="6419" w:hanging="360"/>
      </w:pPr>
      <w:rPr>
        <w:rFonts w:ascii="Symbol" w:hAnsi="Symbol" w:hint="default"/>
      </w:rPr>
    </w:lvl>
    <w:lvl w:ilvl="4" w:tplc="04050003" w:tentative="1">
      <w:start w:val="1"/>
      <w:numFmt w:val="bullet"/>
      <w:lvlText w:val="o"/>
      <w:lvlJc w:val="left"/>
      <w:pPr>
        <w:ind w:left="7139" w:hanging="360"/>
      </w:pPr>
      <w:rPr>
        <w:rFonts w:ascii="Courier New" w:hAnsi="Courier New" w:cs="Courier New" w:hint="default"/>
      </w:rPr>
    </w:lvl>
    <w:lvl w:ilvl="5" w:tplc="04050005" w:tentative="1">
      <w:start w:val="1"/>
      <w:numFmt w:val="bullet"/>
      <w:lvlText w:val=""/>
      <w:lvlJc w:val="left"/>
      <w:pPr>
        <w:ind w:left="7859" w:hanging="360"/>
      </w:pPr>
      <w:rPr>
        <w:rFonts w:ascii="Wingdings" w:hAnsi="Wingdings" w:hint="default"/>
      </w:rPr>
    </w:lvl>
    <w:lvl w:ilvl="6" w:tplc="04050001" w:tentative="1">
      <w:start w:val="1"/>
      <w:numFmt w:val="bullet"/>
      <w:lvlText w:val=""/>
      <w:lvlJc w:val="left"/>
      <w:pPr>
        <w:ind w:left="8579" w:hanging="360"/>
      </w:pPr>
      <w:rPr>
        <w:rFonts w:ascii="Symbol" w:hAnsi="Symbol" w:hint="default"/>
      </w:rPr>
    </w:lvl>
    <w:lvl w:ilvl="7" w:tplc="04050003" w:tentative="1">
      <w:start w:val="1"/>
      <w:numFmt w:val="bullet"/>
      <w:lvlText w:val="o"/>
      <w:lvlJc w:val="left"/>
      <w:pPr>
        <w:ind w:left="9299" w:hanging="360"/>
      </w:pPr>
      <w:rPr>
        <w:rFonts w:ascii="Courier New" w:hAnsi="Courier New" w:cs="Courier New" w:hint="default"/>
      </w:rPr>
    </w:lvl>
    <w:lvl w:ilvl="8" w:tplc="04050005" w:tentative="1">
      <w:start w:val="1"/>
      <w:numFmt w:val="bullet"/>
      <w:lvlText w:val=""/>
      <w:lvlJc w:val="left"/>
      <w:pPr>
        <w:ind w:left="10019" w:hanging="360"/>
      </w:pPr>
      <w:rPr>
        <w:rFonts w:ascii="Wingdings" w:hAnsi="Wingdings" w:hint="default"/>
      </w:rPr>
    </w:lvl>
  </w:abstractNum>
  <w:abstractNum w:abstractNumId="1" w15:restartNumberingAfterBreak="0">
    <w:nsid w:val="1786233E"/>
    <w:multiLevelType w:val="hybridMultilevel"/>
    <w:tmpl w:val="288A8D3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7C57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5358F"/>
    <w:multiLevelType w:val="multilevel"/>
    <w:tmpl w:val="915C0ED0"/>
    <w:lvl w:ilvl="0">
      <w:start w:val="1"/>
      <w:numFmt w:val="none"/>
      <w:lvlText w:val="%1"/>
      <w:lvlJc w:val="left"/>
      <w:pPr>
        <w:tabs>
          <w:tab w:val="num" w:pos="432"/>
        </w:tabs>
        <w:ind w:left="432" w:hanging="432"/>
      </w:pPr>
      <w:rPr>
        <w:rFonts w:hint="default"/>
      </w:rPr>
    </w:lvl>
    <w:lvl w:ilvl="1">
      <w:start w:val="1"/>
      <w:numFmt w:val="upperRoman"/>
      <w:lvlText w:val="%1%2"/>
      <w:lvlJc w:val="left"/>
      <w:pPr>
        <w:tabs>
          <w:tab w:val="num" w:pos="720"/>
        </w:tabs>
        <w:ind w:left="576" w:hanging="576"/>
      </w:pPr>
      <w:rPr>
        <w:rFonts w:hint="default"/>
      </w:rPr>
    </w:lvl>
    <w:lvl w:ilvl="2">
      <w:start w:val="1"/>
      <w:numFmt w:val="decimal"/>
      <w:isLgl/>
      <w:lvlText w:val="%1%2.%3"/>
      <w:lvlJc w:val="left"/>
      <w:pPr>
        <w:tabs>
          <w:tab w:val="num" w:pos="720"/>
        </w:tabs>
        <w:ind w:left="720" w:hanging="720"/>
      </w:pPr>
      <w:rPr>
        <w:rFonts w:ascii="Arial" w:hAnsi="Arial" w:cs="Arial" w:hint="default"/>
        <w:sz w:val="20"/>
        <w:szCs w:val="20"/>
      </w:rPr>
    </w:lvl>
    <w:lvl w:ilvl="3">
      <w:start w:val="1"/>
      <w:numFmt w:val="decimal"/>
      <w:isLgl/>
      <w:lvlText w:val="%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362C6FCD"/>
    <w:multiLevelType w:val="multilevel"/>
    <w:tmpl w:val="EA0C70E8"/>
    <w:lvl w:ilvl="0">
      <w:start w:val="1"/>
      <w:numFmt w:val="decimal"/>
      <w:pStyle w:val="1lneksmlouvy"/>
      <w:lvlText w:val="%1."/>
      <w:lvlJc w:val="left"/>
      <w:pPr>
        <w:tabs>
          <w:tab w:val="num" w:pos="425"/>
        </w:tabs>
        <w:ind w:left="425" w:hanging="425"/>
      </w:pPr>
      <w:rPr>
        <w:rFonts w:ascii="Tahoma" w:hAnsi="Tahoma" w:hint="default"/>
        <w:b/>
        <w:i w:val="0"/>
        <w:caps/>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004"/>
        </w:tabs>
        <w:ind w:left="1004" w:hanging="579"/>
      </w:pPr>
      <w:rPr>
        <w:rFonts w:ascii="Tahoma" w:hAnsi="Tahoma" w:hint="default"/>
        <w:b w:val="0"/>
        <w:sz w:val="20"/>
      </w:rPr>
    </w:lvl>
    <w:lvl w:ilvl="2">
      <w:start w:val="1"/>
      <w:numFmt w:val="decimal"/>
      <w:lvlText w:val="%1.%2.%3"/>
      <w:lvlJc w:val="left"/>
      <w:pPr>
        <w:tabs>
          <w:tab w:val="num" w:pos="1690"/>
        </w:tabs>
        <w:ind w:left="1690" w:hanging="697"/>
      </w:pPr>
      <w:rPr>
        <w:rFonts w:ascii="Tahoma" w:hAnsi="Tahoma" w:hint="default"/>
        <w:b w:val="0"/>
        <w:sz w:val="20"/>
      </w:rPr>
    </w:lvl>
    <w:lvl w:ilvl="3">
      <w:start w:val="1"/>
      <w:numFmt w:val="decimal"/>
      <w:lvlText w:val="%1.%2.%3.%4"/>
      <w:lvlJc w:val="left"/>
      <w:pPr>
        <w:tabs>
          <w:tab w:val="num" w:pos="3062"/>
        </w:tabs>
        <w:ind w:left="3062" w:hanging="851"/>
      </w:pPr>
      <w:rPr>
        <w:rFonts w:ascii="Tahoma" w:hAnsi="Tahoma" w:hint="default"/>
        <w:b w:val="0"/>
        <w:i w:val="0"/>
        <w:sz w:val="20"/>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136A83"/>
    <w:multiLevelType w:val="multilevel"/>
    <w:tmpl w:val="E75E91E2"/>
    <w:styleLink w:val="Styl1"/>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BD8356E"/>
    <w:multiLevelType w:val="multilevel"/>
    <w:tmpl w:val="973A2B6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sz w:val="20"/>
        <w:szCs w:val="20"/>
      </w:rPr>
    </w:lvl>
    <w:lvl w:ilvl="2">
      <w:start w:val="1"/>
      <w:numFmt w:val="decimal"/>
      <w:pStyle w:val="Nadpis3"/>
      <w:isLgl/>
      <w:lvlText w:val="%1.%2.%3."/>
      <w:lvlJc w:val="left"/>
      <w:pPr>
        <w:tabs>
          <w:tab w:val="num" w:pos="1288"/>
        </w:tabs>
        <w:ind w:left="1288" w:hanging="720"/>
      </w:pPr>
      <w:rPr>
        <w:rFonts w:hint="default"/>
      </w:rPr>
    </w:lvl>
    <w:lvl w:ilvl="3">
      <w:start w:val="1"/>
      <w:numFmt w:val="decimal"/>
      <w:isLgl/>
      <w:lvlText w:val="%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739A354C"/>
    <w:multiLevelType w:val="hybridMultilevel"/>
    <w:tmpl w:val="1D8AAA2C"/>
    <w:lvl w:ilvl="0" w:tplc="04EE885E">
      <w:numFmt w:val="bullet"/>
      <w:lvlText w:val="-"/>
      <w:lvlJc w:val="left"/>
      <w:pPr>
        <w:ind w:left="4308" w:hanging="360"/>
      </w:pPr>
      <w:rPr>
        <w:rFonts w:ascii="Tahoma" w:eastAsiaTheme="minorHAnsi" w:hAnsi="Tahoma" w:cs="Tahoma" w:hint="default"/>
      </w:rPr>
    </w:lvl>
    <w:lvl w:ilvl="1" w:tplc="04050003" w:tentative="1">
      <w:start w:val="1"/>
      <w:numFmt w:val="bullet"/>
      <w:lvlText w:val="o"/>
      <w:lvlJc w:val="left"/>
      <w:pPr>
        <w:ind w:left="5028" w:hanging="360"/>
      </w:pPr>
      <w:rPr>
        <w:rFonts w:ascii="Courier New" w:hAnsi="Courier New" w:cs="Courier New" w:hint="default"/>
      </w:rPr>
    </w:lvl>
    <w:lvl w:ilvl="2" w:tplc="04050005" w:tentative="1">
      <w:start w:val="1"/>
      <w:numFmt w:val="bullet"/>
      <w:lvlText w:val=""/>
      <w:lvlJc w:val="left"/>
      <w:pPr>
        <w:ind w:left="5748" w:hanging="360"/>
      </w:pPr>
      <w:rPr>
        <w:rFonts w:ascii="Wingdings" w:hAnsi="Wingdings" w:hint="default"/>
      </w:rPr>
    </w:lvl>
    <w:lvl w:ilvl="3" w:tplc="04050001" w:tentative="1">
      <w:start w:val="1"/>
      <w:numFmt w:val="bullet"/>
      <w:lvlText w:val=""/>
      <w:lvlJc w:val="left"/>
      <w:pPr>
        <w:ind w:left="6468" w:hanging="360"/>
      </w:pPr>
      <w:rPr>
        <w:rFonts w:ascii="Symbol" w:hAnsi="Symbol" w:hint="default"/>
      </w:rPr>
    </w:lvl>
    <w:lvl w:ilvl="4" w:tplc="04050003" w:tentative="1">
      <w:start w:val="1"/>
      <w:numFmt w:val="bullet"/>
      <w:lvlText w:val="o"/>
      <w:lvlJc w:val="left"/>
      <w:pPr>
        <w:ind w:left="7188" w:hanging="360"/>
      </w:pPr>
      <w:rPr>
        <w:rFonts w:ascii="Courier New" w:hAnsi="Courier New" w:cs="Courier New" w:hint="default"/>
      </w:rPr>
    </w:lvl>
    <w:lvl w:ilvl="5" w:tplc="04050005" w:tentative="1">
      <w:start w:val="1"/>
      <w:numFmt w:val="bullet"/>
      <w:lvlText w:val=""/>
      <w:lvlJc w:val="left"/>
      <w:pPr>
        <w:ind w:left="7908" w:hanging="360"/>
      </w:pPr>
      <w:rPr>
        <w:rFonts w:ascii="Wingdings" w:hAnsi="Wingdings" w:hint="default"/>
      </w:rPr>
    </w:lvl>
    <w:lvl w:ilvl="6" w:tplc="04050001" w:tentative="1">
      <w:start w:val="1"/>
      <w:numFmt w:val="bullet"/>
      <w:lvlText w:val=""/>
      <w:lvlJc w:val="left"/>
      <w:pPr>
        <w:ind w:left="8628" w:hanging="360"/>
      </w:pPr>
      <w:rPr>
        <w:rFonts w:ascii="Symbol" w:hAnsi="Symbol" w:hint="default"/>
      </w:rPr>
    </w:lvl>
    <w:lvl w:ilvl="7" w:tplc="04050003" w:tentative="1">
      <w:start w:val="1"/>
      <w:numFmt w:val="bullet"/>
      <w:lvlText w:val="o"/>
      <w:lvlJc w:val="left"/>
      <w:pPr>
        <w:ind w:left="9348" w:hanging="360"/>
      </w:pPr>
      <w:rPr>
        <w:rFonts w:ascii="Courier New" w:hAnsi="Courier New" w:cs="Courier New" w:hint="default"/>
      </w:rPr>
    </w:lvl>
    <w:lvl w:ilvl="8" w:tplc="04050005" w:tentative="1">
      <w:start w:val="1"/>
      <w:numFmt w:val="bullet"/>
      <w:lvlText w:val=""/>
      <w:lvlJc w:val="left"/>
      <w:pPr>
        <w:ind w:left="10068" w:hanging="360"/>
      </w:pPr>
      <w:rPr>
        <w:rFonts w:ascii="Wingdings" w:hAnsi="Wingdings" w:hint="default"/>
      </w:rPr>
    </w:lvl>
  </w:abstractNum>
  <w:abstractNum w:abstractNumId="8" w15:restartNumberingAfterBreak="0">
    <w:nsid w:val="7CB87F54"/>
    <w:multiLevelType w:val="hybridMultilevel"/>
    <w:tmpl w:val="288A8D3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8"/>
  </w:num>
  <w:num w:numId="5">
    <w:abstractNumId w:val="5"/>
  </w:num>
  <w:num w:numId="6">
    <w:abstractNumId w:val="1"/>
  </w:num>
  <w:num w:numId="7">
    <w:abstractNumId w:val="2"/>
  </w:num>
  <w:num w:numId="8">
    <w:abstractNumId w:val="0"/>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8B"/>
    <w:rsid w:val="000003A1"/>
    <w:rsid w:val="00012E46"/>
    <w:rsid w:val="00023E85"/>
    <w:rsid w:val="00027686"/>
    <w:rsid w:val="0004511A"/>
    <w:rsid w:val="00061121"/>
    <w:rsid w:val="00065378"/>
    <w:rsid w:val="0006595C"/>
    <w:rsid w:val="00074FC7"/>
    <w:rsid w:val="000A00AA"/>
    <w:rsid w:val="000A4F4A"/>
    <w:rsid w:val="000A7A40"/>
    <w:rsid w:val="000D5684"/>
    <w:rsid w:val="000D689D"/>
    <w:rsid w:val="000D7B79"/>
    <w:rsid w:val="000E1050"/>
    <w:rsid w:val="000E3399"/>
    <w:rsid w:val="000F3E70"/>
    <w:rsid w:val="000F72DC"/>
    <w:rsid w:val="00114562"/>
    <w:rsid w:val="00115C7A"/>
    <w:rsid w:val="001177FC"/>
    <w:rsid w:val="0012444A"/>
    <w:rsid w:val="0013308D"/>
    <w:rsid w:val="0015091F"/>
    <w:rsid w:val="00174E2D"/>
    <w:rsid w:val="00174EAC"/>
    <w:rsid w:val="00176609"/>
    <w:rsid w:val="0018120B"/>
    <w:rsid w:val="00182963"/>
    <w:rsid w:val="00185318"/>
    <w:rsid w:val="00187AE4"/>
    <w:rsid w:val="001A33A5"/>
    <w:rsid w:val="001A4BC4"/>
    <w:rsid w:val="001A4F08"/>
    <w:rsid w:val="001D0F59"/>
    <w:rsid w:val="001D3F13"/>
    <w:rsid w:val="001D4554"/>
    <w:rsid w:val="001E2028"/>
    <w:rsid w:val="001E7EED"/>
    <w:rsid w:val="001F058E"/>
    <w:rsid w:val="001F1462"/>
    <w:rsid w:val="00200493"/>
    <w:rsid w:val="0020420A"/>
    <w:rsid w:val="00205B2F"/>
    <w:rsid w:val="0021284B"/>
    <w:rsid w:val="0022717E"/>
    <w:rsid w:val="00230DD7"/>
    <w:rsid w:val="00257297"/>
    <w:rsid w:val="0026310D"/>
    <w:rsid w:val="00283EC9"/>
    <w:rsid w:val="00287919"/>
    <w:rsid w:val="00291BDD"/>
    <w:rsid w:val="002936A4"/>
    <w:rsid w:val="002A23DB"/>
    <w:rsid w:val="002A5BB4"/>
    <w:rsid w:val="002A7FD2"/>
    <w:rsid w:val="002B0A9C"/>
    <w:rsid w:val="002B0B05"/>
    <w:rsid w:val="002C1001"/>
    <w:rsid w:val="002C1746"/>
    <w:rsid w:val="002D72B6"/>
    <w:rsid w:val="002E256D"/>
    <w:rsid w:val="002F4A53"/>
    <w:rsid w:val="002F5EF0"/>
    <w:rsid w:val="00304138"/>
    <w:rsid w:val="00313995"/>
    <w:rsid w:val="00323E35"/>
    <w:rsid w:val="0034387F"/>
    <w:rsid w:val="003469B2"/>
    <w:rsid w:val="00346B75"/>
    <w:rsid w:val="00352975"/>
    <w:rsid w:val="00355ED7"/>
    <w:rsid w:val="0035634A"/>
    <w:rsid w:val="00362336"/>
    <w:rsid w:val="00383565"/>
    <w:rsid w:val="003836C3"/>
    <w:rsid w:val="00387C1B"/>
    <w:rsid w:val="00390740"/>
    <w:rsid w:val="00397CC1"/>
    <w:rsid w:val="003A01E0"/>
    <w:rsid w:val="003B0127"/>
    <w:rsid w:val="003B2E67"/>
    <w:rsid w:val="003B41D8"/>
    <w:rsid w:val="003B463A"/>
    <w:rsid w:val="003C4D5D"/>
    <w:rsid w:val="003D293F"/>
    <w:rsid w:val="003D32E5"/>
    <w:rsid w:val="003D51AA"/>
    <w:rsid w:val="004011AA"/>
    <w:rsid w:val="00404AB2"/>
    <w:rsid w:val="0040616C"/>
    <w:rsid w:val="004106AD"/>
    <w:rsid w:val="00410DBE"/>
    <w:rsid w:val="004125B8"/>
    <w:rsid w:val="00414F93"/>
    <w:rsid w:val="00422EC1"/>
    <w:rsid w:val="0042545E"/>
    <w:rsid w:val="00425F6F"/>
    <w:rsid w:val="00426EEC"/>
    <w:rsid w:val="004351B9"/>
    <w:rsid w:val="00435759"/>
    <w:rsid w:val="00436790"/>
    <w:rsid w:val="0045069F"/>
    <w:rsid w:val="0046334C"/>
    <w:rsid w:val="004670A4"/>
    <w:rsid w:val="0046745E"/>
    <w:rsid w:val="00472A7B"/>
    <w:rsid w:val="00483BF3"/>
    <w:rsid w:val="00484F47"/>
    <w:rsid w:val="004855A1"/>
    <w:rsid w:val="00491B42"/>
    <w:rsid w:val="00491D4C"/>
    <w:rsid w:val="004B23B9"/>
    <w:rsid w:val="004B3D9F"/>
    <w:rsid w:val="004B4613"/>
    <w:rsid w:val="004C1098"/>
    <w:rsid w:val="004C1761"/>
    <w:rsid w:val="004C1A60"/>
    <w:rsid w:val="004C3B05"/>
    <w:rsid w:val="004E2DAB"/>
    <w:rsid w:val="004E6C9A"/>
    <w:rsid w:val="004F5FB5"/>
    <w:rsid w:val="00507CC3"/>
    <w:rsid w:val="005166E9"/>
    <w:rsid w:val="005213B3"/>
    <w:rsid w:val="0052233B"/>
    <w:rsid w:val="0052681D"/>
    <w:rsid w:val="00530649"/>
    <w:rsid w:val="005315FB"/>
    <w:rsid w:val="005409B2"/>
    <w:rsid w:val="0055008B"/>
    <w:rsid w:val="00556655"/>
    <w:rsid w:val="005575F7"/>
    <w:rsid w:val="00562DA6"/>
    <w:rsid w:val="00590882"/>
    <w:rsid w:val="0059205B"/>
    <w:rsid w:val="00597ED8"/>
    <w:rsid w:val="005A0AFE"/>
    <w:rsid w:val="005C3EBA"/>
    <w:rsid w:val="005C4F06"/>
    <w:rsid w:val="005D1A3D"/>
    <w:rsid w:val="005E7EFE"/>
    <w:rsid w:val="005F0E3C"/>
    <w:rsid w:val="005F338E"/>
    <w:rsid w:val="005F6762"/>
    <w:rsid w:val="006042CE"/>
    <w:rsid w:val="0060662B"/>
    <w:rsid w:val="00607945"/>
    <w:rsid w:val="00613301"/>
    <w:rsid w:val="00632698"/>
    <w:rsid w:val="00636DE1"/>
    <w:rsid w:val="006423BC"/>
    <w:rsid w:val="006438C5"/>
    <w:rsid w:val="0064737F"/>
    <w:rsid w:val="00650351"/>
    <w:rsid w:val="00651100"/>
    <w:rsid w:val="0065494C"/>
    <w:rsid w:val="006558D0"/>
    <w:rsid w:val="00664CF1"/>
    <w:rsid w:val="00682FE3"/>
    <w:rsid w:val="006A5093"/>
    <w:rsid w:val="006A51BE"/>
    <w:rsid w:val="006B3772"/>
    <w:rsid w:val="006B41CE"/>
    <w:rsid w:val="006C2EF3"/>
    <w:rsid w:val="006D5C60"/>
    <w:rsid w:val="006F049C"/>
    <w:rsid w:val="006F7916"/>
    <w:rsid w:val="007108A5"/>
    <w:rsid w:val="00716F73"/>
    <w:rsid w:val="00725F0A"/>
    <w:rsid w:val="0074529F"/>
    <w:rsid w:val="007464F8"/>
    <w:rsid w:val="007544D8"/>
    <w:rsid w:val="0076104A"/>
    <w:rsid w:val="007631F3"/>
    <w:rsid w:val="007633DD"/>
    <w:rsid w:val="007737FF"/>
    <w:rsid w:val="00775B20"/>
    <w:rsid w:val="00780D39"/>
    <w:rsid w:val="0078699E"/>
    <w:rsid w:val="00790F27"/>
    <w:rsid w:val="00794F5C"/>
    <w:rsid w:val="007965E8"/>
    <w:rsid w:val="007A10BC"/>
    <w:rsid w:val="007A2991"/>
    <w:rsid w:val="007B5571"/>
    <w:rsid w:val="007B7AB9"/>
    <w:rsid w:val="007C09B1"/>
    <w:rsid w:val="007D4B02"/>
    <w:rsid w:val="0080152F"/>
    <w:rsid w:val="00816A2D"/>
    <w:rsid w:val="0081746C"/>
    <w:rsid w:val="00821876"/>
    <w:rsid w:val="00836CE9"/>
    <w:rsid w:val="00844CB8"/>
    <w:rsid w:val="008507FF"/>
    <w:rsid w:val="00860B17"/>
    <w:rsid w:val="00867A56"/>
    <w:rsid w:val="0087130E"/>
    <w:rsid w:val="00874E45"/>
    <w:rsid w:val="0088060C"/>
    <w:rsid w:val="00881719"/>
    <w:rsid w:val="00885AC9"/>
    <w:rsid w:val="00887D9F"/>
    <w:rsid w:val="00894CA6"/>
    <w:rsid w:val="008A6E7B"/>
    <w:rsid w:val="008B67BE"/>
    <w:rsid w:val="008B6B94"/>
    <w:rsid w:val="008C3112"/>
    <w:rsid w:val="008D36FD"/>
    <w:rsid w:val="008D7CEB"/>
    <w:rsid w:val="008E58A7"/>
    <w:rsid w:val="008F3207"/>
    <w:rsid w:val="008F3327"/>
    <w:rsid w:val="0090044A"/>
    <w:rsid w:val="00902941"/>
    <w:rsid w:val="00904648"/>
    <w:rsid w:val="00904C5D"/>
    <w:rsid w:val="009078E4"/>
    <w:rsid w:val="009131FD"/>
    <w:rsid w:val="00915B5E"/>
    <w:rsid w:val="009206A1"/>
    <w:rsid w:val="00920A7F"/>
    <w:rsid w:val="009263AB"/>
    <w:rsid w:val="009304EB"/>
    <w:rsid w:val="009319CB"/>
    <w:rsid w:val="00942D60"/>
    <w:rsid w:val="00951A65"/>
    <w:rsid w:val="00952301"/>
    <w:rsid w:val="009656BB"/>
    <w:rsid w:val="009663CB"/>
    <w:rsid w:val="00967199"/>
    <w:rsid w:val="0097649F"/>
    <w:rsid w:val="00976AF5"/>
    <w:rsid w:val="00984B6B"/>
    <w:rsid w:val="009A4D16"/>
    <w:rsid w:val="009A4DAD"/>
    <w:rsid w:val="009B2182"/>
    <w:rsid w:val="009B3D68"/>
    <w:rsid w:val="009C3565"/>
    <w:rsid w:val="009C775B"/>
    <w:rsid w:val="009D0E71"/>
    <w:rsid w:val="009D6B93"/>
    <w:rsid w:val="009E7348"/>
    <w:rsid w:val="009F030D"/>
    <w:rsid w:val="009F19B9"/>
    <w:rsid w:val="009F40AE"/>
    <w:rsid w:val="009F4879"/>
    <w:rsid w:val="00A038F3"/>
    <w:rsid w:val="00A0584A"/>
    <w:rsid w:val="00A141DC"/>
    <w:rsid w:val="00A30BE9"/>
    <w:rsid w:val="00A33601"/>
    <w:rsid w:val="00A3706C"/>
    <w:rsid w:val="00A40742"/>
    <w:rsid w:val="00A53C74"/>
    <w:rsid w:val="00A67246"/>
    <w:rsid w:val="00A71B14"/>
    <w:rsid w:val="00A968BA"/>
    <w:rsid w:val="00AA3B52"/>
    <w:rsid w:val="00AA56C6"/>
    <w:rsid w:val="00AB103C"/>
    <w:rsid w:val="00AB47AB"/>
    <w:rsid w:val="00AB6DFC"/>
    <w:rsid w:val="00AC0BCD"/>
    <w:rsid w:val="00AC73A3"/>
    <w:rsid w:val="00AD7702"/>
    <w:rsid w:val="00AE20D4"/>
    <w:rsid w:val="00AF09FE"/>
    <w:rsid w:val="00AF3837"/>
    <w:rsid w:val="00AF7E63"/>
    <w:rsid w:val="00B01A90"/>
    <w:rsid w:val="00B03C51"/>
    <w:rsid w:val="00B040DE"/>
    <w:rsid w:val="00B058D6"/>
    <w:rsid w:val="00B205AE"/>
    <w:rsid w:val="00B21C6B"/>
    <w:rsid w:val="00B248BF"/>
    <w:rsid w:val="00B26AFD"/>
    <w:rsid w:val="00B3121A"/>
    <w:rsid w:val="00B32073"/>
    <w:rsid w:val="00B44532"/>
    <w:rsid w:val="00B548DA"/>
    <w:rsid w:val="00B6722D"/>
    <w:rsid w:val="00B67691"/>
    <w:rsid w:val="00B73342"/>
    <w:rsid w:val="00B821A5"/>
    <w:rsid w:val="00B96035"/>
    <w:rsid w:val="00B978D1"/>
    <w:rsid w:val="00BA5F5B"/>
    <w:rsid w:val="00BC2901"/>
    <w:rsid w:val="00BC43BB"/>
    <w:rsid w:val="00BC4435"/>
    <w:rsid w:val="00BC4B48"/>
    <w:rsid w:val="00BD1A28"/>
    <w:rsid w:val="00BE45B8"/>
    <w:rsid w:val="00BE7ACC"/>
    <w:rsid w:val="00C00038"/>
    <w:rsid w:val="00C122AD"/>
    <w:rsid w:val="00C14D83"/>
    <w:rsid w:val="00C16565"/>
    <w:rsid w:val="00C253B3"/>
    <w:rsid w:val="00C3163F"/>
    <w:rsid w:val="00C31C3D"/>
    <w:rsid w:val="00C37609"/>
    <w:rsid w:val="00C408BD"/>
    <w:rsid w:val="00C5362F"/>
    <w:rsid w:val="00C66BF4"/>
    <w:rsid w:val="00C7381E"/>
    <w:rsid w:val="00C7410B"/>
    <w:rsid w:val="00C76B3A"/>
    <w:rsid w:val="00C77B1C"/>
    <w:rsid w:val="00C92850"/>
    <w:rsid w:val="00C92C2F"/>
    <w:rsid w:val="00C933AD"/>
    <w:rsid w:val="00C97A7F"/>
    <w:rsid w:val="00CA3102"/>
    <w:rsid w:val="00CB0281"/>
    <w:rsid w:val="00CB32C0"/>
    <w:rsid w:val="00CB490F"/>
    <w:rsid w:val="00CD1EC9"/>
    <w:rsid w:val="00CD4751"/>
    <w:rsid w:val="00CE1BAE"/>
    <w:rsid w:val="00CE6AEF"/>
    <w:rsid w:val="00CF09B7"/>
    <w:rsid w:val="00CF1645"/>
    <w:rsid w:val="00CF5AC6"/>
    <w:rsid w:val="00D05E9C"/>
    <w:rsid w:val="00D13105"/>
    <w:rsid w:val="00D15E8F"/>
    <w:rsid w:val="00D20C2F"/>
    <w:rsid w:val="00D223A8"/>
    <w:rsid w:val="00D22AD4"/>
    <w:rsid w:val="00D2308C"/>
    <w:rsid w:val="00D3079F"/>
    <w:rsid w:val="00D332EE"/>
    <w:rsid w:val="00D50168"/>
    <w:rsid w:val="00D50A18"/>
    <w:rsid w:val="00D51144"/>
    <w:rsid w:val="00D535C2"/>
    <w:rsid w:val="00D656F8"/>
    <w:rsid w:val="00D670E7"/>
    <w:rsid w:val="00D82CA8"/>
    <w:rsid w:val="00D84054"/>
    <w:rsid w:val="00D9195F"/>
    <w:rsid w:val="00D96433"/>
    <w:rsid w:val="00D97487"/>
    <w:rsid w:val="00D97A76"/>
    <w:rsid w:val="00DA02FD"/>
    <w:rsid w:val="00DA7367"/>
    <w:rsid w:val="00DB09DC"/>
    <w:rsid w:val="00DC584A"/>
    <w:rsid w:val="00DD3095"/>
    <w:rsid w:val="00DD34DD"/>
    <w:rsid w:val="00DD4674"/>
    <w:rsid w:val="00DD5B40"/>
    <w:rsid w:val="00DD6254"/>
    <w:rsid w:val="00DE0630"/>
    <w:rsid w:val="00DE4B07"/>
    <w:rsid w:val="00DE75BA"/>
    <w:rsid w:val="00E00BE5"/>
    <w:rsid w:val="00E02E38"/>
    <w:rsid w:val="00E03BC1"/>
    <w:rsid w:val="00E2115B"/>
    <w:rsid w:val="00E23695"/>
    <w:rsid w:val="00E27E28"/>
    <w:rsid w:val="00E36A39"/>
    <w:rsid w:val="00E54AD4"/>
    <w:rsid w:val="00E57192"/>
    <w:rsid w:val="00E60EC4"/>
    <w:rsid w:val="00E65E66"/>
    <w:rsid w:val="00E67DAA"/>
    <w:rsid w:val="00E81843"/>
    <w:rsid w:val="00E81F6B"/>
    <w:rsid w:val="00E922A8"/>
    <w:rsid w:val="00ED5DD2"/>
    <w:rsid w:val="00ED6937"/>
    <w:rsid w:val="00EE2418"/>
    <w:rsid w:val="00EF0590"/>
    <w:rsid w:val="00EF738F"/>
    <w:rsid w:val="00F05456"/>
    <w:rsid w:val="00F17A23"/>
    <w:rsid w:val="00F45427"/>
    <w:rsid w:val="00F52029"/>
    <w:rsid w:val="00F53E5E"/>
    <w:rsid w:val="00F54971"/>
    <w:rsid w:val="00F55377"/>
    <w:rsid w:val="00F56A9C"/>
    <w:rsid w:val="00F60BED"/>
    <w:rsid w:val="00F71B20"/>
    <w:rsid w:val="00F74A0F"/>
    <w:rsid w:val="00F76369"/>
    <w:rsid w:val="00F81BE3"/>
    <w:rsid w:val="00F965FE"/>
    <w:rsid w:val="00FB0796"/>
    <w:rsid w:val="00FC398F"/>
    <w:rsid w:val="00FC587F"/>
    <w:rsid w:val="00FC6947"/>
    <w:rsid w:val="00FD0A63"/>
    <w:rsid w:val="00FD7D0E"/>
    <w:rsid w:val="00FE0252"/>
    <w:rsid w:val="00FE36B0"/>
    <w:rsid w:val="00FF323A"/>
    <w:rsid w:val="00FF7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450F"/>
  <w15:docId w15:val="{F6A46E70-D357-4050-B682-7E7CFD91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63CB"/>
    <w:pPr>
      <w:spacing w:after="0"/>
    </w:pPr>
    <w:rPr>
      <w:rFonts w:ascii="Tahoma" w:hAnsi="Tahoma"/>
      <w:sz w:val="20"/>
    </w:rPr>
  </w:style>
  <w:style w:type="paragraph" w:styleId="Nadpis1">
    <w:name w:val="heading 1"/>
    <w:basedOn w:val="Normln"/>
    <w:next w:val="Normln"/>
    <w:link w:val="Nadpis1Char"/>
    <w:qFormat/>
    <w:rsid w:val="00A968BA"/>
    <w:pPr>
      <w:keepNext/>
      <w:numPr>
        <w:numId w:val="2"/>
      </w:numPr>
      <w:spacing w:before="240" w:after="60" w:line="240" w:lineRule="auto"/>
      <w:jc w:val="center"/>
      <w:outlineLvl w:val="0"/>
    </w:pPr>
    <w:rPr>
      <w:rFonts w:ascii="Arial" w:eastAsia="Times New Roman" w:hAnsi="Arial" w:cs="Arial"/>
      <w:b/>
      <w:bCs/>
      <w:kern w:val="32"/>
      <w:sz w:val="36"/>
      <w:szCs w:val="32"/>
      <w:lang w:eastAsia="cs-CZ"/>
    </w:rPr>
  </w:style>
  <w:style w:type="paragraph" w:styleId="Nadpis2">
    <w:name w:val="heading 2"/>
    <w:basedOn w:val="Normln"/>
    <w:next w:val="Normln"/>
    <w:link w:val="Nadpis2Char"/>
    <w:qFormat/>
    <w:rsid w:val="00A968BA"/>
    <w:pPr>
      <w:keepNext/>
      <w:numPr>
        <w:ilvl w:val="1"/>
        <w:numId w:val="2"/>
      </w:numPr>
      <w:spacing w:before="240" w:after="60" w:line="240" w:lineRule="auto"/>
      <w:jc w:val="center"/>
      <w:outlineLvl w:val="1"/>
    </w:pPr>
    <w:rPr>
      <w:rFonts w:ascii="Arial" w:eastAsia="Times New Roman" w:hAnsi="Arial" w:cs="Arial"/>
      <w:b/>
      <w:bCs/>
      <w:iCs/>
      <w:smallCaps/>
      <w:sz w:val="24"/>
      <w:szCs w:val="28"/>
      <w:lang w:eastAsia="cs-CZ"/>
    </w:rPr>
  </w:style>
  <w:style w:type="paragraph" w:styleId="Nadpis3">
    <w:name w:val="heading 3"/>
    <w:basedOn w:val="Normln"/>
    <w:next w:val="Normln"/>
    <w:link w:val="Nadpis3Char"/>
    <w:qFormat/>
    <w:rsid w:val="00A968BA"/>
    <w:pPr>
      <w:keepLines/>
      <w:numPr>
        <w:ilvl w:val="2"/>
        <w:numId w:val="2"/>
      </w:numPr>
      <w:tabs>
        <w:tab w:val="clear" w:pos="1288"/>
        <w:tab w:val="num" w:pos="8375"/>
      </w:tabs>
      <w:spacing w:line="240" w:lineRule="auto"/>
      <w:ind w:left="8375"/>
      <w:outlineLvl w:val="2"/>
    </w:pPr>
    <w:rPr>
      <w:rFonts w:ascii="Times New Roman" w:eastAsia="Times New Roman" w:hAnsi="Times New Roman" w:cs="Arial"/>
      <w:bCs/>
      <w:w w:val="90"/>
      <w:szCs w:val="26"/>
      <w:lang w:eastAsia="cs-CZ"/>
    </w:rPr>
  </w:style>
  <w:style w:type="paragraph" w:styleId="Nadpis5">
    <w:name w:val="heading 5"/>
    <w:basedOn w:val="Normln"/>
    <w:next w:val="Normln"/>
    <w:link w:val="Nadpis5Char"/>
    <w:qFormat/>
    <w:rsid w:val="002C1746"/>
    <w:pPr>
      <w:numPr>
        <w:ilvl w:val="4"/>
        <w:numId w:val="3"/>
      </w:numPr>
      <w:spacing w:before="240" w:after="60" w:line="240" w:lineRule="auto"/>
      <w:outlineLvl w:val="4"/>
    </w:pPr>
    <w:rPr>
      <w:rFonts w:ascii="Times New Roman" w:eastAsia="Times New Roman" w:hAnsi="Times New Roman" w:cs="Times New Roman"/>
      <w:b/>
      <w:bCs/>
      <w:i/>
      <w:iCs/>
      <w:w w:val="90"/>
      <w:sz w:val="26"/>
      <w:szCs w:val="26"/>
      <w:lang w:eastAsia="cs-CZ"/>
    </w:rPr>
  </w:style>
  <w:style w:type="paragraph" w:styleId="Nadpis6">
    <w:name w:val="heading 6"/>
    <w:basedOn w:val="Normln"/>
    <w:next w:val="Normln"/>
    <w:link w:val="Nadpis6Char"/>
    <w:qFormat/>
    <w:rsid w:val="002C1746"/>
    <w:pPr>
      <w:numPr>
        <w:ilvl w:val="5"/>
        <w:numId w:val="3"/>
      </w:numPr>
      <w:spacing w:before="240" w:after="60" w:line="240" w:lineRule="auto"/>
      <w:outlineLvl w:val="5"/>
    </w:pPr>
    <w:rPr>
      <w:rFonts w:ascii="Times New Roman" w:eastAsia="Times New Roman" w:hAnsi="Times New Roman" w:cs="Times New Roman"/>
      <w:b/>
      <w:bCs/>
      <w:w w:val="90"/>
      <w:lang w:eastAsia="cs-CZ"/>
    </w:rPr>
  </w:style>
  <w:style w:type="paragraph" w:styleId="Nadpis7">
    <w:name w:val="heading 7"/>
    <w:basedOn w:val="Normln"/>
    <w:next w:val="Normln"/>
    <w:link w:val="Nadpis7Char"/>
    <w:qFormat/>
    <w:rsid w:val="002C1746"/>
    <w:pPr>
      <w:numPr>
        <w:ilvl w:val="6"/>
        <w:numId w:val="3"/>
      </w:numPr>
      <w:spacing w:before="240" w:after="60" w:line="240" w:lineRule="auto"/>
      <w:outlineLvl w:val="6"/>
    </w:pPr>
    <w:rPr>
      <w:rFonts w:ascii="Times New Roman" w:eastAsia="Times New Roman" w:hAnsi="Times New Roman" w:cs="Times New Roman"/>
      <w:w w:val="90"/>
      <w:szCs w:val="24"/>
      <w:lang w:eastAsia="cs-CZ"/>
    </w:rPr>
  </w:style>
  <w:style w:type="paragraph" w:styleId="Nadpis8">
    <w:name w:val="heading 8"/>
    <w:basedOn w:val="Normln"/>
    <w:next w:val="Normln"/>
    <w:link w:val="Nadpis8Char"/>
    <w:qFormat/>
    <w:rsid w:val="002C1746"/>
    <w:pPr>
      <w:numPr>
        <w:ilvl w:val="7"/>
        <w:numId w:val="3"/>
      </w:numPr>
      <w:spacing w:before="240" w:after="60" w:line="240" w:lineRule="auto"/>
      <w:outlineLvl w:val="7"/>
    </w:pPr>
    <w:rPr>
      <w:rFonts w:ascii="Times New Roman" w:eastAsia="Times New Roman" w:hAnsi="Times New Roman" w:cs="Times New Roman"/>
      <w:i/>
      <w:iCs/>
      <w:w w:val="90"/>
      <w:szCs w:val="24"/>
      <w:lang w:eastAsia="cs-CZ"/>
    </w:rPr>
  </w:style>
  <w:style w:type="paragraph" w:styleId="Nadpis9">
    <w:name w:val="heading 9"/>
    <w:basedOn w:val="Normln"/>
    <w:next w:val="Normln"/>
    <w:link w:val="Nadpis9Char"/>
    <w:qFormat/>
    <w:rsid w:val="002C1746"/>
    <w:pPr>
      <w:numPr>
        <w:ilvl w:val="8"/>
        <w:numId w:val="3"/>
      </w:numPr>
      <w:spacing w:before="240" w:after="60" w:line="240" w:lineRule="auto"/>
      <w:outlineLvl w:val="8"/>
    </w:pPr>
    <w:rPr>
      <w:rFonts w:ascii="Arial" w:eastAsia="Times New Roman" w:hAnsi="Arial" w:cs="Arial"/>
      <w:w w:val="9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1slovantext">
    <w:name w:val="1.1 Číslovaný text"/>
    <w:basedOn w:val="Normln"/>
    <w:link w:val="11slovantextChar"/>
    <w:rsid w:val="009663CB"/>
    <w:pPr>
      <w:numPr>
        <w:ilvl w:val="1"/>
        <w:numId w:val="1"/>
      </w:numPr>
      <w:spacing w:after="120" w:line="280" w:lineRule="atLeast"/>
      <w:jc w:val="both"/>
    </w:pPr>
    <w:rPr>
      <w:rFonts w:eastAsia="Times New Roman" w:cs="Times New Roman"/>
      <w:szCs w:val="24"/>
      <w:lang w:eastAsia="cs-CZ"/>
    </w:rPr>
  </w:style>
  <w:style w:type="character" w:customStyle="1" w:styleId="11slovantextChar">
    <w:name w:val="1.1 Číslovaný text Char"/>
    <w:basedOn w:val="Standardnpsmoodstavce"/>
    <w:link w:val="11slovantext"/>
    <w:rsid w:val="009663CB"/>
    <w:rPr>
      <w:rFonts w:ascii="Tahoma" w:eastAsia="Times New Roman" w:hAnsi="Tahoma" w:cs="Times New Roman"/>
      <w:sz w:val="20"/>
      <w:szCs w:val="24"/>
      <w:lang w:eastAsia="cs-CZ"/>
    </w:rPr>
  </w:style>
  <w:style w:type="paragraph" w:customStyle="1" w:styleId="1lneksmlouvy">
    <w:name w:val="1 Článek smlouvy"/>
    <w:basedOn w:val="Normln"/>
    <w:next w:val="11slovantext"/>
    <w:link w:val="1lneksmlouvyChar"/>
    <w:rsid w:val="009663CB"/>
    <w:pPr>
      <w:keepNext/>
      <w:numPr>
        <w:numId w:val="1"/>
      </w:numPr>
      <w:suppressAutoHyphens/>
      <w:spacing w:before="360" w:after="240" w:line="240" w:lineRule="auto"/>
      <w:jc w:val="both"/>
      <w:outlineLvl w:val="0"/>
    </w:pPr>
    <w:rPr>
      <w:rFonts w:eastAsia="Times New Roman" w:cs="Times New Roman"/>
      <w:b/>
      <w:caps/>
      <w:spacing w:val="6"/>
      <w:sz w:val="24"/>
      <w:szCs w:val="24"/>
    </w:rPr>
  </w:style>
  <w:style w:type="character" w:customStyle="1" w:styleId="1lneksmlouvyChar">
    <w:name w:val="1 Článek smlouvy Char"/>
    <w:basedOn w:val="Standardnpsmoodstavce"/>
    <w:link w:val="1lneksmlouvy"/>
    <w:rsid w:val="009663CB"/>
    <w:rPr>
      <w:rFonts w:ascii="Tahoma" w:eastAsia="Times New Roman" w:hAnsi="Tahoma" w:cs="Times New Roman"/>
      <w:b/>
      <w:caps/>
      <w:spacing w:val="6"/>
      <w:sz w:val="24"/>
      <w:szCs w:val="24"/>
    </w:rPr>
  </w:style>
  <w:style w:type="paragraph" w:styleId="Zhlav">
    <w:name w:val="header"/>
    <w:basedOn w:val="Normln"/>
    <w:link w:val="ZhlavChar"/>
    <w:uiPriority w:val="99"/>
    <w:unhideWhenUsed/>
    <w:rsid w:val="0055008B"/>
    <w:pPr>
      <w:tabs>
        <w:tab w:val="center" w:pos="4536"/>
        <w:tab w:val="right" w:pos="9072"/>
      </w:tabs>
      <w:spacing w:line="240" w:lineRule="auto"/>
    </w:pPr>
    <w:rPr>
      <w:rFonts w:ascii="Calibri" w:eastAsia="Calibri" w:hAnsi="Calibri" w:cs="Times New Roman"/>
      <w:szCs w:val="20"/>
      <w:lang w:eastAsia="cs-CZ"/>
    </w:rPr>
  </w:style>
  <w:style w:type="character" w:customStyle="1" w:styleId="ZhlavChar">
    <w:name w:val="Záhlaví Char"/>
    <w:basedOn w:val="Standardnpsmoodstavce"/>
    <w:link w:val="Zhlav"/>
    <w:uiPriority w:val="99"/>
    <w:rsid w:val="0055008B"/>
    <w:rPr>
      <w:rFonts w:ascii="Calibri" w:eastAsia="Calibri" w:hAnsi="Calibri" w:cs="Times New Roman"/>
      <w:sz w:val="20"/>
      <w:szCs w:val="20"/>
      <w:lang w:eastAsia="cs-CZ"/>
    </w:rPr>
  </w:style>
  <w:style w:type="paragraph" w:styleId="Zpat">
    <w:name w:val="footer"/>
    <w:basedOn w:val="Normln"/>
    <w:link w:val="ZpatChar"/>
    <w:uiPriority w:val="99"/>
    <w:unhideWhenUsed/>
    <w:rsid w:val="0055008B"/>
    <w:pPr>
      <w:tabs>
        <w:tab w:val="center" w:pos="4536"/>
        <w:tab w:val="right" w:pos="9072"/>
      </w:tabs>
      <w:spacing w:line="240" w:lineRule="auto"/>
    </w:pPr>
    <w:rPr>
      <w:rFonts w:ascii="Calibri" w:eastAsia="Calibri" w:hAnsi="Calibri" w:cs="Times New Roman"/>
      <w:szCs w:val="20"/>
      <w:lang w:eastAsia="cs-CZ"/>
    </w:rPr>
  </w:style>
  <w:style w:type="character" w:customStyle="1" w:styleId="ZpatChar">
    <w:name w:val="Zápatí Char"/>
    <w:basedOn w:val="Standardnpsmoodstavce"/>
    <w:link w:val="Zpat"/>
    <w:uiPriority w:val="99"/>
    <w:rsid w:val="0055008B"/>
    <w:rPr>
      <w:rFonts w:ascii="Calibri" w:eastAsia="Calibri" w:hAnsi="Calibri" w:cs="Times New Roman"/>
      <w:sz w:val="20"/>
      <w:szCs w:val="20"/>
      <w:lang w:eastAsia="cs-CZ"/>
    </w:rPr>
  </w:style>
  <w:style w:type="paragraph" w:customStyle="1" w:styleId="Identifikacefirem">
    <w:name w:val="Identifikace firem"/>
    <w:basedOn w:val="Normln"/>
    <w:rsid w:val="009663CB"/>
    <w:pPr>
      <w:spacing w:line="360" w:lineRule="auto"/>
    </w:pPr>
    <w:rPr>
      <w:rFonts w:eastAsia="Times New Roman" w:cs="Times New Roman"/>
      <w:w w:val="90"/>
      <w:szCs w:val="24"/>
      <w:lang w:eastAsia="cs-CZ"/>
    </w:rPr>
  </w:style>
  <w:style w:type="character" w:styleId="Odkaznakoment">
    <w:name w:val="annotation reference"/>
    <w:basedOn w:val="Standardnpsmoodstavce"/>
    <w:uiPriority w:val="99"/>
    <w:semiHidden/>
    <w:unhideWhenUsed/>
    <w:rsid w:val="0055008B"/>
    <w:rPr>
      <w:sz w:val="16"/>
      <w:szCs w:val="16"/>
    </w:rPr>
  </w:style>
  <w:style w:type="paragraph" w:styleId="Textkomente">
    <w:name w:val="annotation text"/>
    <w:basedOn w:val="Normln"/>
    <w:link w:val="TextkomenteChar"/>
    <w:uiPriority w:val="99"/>
    <w:semiHidden/>
    <w:unhideWhenUsed/>
    <w:rsid w:val="0055008B"/>
    <w:pPr>
      <w:spacing w:line="240" w:lineRule="auto"/>
    </w:pPr>
    <w:rPr>
      <w:szCs w:val="20"/>
    </w:rPr>
  </w:style>
  <w:style w:type="character" w:customStyle="1" w:styleId="TextkomenteChar">
    <w:name w:val="Text komentáře Char"/>
    <w:basedOn w:val="Standardnpsmoodstavce"/>
    <w:link w:val="Textkomente"/>
    <w:uiPriority w:val="99"/>
    <w:semiHidden/>
    <w:rsid w:val="0055008B"/>
    <w:rPr>
      <w:sz w:val="20"/>
      <w:szCs w:val="20"/>
    </w:rPr>
  </w:style>
  <w:style w:type="paragraph" w:styleId="Textbubliny">
    <w:name w:val="Balloon Text"/>
    <w:basedOn w:val="Normln"/>
    <w:link w:val="TextbublinyChar"/>
    <w:uiPriority w:val="99"/>
    <w:semiHidden/>
    <w:unhideWhenUsed/>
    <w:rsid w:val="0055008B"/>
    <w:pPr>
      <w:spacing w:line="240" w:lineRule="auto"/>
    </w:pPr>
    <w:rPr>
      <w:rFonts w:cs="Tahoma"/>
      <w:sz w:val="16"/>
      <w:szCs w:val="16"/>
    </w:rPr>
  </w:style>
  <w:style w:type="character" w:customStyle="1" w:styleId="TextbublinyChar">
    <w:name w:val="Text bubliny Char"/>
    <w:basedOn w:val="Standardnpsmoodstavce"/>
    <w:link w:val="Textbubliny"/>
    <w:uiPriority w:val="99"/>
    <w:semiHidden/>
    <w:rsid w:val="0055008B"/>
    <w:rPr>
      <w:rFonts w:ascii="Tahoma" w:hAnsi="Tahoma" w:cs="Tahoma"/>
      <w:sz w:val="16"/>
      <w:szCs w:val="16"/>
    </w:rPr>
  </w:style>
  <w:style w:type="character" w:customStyle="1" w:styleId="Nadpis1Char">
    <w:name w:val="Nadpis 1 Char"/>
    <w:basedOn w:val="Standardnpsmoodstavce"/>
    <w:link w:val="Nadpis1"/>
    <w:rsid w:val="00A968BA"/>
    <w:rPr>
      <w:rFonts w:ascii="Arial" w:eastAsia="Times New Roman" w:hAnsi="Arial" w:cs="Arial"/>
      <w:b/>
      <w:bCs/>
      <w:kern w:val="32"/>
      <w:sz w:val="36"/>
      <w:szCs w:val="32"/>
      <w:lang w:eastAsia="cs-CZ"/>
    </w:rPr>
  </w:style>
  <w:style w:type="character" w:customStyle="1" w:styleId="Nadpis2Char">
    <w:name w:val="Nadpis 2 Char"/>
    <w:basedOn w:val="Standardnpsmoodstavce"/>
    <w:link w:val="Nadpis2"/>
    <w:rsid w:val="00A968BA"/>
    <w:rPr>
      <w:rFonts w:ascii="Arial" w:eastAsia="Times New Roman" w:hAnsi="Arial" w:cs="Arial"/>
      <w:b/>
      <w:bCs/>
      <w:iCs/>
      <w:smallCaps/>
      <w:sz w:val="24"/>
      <w:szCs w:val="28"/>
      <w:lang w:eastAsia="cs-CZ"/>
    </w:rPr>
  </w:style>
  <w:style w:type="character" w:customStyle="1" w:styleId="Nadpis3Char">
    <w:name w:val="Nadpis 3 Char"/>
    <w:basedOn w:val="Standardnpsmoodstavce"/>
    <w:link w:val="Nadpis3"/>
    <w:rsid w:val="00A968BA"/>
    <w:rPr>
      <w:rFonts w:ascii="Times New Roman" w:eastAsia="Times New Roman" w:hAnsi="Times New Roman" w:cs="Arial"/>
      <w:bCs/>
      <w:w w:val="90"/>
      <w:sz w:val="20"/>
      <w:szCs w:val="26"/>
      <w:lang w:eastAsia="cs-CZ"/>
    </w:rPr>
  </w:style>
  <w:style w:type="character" w:customStyle="1" w:styleId="Nadpis5Char">
    <w:name w:val="Nadpis 5 Char"/>
    <w:basedOn w:val="Standardnpsmoodstavce"/>
    <w:link w:val="Nadpis5"/>
    <w:rsid w:val="002C1746"/>
    <w:rPr>
      <w:rFonts w:ascii="Times New Roman" w:eastAsia="Times New Roman" w:hAnsi="Times New Roman" w:cs="Times New Roman"/>
      <w:b/>
      <w:bCs/>
      <w:i/>
      <w:iCs/>
      <w:w w:val="90"/>
      <w:sz w:val="26"/>
      <w:szCs w:val="26"/>
      <w:lang w:eastAsia="cs-CZ"/>
    </w:rPr>
  </w:style>
  <w:style w:type="character" w:customStyle="1" w:styleId="Nadpis6Char">
    <w:name w:val="Nadpis 6 Char"/>
    <w:basedOn w:val="Standardnpsmoodstavce"/>
    <w:link w:val="Nadpis6"/>
    <w:rsid w:val="002C1746"/>
    <w:rPr>
      <w:rFonts w:ascii="Times New Roman" w:eastAsia="Times New Roman" w:hAnsi="Times New Roman" w:cs="Times New Roman"/>
      <w:b/>
      <w:bCs/>
      <w:w w:val="90"/>
      <w:sz w:val="20"/>
      <w:lang w:eastAsia="cs-CZ"/>
    </w:rPr>
  </w:style>
  <w:style w:type="character" w:customStyle="1" w:styleId="Nadpis7Char">
    <w:name w:val="Nadpis 7 Char"/>
    <w:basedOn w:val="Standardnpsmoodstavce"/>
    <w:link w:val="Nadpis7"/>
    <w:rsid w:val="002C1746"/>
    <w:rPr>
      <w:rFonts w:ascii="Times New Roman" w:eastAsia="Times New Roman" w:hAnsi="Times New Roman" w:cs="Times New Roman"/>
      <w:w w:val="90"/>
      <w:sz w:val="20"/>
      <w:szCs w:val="24"/>
      <w:lang w:eastAsia="cs-CZ"/>
    </w:rPr>
  </w:style>
  <w:style w:type="character" w:customStyle="1" w:styleId="Nadpis8Char">
    <w:name w:val="Nadpis 8 Char"/>
    <w:basedOn w:val="Standardnpsmoodstavce"/>
    <w:link w:val="Nadpis8"/>
    <w:rsid w:val="002C1746"/>
    <w:rPr>
      <w:rFonts w:ascii="Times New Roman" w:eastAsia="Times New Roman" w:hAnsi="Times New Roman" w:cs="Times New Roman"/>
      <w:i/>
      <w:iCs/>
      <w:w w:val="90"/>
      <w:sz w:val="20"/>
      <w:szCs w:val="24"/>
      <w:lang w:eastAsia="cs-CZ"/>
    </w:rPr>
  </w:style>
  <w:style w:type="character" w:customStyle="1" w:styleId="Nadpis9Char">
    <w:name w:val="Nadpis 9 Char"/>
    <w:basedOn w:val="Standardnpsmoodstavce"/>
    <w:link w:val="Nadpis9"/>
    <w:rsid w:val="002C1746"/>
    <w:rPr>
      <w:rFonts w:ascii="Arial" w:eastAsia="Times New Roman" w:hAnsi="Arial" w:cs="Arial"/>
      <w:w w:val="90"/>
      <w:sz w:val="20"/>
      <w:lang w:eastAsia="cs-CZ"/>
    </w:rPr>
  </w:style>
  <w:style w:type="paragraph" w:styleId="Zkladntext">
    <w:name w:val="Body Text"/>
    <w:basedOn w:val="Normln"/>
    <w:link w:val="ZkladntextChar"/>
    <w:semiHidden/>
    <w:rsid w:val="002C1746"/>
    <w:pPr>
      <w:spacing w:after="120" w:line="240" w:lineRule="auto"/>
    </w:pPr>
    <w:rPr>
      <w:rFonts w:ascii="Times New Roman" w:eastAsia="Times New Roman" w:hAnsi="Times New Roman" w:cs="Times New Roman"/>
      <w:w w:val="90"/>
      <w:szCs w:val="24"/>
      <w:lang w:eastAsia="cs-CZ"/>
    </w:rPr>
  </w:style>
  <w:style w:type="character" w:customStyle="1" w:styleId="ZkladntextChar">
    <w:name w:val="Základní text Char"/>
    <w:basedOn w:val="Standardnpsmoodstavce"/>
    <w:link w:val="Zkladntext"/>
    <w:semiHidden/>
    <w:rsid w:val="002C1746"/>
    <w:rPr>
      <w:rFonts w:ascii="Times New Roman" w:eastAsia="Times New Roman" w:hAnsi="Times New Roman" w:cs="Times New Roman"/>
      <w:w w:val="90"/>
      <w:szCs w:val="24"/>
      <w:lang w:eastAsia="cs-CZ"/>
    </w:rPr>
  </w:style>
  <w:style w:type="paragraph" w:styleId="Pedmtkomente">
    <w:name w:val="annotation subject"/>
    <w:basedOn w:val="Textkomente"/>
    <w:next w:val="Textkomente"/>
    <w:link w:val="PedmtkomenteChar"/>
    <w:uiPriority w:val="99"/>
    <w:semiHidden/>
    <w:unhideWhenUsed/>
    <w:rsid w:val="00D50A18"/>
    <w:rPr>
      <w:b/>
      <w:bCs/>
    </w:rPr>
  </w:style>
  <w:style w:type="character" w:customStyle="1" w:styleId="PedmtkomenteChar">
    <w:name w:val="Předmět komentáře Char"/>
    <w:basedOn w:val="TextkomenteChar"/>
    <w:link w:val="Pedmtkomente"/>
    <w:uiPriority w:val="99"/>
    <w:semiHidden/>
    <w:rsid w:val="00D50A18"/>
    <w:rPr>
      <w:b/>
      <w:bCs/>
      <w:sz w:val="20"/>
      <w:szCs w:val="20"/>
    </w:rPr>
  </w:style>
  <w:style w:type="paragraph" w:styleId="Odstavecseseznamem">
    <w:name w:val="List Paragraph"/>
    <w:basedOn w:val="Normln"/>
    <w:uiPriority w:val="34"/>
    <w:qFormat/>
    <w:rsid w:val="003836C3"/>
    <w:pPr>
      <w:ind w:left="720"/>
      <w:contextualSpacing/>
    </w:pPr>
  </w:style>
  <w:style w:type="character" w:customStyle="1" w:styleId="apple-converted-space">
    <w:name w:val="apple-converted-space"/>
    <w:basedOn w:val="Standardnpsmoodstavce"/>
    <w:rsid w:val="002B0A9C"/>
  </w:style>
  <w:style w:type="table" w:styleId="Mkatabulky">
    <w:name w:val="Table Grid"/>
    <w:basedOn w:val="Normlntabulka"/>
    <w:uiPriority w:val="59"/>
    <w:rsid w:val="006438C5"/>
    <w:pPr>
      <w:spacing w:after="0" w:line="240" w:lineRule="auto"/>
    </w:pPr>
    <w:rPr>
      <w:rFonts w:ascii="Arial" w:eastAsia="Calibri" w:hAnsi="Arial"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tabulka">
    <w:name w:val="Normální-tabulka"/>
    <w:basedOn w:val="Normln"/>
    <w:qFormat/>
    <w:rsid w:val="006438C5"/>
    <w:pPr>
      <w:spacing w:before="120" w:after="120" w:line="288" w:lineRule="auto"/>
    </w:pPr>
    <w:rPr>
      <w:rFonts w:ascii="Arial" w:eastAsia="Calibri" w:hAnsi="Arial" w:cs="Times New Roman"/>
    </w:rPr>
  </w:style>
  <w:style w:type="numbering" w:customStyle="1" w:styleId="Styl1">
    <w:name w:val="Styl1"/>
    <w:uiPriority w:val="99"/>
    <w:rsid w:val="006438C5"/>
    <w:pPr>
      <w:numPr>
        <w:numId w:val="5"/>
      </w:numPr>
    </w:pPr>
  </w:style>
  <w:style w:type="character" w:customStyle="1" w:styleId="longtext1">
    <w:name w:val="long_text1"/>
    <w:basedOn w:val="Standardnpsmoodstavce"/>
    <w:rsid w:val="00D20C2F"/>
    <w:rPr>
      <w:sz w:val="22"/>
      <w:szCs w:val="22"/>
    </w:rPr>
  </w:style>
  <w:style w:type="paragraph" w:styleId="Zkladntextodsazen">
    <w:name w:val="Body Text Indent"/>
    <w:basedOn w:val="Normln"/>
    <w:link w:val="ZkladntextodsazenChar"/>
    <w:uiPriority w:val="99"/>
    <w:unhideWhenUsed/>
    <w:rsid w:val="006C2EF3"/>
    <w:pPr>
      <w:spacing w:after="120"/>
      <w:ind w:left="283"/>
    </w:pPr>
  </w:style>
  <w:style w:type="character" w:customStyle="1" w:styleId="ZkladntextodsazenChar">
    <w:name w:val="Základní text odsazený Char"/>
    <w:basedOn w:val="Standardnpsmoodstavce"/>
    <w:link w:val="Zkladntextodsazen"/>
    <w:uiPriority w:val="99"/>
    <w:rsid w:val="006C2EF3"/>
    <w:rPr>
      <w:rFonts w:ascii="Tahoma" w:hAnsi="Tahoma"/>
      <w:sz w:val="20"/>
    </w:rPr>
  </w:style>
  <w:style w:type="character" w:styleId="Hypertextovodkaz">
    <w:name w:val="Hyperlink"/>
    <w:basedOn w:val="Standardnpsmoodstavce"/>
    <w:unhideWhenUsed/>
    <w:rsid w:val="005F0E3C"/>
    <w:rPr>
      <w:color w:val="0000FF" w:themeColor="hyperlink"/>
      <w:u w:val="single"/>
    </w:rPr>
  </w:style>
  <w:style w:type="paragraph" w:styleId="Normlnweb">
    <w:name w:val="Normal (Web)"/>
    <w:basedOn w:val="Normln"/>
    <w:uiPriority w:val="99"/>
    <w:semiHidden/>
    <w:unhideWhenUsed/>
    <w:rsid w:val="00951A65"/>
    <w:rPr>
      <w:rFonts w:ascii="Times New Roman" w:hAnsi="Times New Roman" w:cs="Times New Roman"/>
      <w:sz w:val="24"/>
      <w:szCs w:val="24"/>
    </w:rPr>
  </w:style>
  <w:style w:type="character" w:customStyle="1" w:styleId="nowrap">
    <w:name w:val="nowrap"/>
    <w:basedOn w:val="Standardnpsmoodstavce"/>
    <w:rsid w:val="00EF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8512">
      <w:bodyDiv w:val="1"/>
      <w:marLeft w:val="0"/>
      <w:marRight w:val="0"/>
      <w:marTop w:val="0"/>
      <w:marBottom w:val="0"/>
      <w:divBdr>
        <w:top w:val="none" w:sz="0" w:space="0" w:color="auto"/>
        <w:left w:val="none" w:sz="0" w:space="0" w:color="auto"/>
        <w:bottom w:val="none" w:sz="0" w:space="0" w:color="auto"/>
        <w:right w:val="none" w:sz="0" w:space="0" w:color="auto"/>
      </w:divBdr>
    </w:div>
    <w:div w:id="1025058330">
      <w:bodyDiv w:val="1"/>
      <w:marLeft w:val="0"/>
      <w:marRight w:val="0"/>
      <w:marTop w:val="0"/>
      <w:marBottom w:val="0"/>
      <w:divBdr>
        <w:top w:val="none" w:sz="0" w:space="0" w:color="auto"/>
        <w:left w:val="none" w:sz="0" w:space="0" w:color="auto"/>
        <w:bottom w:val="none" w:sz="0" w:space="0" w:color="auto"/>
        <w:right w:val="none" w:sz="0" w:space="0" w:color="auto"/>
      </w:divBdr>
    </w:div>
    <w:div w:id="1238976813">
      <w:bodyDiv w:val="1"/>
      <w:marLeft w:val="0"/>
      <w:marRight w:val="0"/>
      <w:marTop w:val="0"/>
      <w:marBottom w:val="0"/>
      <w:divBdr>
        <w:top w:val="none" w:sz="0" w:space="0" w:color="auto"/>
        <w:left w:val="none" w:sz="0" w:space="0" w:color="auto"/>
        <w:bottom w:val="none" w:sz="0" w:space="0" w:color="auto"/>
        <w:right w:val="none" w:sz="0" w:space="0" w:color="auto"/>
      </w:divBdr>
    </w:div>
    <w:div w:id="1393308033">
      <w:bodyDiv w:val="1"/>
      <w:marLeft w:val="0"/>
      <w:marRight w:val="0"/>
      <w:marTop w:val="0"/>
      <w:marBottom w:val="0"/>
      <w:divBdr>
        <w:top w:val="none" w:sz="0" w:space="0" w:color="auto"/>
        <w:left w:val="none" w:sz="0" w:space="0" w:color="auto"/>
        <w:bottom w:val="none" w:sz="0" w:space="0" w:color="auto"/>
        <w:right w:val="none" w:sz="0" w:space="0" w:color="auto"/>
      </w:divBdr>
    </w:div>
    <w:div w:id="1419400287">
      <w:bodyDiv w:val="1"/>
      <w:marLeft w:val="0"/>
      <w:marRight w:val="0"/>
      <w:marTop w:val="0"/>
      <w:marBottom w:val="0"/>
      <w:divBdr>
        <w:top w:val="none" w:sz="0" w:space="0" w:color="auto"/>
        <w:left w:val="none" w:sz="0" w:space="0" w:color="auto"/>
        <w:bottom w:val="none" w:sz="0" w:space="0" w:color="auto"/>
        <w:right w:val="none" w:sz="0" w:space="0" w:color="auto"/>
      </w:divBdr>
    </w:div>
    <w:div w:id="1493715230">
      <w:bodyDiv w:val="1"/>
      <w:marLeft w:val="0"/>
      <w:marRight w:val="0"/>
      <w:marTop w:val="0"/>
      <w:marBottom w:val="0"/>
      <w:divBdr>
        <w:top w:val="none" w:sz="0" w:space="0" w:color="auto"/>
        <w:left w:val="none" w:sz="0" w:space="0" w:color="auto"/>
        <w:bottom w:val="none" w:sz="0" w:space="0" w:color="auto"/>
        <w:right w:val="none" w:sz="0" w:space="0" w:color="auto"/>
      </w:divBdr>
    </w:div>
    <w:div w:id="1580212115">
      <w:bodyDiv w:val="1"/>
      <w:marLeft w:val="0"/>
      <w:marRight w:val="0"/>
      <w:marTop w:val="0"/>
      <w:marBottom w:val="0"/>
      <w:divBdr>
        <w:top w:val="none" w:sz="0" w:space="0" w:color="auto"/>
        <w:left w:val="none" w:sz="0" w:space="0" w:color="auto"/>
        <w:bottom w:val="none" w:sz="0" w:space="0" w:color="auto"/>
        <w:right w:val="none" w:sz="0" w:space="0" w:color="auto"/>
      </w:divBdr>
    </w:div>
    <w:div w:id="1762213760">
      <w:bodyDiv w:val="1"/>
      <w:marLeft w:val="0"/>
      <w:marRight w:val="0"/>
      <w:marTop w:val="0"/>
      <w:marBottom w:val="0"/>
      <w:divBdr>
        <w:top w:val="none" w:sz="0" w:space="0" w:color="auto"/>
        <w:left w:val="none" w:sz="0" w:space="0" w:color="auto"/>
        <w:bottom w:val="none" w:sz="0" w:space="0" w:color="auto"/>
        <w:right w:val="none" w:sz="0" w:space="0" w:color="auto"/>
      </w:divBdr>
    </w:div>
    <w:div w:id="1956521500">
      <w:bodyDiv w:val="1"/>
      <w:marLeft w:val="0"/>
      <w:marRight w:val="0"/>
      <w:marTop w:val="0"/>
      <w:marBottom w:val="0"/>
      <w:divBdr>
        <w:top w:val="none" w:sz="0" w:space="0" w:color="auto"/>
        <w:left w:val="none" w:sz="0" w:space="0" w:color="auto"/>
        <w:bottom w:val="none" w:sz="0" w:space="0" w:color="auto"/>
        <w:right w:val="none" w:sz="0" w:space="0" w:color="auto"/>
      </w:divBdr>
    </w:div>
    <w:div w:id="2010593424">
      <w:bodyDiv w:val="1"/>
      <w:marLeft w:val="0"/>
      <w:marRight w:val="0"/>
      <w:marTop w:val="0"/>
      <w:marBottom w:val="0"/>
      <w:divBdr>
        <w:top w:val="none" w:sz="0" w:space="0" w:color="auto"/>
        <w:left w:val="none" w:sz="0" w:space="0" w:color="auto"/>
        <w:bottom w:val="none" w:sz="0" w:space="0" w:color="auto"/>
        <w:right w:val="none" w:sz="0" w:space="0" w:color="auto"/>
      </w:divBdr>
    </w:div>
    <w:div w:id="2029721882">
      <w:bodyDiv w:val="1"/>
      <w:marLeft w:val="0"/>
      <w:marRight w:val="0"/>
      <w:marTop w:val="0"/>
      <w:marBottom w:val="0"/>
      <w:divBdr>
        <w:top w:val="none" w:sz="0" w:space="0" w:color="auto"/>
        <w:left w:val="none" w:sz="0" w:space="0" w:color="auto"/>
        <w:bottom w:val="none" w:sz="0" w:space="0" w:color="auto"/>
        <w:right w:val="none" w:sz="0" w:space="0" w:color="auto"/>
      </w:divBdr>
    </w:div>
    <w:div w:id="2058426496">
      <w:bodyDiv w:val="1"/>
      <w:marLeft w:val="0"/>
      <w:marRight w:val="0"/>
      <w:marTop w:val="0"/>
      <w:marBottom w:val="0"/>
      <w:divBdr>
        <w:top w:val="none" w:sz="0" w:space="0" w:color="auto"/>
        <w:left w:val="none" w:sz="0" w:space="0" w:color="auto"/>
        <w:bottom w:val="none" w:sz="0" w:space="0" w:color="auto"/>
        <w:right w:val="none" w:sz="0" w:space="0" w:color="auto"/>
      </w:divBdr>
    </w:div>
    <w:div w:id="21111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EAF48644A10941850B3D132B5639F0" ma:contentTypeVersion="0" ma:contentTypeDescription="Vytvoří nový dokument" ma:contentTypeScope="" ma:versionID="d7fef574f56e947443051123890a113b">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E679-35E6-4E20-B52D-9C0899E77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88231-0231-465A-B745-5A36CF39451D}">
  <ds:schemaRefs>
    <ds:schemaRef ds:uri="http://schemas.microsoft.com/sharepoint/v3/contenttype/forms"/>
  </ds:schemaRefs>
</ds:datastoreItem>
</file>

<file path=customXml/itemProps3.xml><?xml version="1.0" encoding="utf-8"?>
<ds:datastoreItem xmlns:ds="http://schemas.openxmlformats.org/officeDocument/2006/customXml" ds:itemID="{A279BC12-B01F-4BC9-8322-CC2A421E0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2871F5-2D58-4529-B48B-37D63780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2170</Words>
  <Characters>12807</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Martin Kovaľ</dc:creator>
  <cp:lastModifiedBy>Wichová Alena</cp:lastModifiedBy>
  <cp:revision>2</cp:revision>
  <cp:lastPrinted>2014-06-16T13:40:00Z</cp:lastPrinted>
  <dcterms:created xsi:type="dcterms:W3CDTF">2021-05-14T08:39:00Z</dcterms:created>
  <dcterms:modified xsi:type="dcterms:W3CDTF">2021-05-14T08:39:00Z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0x010100D3EAF48644A10941850B3D132B5639F0</vt:lpwstr>
  </property>
</Properties>
</file>