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7F" w:rsidRDefault="00A6747F" w:rsidP="00A6747F">
      <w:pPr>
        <w:jc w:val="center"/>
        <w:rPr>
          <w:sz w:val="28"/>
          <w:szCs w:val="28"/>
        </w:rPr>
      </w:pPr>
      <w:r>
        <w:rPr>
          <w:sz w:val="28"/>
          <w:szCs w:val="28"/>
        </w:rPr>
        <w:t>SMLOUVA O ODBĚRU OBĚDŮ</w:t>
      </w:r>
    </w:p>
    <w:p w:rsidR="00A6747F" w:rsidRDefault="00A6747F" w:rsidP="00B974F0">
      <w:pPr>
        <w:spacing w:line="240" w:lineRule="atLeast"/>
        <w:rPr>
          <w:sz w:val="24"/>
          <w:szCs w:val="24"/>
        </w:rPr>
      </w:pPr>
    </w:p>
    <w:p w:rsidR="00A6747F" w:rsidRDefault="00A6747F" w:rsidP="00B974F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:rsidR="00B974F0" w:rsidRDefault="00B974F0" w:rsidP="00B974F0">
      <w:pPr>
        <w:spacing w:line="240" w:lineRule="atLeast"/>
        <w:rPr>
          <w:sz w:val="24"/>
          <w:szCs w:val="24"/>
        </w:rPr>
      </w:pPr>
    </w:p>
    <w:p w:rsidR="00A6747F" w:rsidRPr="00CC50FB" w:rsidRDefault="00A6747F" w:rsidP="00B974F0">
      <w:pPr>
        <w:spacing w:line="240" w:lineRule="atLeast"/>
        <w:rPr>
          <w:b/>
          <w:sz w:val="24"/>
          <w:szCs w:val="24"/>
        </w:rPr>
      </w:pPr>
      <w:r w:rsidRPr="00CC50FB">
        <w:rPr>
          <w:b/>
          <w:sz w:val="24"/>
          <w:szCs w:val="24"/>
        </w:rPr>
        <w:t>Slatinné lázně Třeboň s.r.o.</w:t>
      </w:r>
    </w:p>
    <w:p w:rsidR="00A6747F" w:rsidRDefault="00A6747F" w:rsidP="00B974F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IČ: 25179896</w:t>
      </w:r>
    </w:p>
    <w:p w:rsidR="00A6747F" w:rsidRDefault="00A6747F" w:rsidP="00B974F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Sídlo: Lázeňská 1001, 379 01 Třeboň</w:t>
      </w:r>
    </w:p>
    <w:p w:rsidR="00B974F0" w:rsidRDefault="00B974F0" w:rsidP="00B974F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Bankovní spojení</w:t>
      </w:r>
      <w:r w:rsidR="00D919D4">
        <w:rPr>
          <w:sz w:val="24"/>
          <w:szCs w:val="24"/>
        </w:rPr>
        <w:t>:</w:t>
      </w:r>
      <w:r w:rsidR="007524D8">
        <w:rPr>
          <w:sz w:val="24"/>
          <w:szCs w:val="24"/>
        </w:rPr>
        <w:t>4200001807/7940</w:t>
      </w:r>
    </w:p>
    <w:p w:rsidR="00A6747F" w:rsidRDefault="00A6747F" w:rsidP="00B974F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Zástupce: PhDr. Milan Kramárik, jednatel</w:t>
      </w:r>
    </w:p>
    <w:p w:rsidR="00B974F0" w:rsidRDefault="00B974F0" w:rsidP="00B974F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(dále jen „dodavatel“)</w:t>
      </w:r>
    </w:p>
    <w:p w:rsidR="00B974F0" w:rsidRDefault="00B974F0" w:rsidP="00B974F0">
      <w:pPr>
        <w:spacing w:line="240" w:lineRule="atLeast"/>
        <w:rPr>
          <w:sz w:val="24"/>
          <w:szCs w:val="24"/>
        </w:rPr>
      </w:pPr>
    </w:p>
    <w:p w:rsidR="00B974F0" w:rsidRDefault="00B974F0" w:rsidP="00B974F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974F0" w:rsidRDefault="00B974F0" w:rsidP="00B974F0">
      <w:pPr>
        <w:spacing w:line="240" w:lineRule="atLeast"/>
        <w:rPr>
          <w:sz w:val="24"/>
          <w:szCs w:val="24"/>
        </w:rPr>
      </w:pPr>
    </w:p>
    <w:p w:rsidR="00B974F0" w:rsidRPr="00CC50FB" w:rsidRDefault="00D919D4" w:rsidP="00B974F0">
      <w:pPr>
        <w:spacing w:line="240" w:lineRule="atLeast"/>
        <w:rPr>
          <w:b/>
          <w:sz w:val="24"/>
          <w:szCs w:val="24"/>
        </w:rPr>
      </w:pPr>
      <w:r w:rsidRPr="00CC50FB">
        <w:rPr>
          <w:b/>
          <w:sz w:val="24"/>
          <w:szCs w:val="24"/>
        </w:rPr>
        <w:t>Oblastní charita Třeboň</w:t>
      </w:r>
    </w:p>
    <w:p w:rsidR="00D919D4" w:rsidRDefault="00D919D4" w:rsidP="00B974F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IČ: 26520991</w:t>
      </w:r>
    </w:p>
    <w:p w:rsidR="00D919D4" w:rsidRDefault="00D919D4" w:rsidP="00B974F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Sídlo: Chelčického 2, 379 01 Třeboň</w:t>
      </w:r>
    </w:p>
    <w:p w:rsidR="00D919D4" w:rsidRDefault="00D919D4" w:rsidP="00B974F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Zástupce: Mgr. Dana Zavadilová, ředitelka</w:t>
      </w:r>
    </w:p>
    <w:p w:rsidR="00D919D4" w:rsidRDefault="00D919D4" w:rsidP="00B974F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(dále jen „odběratel“)</w:t>
      </w:r>
    </w:p>
    <w:p w:rsidR="00D919D4" w:rsidRDefault="00D919D4" w:rsidP="00B974F0">
      <w:pPr>
        <w:spacing w:line="240" w:lineRule="atLeast"/>
        <w:rPr>
          <w:sz w:val="24"/>
          <w:szCs w:val="24"/>
        </w:rPr>
      </w:pPr>
    </w:p>
    <w:p w:rsidR="00D919D4" w:rsidRDefault="00D919D4" w:rsidP="00D919D4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uzavírají tuto smlouvu:</w:t>
      </w:r>
    </w:p>
    <w:p w:rsidR="00D919D4" w:rsidRDefault="00D919D4" w:rsidP="00D919D4">
      <w:pPr>
        <w:spacing w:line="240" w:lineRule="atLeast"/>
        <w:rPr>
          <w:sz w:val="24"/>
          <w:szCs w:val="24"/>
        </w:rPr>
      </w:pPr>
    </w:p>
    <w:p w:rsidR="00D919D4" w:rsidRDefault="00D919D4" w:rsidP="00D919D4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B06173" w:rsidRDefault="00B06173" w:rsidP="00D919D4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Předmět smlouvy</w:t>
      </w:r>
    </w:p>
    <w:p w:rsidR="00D919D4" w:rsidRDefault="00D919D4" w:rsidP="00CC50F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se zavazuje </w:t>
      </w:r>
      <w:r w:rsidR="00C82FFC">
        <w:rPr>
          <w:sz w:val="24"/>
          <w:szCs w:val="24"/>
        </w:rPr>
        <w:t xml:space="preserve">na základě objednávky odběratele </w:t>
      </w:r>
      <w:r>
        <w:rPr>
          <w:sz w:val="24"/>
          <w:szCs w:val="24"/>
        </w:rPr>
        <w:t xml:space="preserve">dodávat </w:t>
      </w:r>
      <w:r w:rsidR="00C82FFC">
        <w:rPr>
          <w:sz w:val="24"/>
          <w:szCs w:val="24"/>
        </w:rPr>
        <w:t xml:space="preserve">odběrateli </w:t>
      </w:r>
      <w:r w:rsidR="00B06173">
        <w:rPr>
          <w:sz w:val="24"/>
          <w:szCs w:val="24"/>
        </w:rPr>
        <w:t>obědy</w:t>
      </w:r>
      <w:r w:rsidR="00CC50FB">
        <w:rPr>
          <w:sz w:val="24"/>
          <w:szCs w:val="24"/>
        </w:rPr>
        <w:t xml:space="preserve"> </w:t>
      </w:r>
      <w:r w:rsidR="00CC50FB">
        <w:rPr>
          <w:rFonts w:cstheme="minorHAnsi"/>
          <w:sz w:val="24"/>
          <w:szCs w:val="24"/>
        </w:rPr>
        <w:t>v kvalitě odpovídající příslušným hygienickým předpisům</w:t>
      </w:r>
      <w:r w:rsidR="00B06173">
        <w:rPr>
          <w:sz w:val="24"/>
          <w:szCs w:val="24"/>
        </w:rPr>
        <w:t xml:space="preserve"> pro klienty </w:t>
      </w:r>
      <w:r w:rsidR="005E6846">
        <w:rPr>
          <w:sz w:val="24"/>
          <w:szCs w:val="24"/>
        </w:rPr>
        <w:t xml:space="preserve">Pečovatelské služby Astra, kterou odběratel provozuje a to </w:t>
      </w:r>
      <w:r>
        <w:rPr>
          <w:sz w:val="24"/>
          <w:szCs w:val="24"/>
        </w:rPr>
        <w:t xml:space="preserve"> za podmínek upravených touto smlouvou</w:t>
      </w:r>
      <w:r w:rsidR="00B06173">
        <w:rPr>
          <w:sz w:val="24"/>
          <w:szCs w:val="24"/>
        </w:rPr>
        <w:t xml:space="preserve"> a odběratel se zavazuje objednané obědy pro klienty odebírat a </w:t>
      </w:r>
      <w:r w:rsidR="00C82FFC">
        <w:rPr>
          <w:sz w:val="24"/>
          <w:szCs w:val="24"/>
        </w:rPr>
        <w:t>zaplatit jejich cenu</w:t>
      </w:r>
      <w:r w:rsidR="00B06173">
        <w:rPr>
          <w:sz w:val="24"/>
          <w:szCs w:val="24"/>
        </w:rPr>
        <w:t>.</w:t>
      </w:r>
    </w:p>
    <w:p w:rsidR="00B06173" w:rsidRDefault="00B06173" w:rsidP="00B06173">
      <w:pPr>
        <w:spacing w:line="240" w:lineRule="atLeast"/>
        <w:jc w:val="center"/>
        <w:rPr>
          <w:sz w:val="24"/>
          <w:szCs w:val="24"/>
        </w:rPr>
      </w:pPr>
    </w:p>
    <w:p w:rsidR="00B06173" w:rsidRDefault="00B06173" w:rsidP="00B06173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B06173" w:rsidRPr="001A5BA3" w:rsidRDefault="00B06173" w:rsidP="00B06173">
      <w:pPr>
        <w:spacing w:line="240" w:lineRule="atLeast"/>
        <w:jc w:val="center"/>
        <w:rPr>
          <w:rFonts w:cstheme="minorHAnsi"/>
          <w:sz w:val="24"/>
          <w:szCs w:val="24"/>
        </w:rPr>
      </w:pPr>
      <w:r>
        <w:rPr>
          <w:sz w:val="24"/>
          <w:szCs w:val="24"/>
        </w:rPr>
        <w:t>Odběr obědů</w:t>
      </w:r>
    </w:p>
    <w:p w:rsidR="00B06173" w:rsidRDefault="00205781" w:rsidP="00CC50FB">
      <w:pPr>
        <w:pStyle w:val="Odstavecseseznamem"/>
        <w:numPr>
          <w:ilvl w:val="0"/>
          <w:numId w:val="3"/>
        </w:numPr>
        <w:spacing w:line="240" w:lineRule="atLea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 bude odběrateli dodávat obědy 7 dnů v týdnu, včetně státních svátků.</w:t>
      </w:r>
    </w:p>
    <w:p w:rsidR="00205781" w:rsidRPr="001B1B0B" w:rsidRDefault="00205781" w:rsidP="00CC50FB">
      <w:pPr>
        <w:pStyle w:val="Odstavecseseznamem"/>
        <w:numPr>
          <w:ilvl w:val="0"/>
          <w:numId w:val="3"/>
        </w:numPr>
        <w:spacing w:line="240" w:lineRule="atLea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B1B0B">
        <w:rPr>
          <w:rFonts w:asciiTheme="minorHAnsi" w:hAnsiTheme="minorHAnsi" w:cstheme="minorHAnsi"/>
          <w:sz w:val="24"/>
          <w:szCs w:val="24"/>
        </w:rPr>
        <w:t>Obědy budou dodávány v počtu uvedeném v</w:t>
      </w:r>
      <w:r w:rsidR="0044396E" w:rsidRPr="001B1B0B">
        <w:rPr>
          <w:rFonts w:asciiTheme="minorHAnsi" w:hAnsiTheme="minorHAnsi" w:cstheme="minorHAnsi"/>
          <w:sz w:val="24"/>
          <w:szCs w:val="24"/>
        </w:rPr>
        <w:t> </w:t>
      </w:r>
      <w:r w:rsidRPr="001B1B0B">
        <w:rPr>
          <w:rFonts w:asciiTheme="minorHAnsi" w:hAnsiTheme="minorHAnsi" w:cstheme="minorHAnsi"/>
          <w:sz w:val="24"/>
          <w:szCs w:val="24"/>
        </w:rPr>
        <w:t xml:space="preserve">objednávce zaslané odběratelem elektronickou poštou </w:t>
      </w:r>
      <w:r w:rsidR="00304023" w:rsidRPr="001B1B0B">
        <w:rPr>
          <w:rFonts w:asciiTheme="minorHAnsi" w:hAnsiTheme="minorHAnsi" w:cstheme="minorHAnsi"/>
          <w:sz w:val="24"/>
          <w:szCs w:val="24"/>
        </w:rPr>
        <w:t>na adresy</w:t>
      </w:r>
      <w:r w:rsidRPr="001B1B0B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1B1B0B" w:rsidRPr="001B1B0B">
          <w:rPr>
            <w:rStyle w:val="Hypertextovodkaz"/>
            <w:rFonts w:cstheme="minorHAnsi"/>
            <w:sz w:val="24"/>
            <w:szCs w:val="24"/>
          </w:rPr>
          <w:t>petrova@aurora.cz</w:t>
        </w:r>
      </w:hyperlink>
      <w:r w:rsidR="001B1B0B" w:rsidRPr="001B1B0B">
        <w:rPr>
          <w:rFonts w:cstheme="minorHAnsi"/>
          <w:sz w:val="24"/>
          <w:szCs w:val="24"/>
        </w:rPr>
        <w:t>, kuchyne@aurora.cz;cibulka@aurora.cz</w:t>
      </w:r>
      <w:r w:rsidRPr="001B1B0B">
        <w:rPr>
          <w:rFonts w:asciiTheme="minorHAnsi" w:hAnsiTheme="minorHAnsi" w:cstheme="minorHAnsi"/>
          <w:sz w:val="24"/>
          <w:szCs w:val="24"/>
        </w:rPr>
        <w:t xml:space="preserve">. </w:t>
      </w:r>
      <w:r w:rsidR="00374093" w:rsidRPr="001B1B0B">
        <w:rPr>
          <w:rFonts w:asciiTheme="minorHAnsi" w:hAnsiTheme="minorHAnsi" w:cstheme="minorHAnsi"/>
          <w:sz w:val="24"/>
          <w:szCs w:val="24"/>
        </w:rPr>
        <w:t xml:space="preserve">Objednat je možné maximálně 35 obědů denně. </w:t>
      </w:r>
      <w:r w:rsidRPr="001B1B0B">
        <w:rPr>
          <w:rFonts w:asciiTheme="minorHAnsi" w:hAnsiTheme="minorHAnsi" w:cstheme="minorHAnsi"/>
          <w:sz w:val="24"/>
          <w:szCs w:val="24"/>
        </w:rPr>
        <w:t xml:space="preserve">Odběratel bude sdělovat počet </w:t>
      </w:r>
      <w:r w:rsidR="00CC50FB" w:rsidRPr="001B1B0B">
        <w:rPr>
          <w:rFonts w:asciiTheme="minorHAnsi" w:hAnsiTheme="minorHAnsi" w:cstheme="minorHAnsi"/>
          <w:sz w:val="24"/>
          <w:szCs w:val="24"/>
        </w:rPr>
        <w:t xml:space="preserve">obědů </w:t>
      </w:r>
      <w:r w:rsidRPr="001B1B0B">
        <w:rPr>
          <w:rFonts w:asciiTheme="minorHAnsi" w:hAnsiTheme="minorHAnsi" w:cstheme="minorHAnsi"/>
          <w:sz w:val="24"/>
          <w:szCs w:val="24"/>
        </w:rPr>
        <w:t xml:space="preserve">objednaných na následující </w:t>
      </w:r>
      <w:r w:rsidRPr="001B1B0B">
        <w:rPr>
          <w:rFonts w:asciiTheme="minorHAnsi" w:hAnsiTheme="minorHAnsi" w:cstheme="minorHAnsi"/>
          <w:b/>
          <w:sz w:val="24"/>
          <w:szCs w:val="24"/>
        </w:rPr>
        <w:t>kalendářní týden</w:t>
      </w:r>
      <w:r w:rsidR="00374093" w:rsidRPr="001B1B0B">
        <w:rPr>
          <w:rFonts w:asciiTheme="minorHAnsi" w:hAnsiTheme="minorHAnsi" w:cstheme="minorHAnsi"/>
          <w:sz w:val="24"/>
          <w:szCs w:val="24"/>
        </w:rPr>
        <w:t xml:space="preserve"> předem</w:t>
      </w:r>
      <w:r w:rsidRPr="001B1B0B">
        <w:rPr>
          <w:rFonts w:asciiTheme="minorHAnsi" w:hAnsiTheme="minorHAnsi" w:cstheme="minorHAnsi"/>
          <w:sz w:val="24"/>
          <w:szCs w:val="24"/>
        </w:rPr>
        <w:t xml:space="preserve">, a to vždy nejpozději ve čtvrtek do </w:t>
      </w:r>
      <w:r w:rsidR="001B1B0B" w:rsidRPr="001B1B0B">
        <w:rPr>
          <w:rFonts w:asciiTheme="minorHAnsi" w:hAnsiTheme="minorHAnsi" w:cstheme="minorHAnsi"/>
          <w:sz w:val="24"/>
          <w:szCs w:val="24"/>
        </w:rPr>
        <w:t>13,00</w:t>
      </w:r>
      <w:r w:rsidRPr="001B1B0B">
        <w:rPr>
          <w:rFonts w:asciiTheme="minorHAnsi" w:hAnsiTheme="minorHAnsi" w:cstheme="minorHAnsi"/>
          <w:sz w:val="24"/>
          <w:szCs w:val="24"/>
        </w:rPr>
        <w:t xml:space="preserve"> hodin.</w:t>
      </w:r>
      <w:r w:rsidR="00374093" w:rsidRPr="001B1B0B">
        <w:rPr>
          <w:rFonts w:asciiTheme="minorHAnsi" w:hAnsiTheme="minorHAnsi" w:cstheme="minorHAnsi"/>
          <w:sz w:val="24"/>
          <w:szCs w:val="24"/>
        </w:rPr>
        <w:t xml:space="preserve"> </w:t>
      </w:r>
      <w:r w:rsidR="0077719C" w:rsidRPr="001B1B0B">
        <w:rPr>
          <w:rFonts w:asciiTheme="minorHAnsi" w:hAnsiTheme="minorHAnsi" w:cstheme="minorHAnsi"/>
          <w:sz w:val="24"/>
          <w:szCs w:val="24"/>
        </w:rPr>
        <w:t>O</w:t>
      </w:r>
      <w:r w:rsidR="00304023" w:rsidRPr="001B1B0B">
        <w:rPr>
          <w:rFonts w:asciiTheme="minorHAnsi" w:hAnsiTheme="minorHAnsi" w:cstheme="minorHAnsi"/>
          <w:sz w:val="24"/>
          <w:szCs w:val="24"/>
        </w:rPr>
        <w:t xml:space="preserve">bjednávku je možné nejméně 48 hodin předem upřesnit, a to vždy do 8,00 hodin. </w:t>
      </w:r>
      <w:r w:rsidR="00374093" w:rsidRPr="001B1B0B">
        <w:rPr>
          <w:rFonts w:asciiTheme="minorHAnsi" w:hAnsiTheme="minorHAnsi" w:cstheme="minorHAnsi"/>
          <w:sz w:val="24"/>
          <w:szCs w:val="24"/>
        </w:rPr>
        <w:t xml:space="preserve">V případě mimořádných nepředvídaných změn (hospitalizace klienta apod.) </w:t>
      </w:r>
      <w:r w:rsidR="00304023" w:rsidRPr="001B1B0B">
        <w:rPr>
          <w:rFonts w:asciiTheme="minorHAnsi" w:hAnsiTheme="minorHAnsi" w:cstheme="minorHAnsi"/>
          <w:sz w:val="24"/>
          <w:szCs w:val="24"/>
        </w:rPr>
        <w:t>lze</w:t>
      </w:r>
      <w:r w:rsidR="00374093" w:rsidRPr="001B1B0B">
        <w:rPr>
          <w:rFonts w:asciiTheme="minorHAnsi" w:hAnsiTheme="minorHAnsi" w:cstheme="minorHAnsi"/>
          <w:sz w:val="24"/>
          <w:szCs w:val="24"/>
        </w:rPr>
        <w:t xml:space="preserve"> jednotlivý oběd odhlásit telefonicky a následně též elektronickou poštou</w:t>
      </w:r>
      <w:r w:rsidR="00304023" w:rsidRPr="001B1B0B">
        <w:rPr>
          <w:rFonts w:asciiTheme="minorHAnsi" w:hAnsiTheme="minorHAnsi" w:cstheme="minorHAnsi"/>
          <w:sz w:val="24"/>
          <w:szCs w:val="24"/>
        </w:rPr>
        <w:t xml:space="preserve"> na adresu </w:t>
      </w:r>
      <w:hyperlink r:id="rId8" w:history="1">
        <w:r w:rsidR="001B1B0B" w:rsidRPr="001B1B0B">
          <w:rPr>
            <w:rStyle w:val="Hypertextovodkaz"/>
            <w:rFonts w:cstheme="minorHAnsi"/>
            <w:sz w:val="24"/>
            <w:szCs w:val="24"/>
          </w:rPr>
          <w:t>petrova@aurora.cz</w:t>
        </w:r>
      </w:hyperlink>
      <w:r w:rsidR="001B1B0B" w:rsidRPr="001B1B0B">
        <w:rPr>
          <w:rFonts w:cstheme="minorHAnsi"/>
          <w:sz w:val="24"/>
          <w:szCs w:val="24"/>
        </w:rPr>
        <w:t>, kuchyne@aurora.cz;cibulka@aurora.cz</w:t>
      </w:r>
      <w:r w:rsidR="001B1B0B">
        <w:rPr>
          <w:rFonts w:cstheme="minorHAnsi"/>
          <w:sz w:val="24"/>
          <w:szCs w:val="24"/>
        </w:rPr>
        <w:t xml:space="preserve"> </w:t>
      </w:r>
      <w:r w:rsidR="00374093" w:rsidRPr="001B1B0B">
        <w:rPr>
          <w:rFonts w:asciiTheme="minorHAnsi" w:hAnsiTheme="minorHAnsi" w:cstheme="minorHAnsi"/>
          <w:sz w:val="24"/>
          <w:szCs w:val="24"/>
        </w:rPr>
        <w:t xml:space="preserve">a to nejpozději do 9,30 daného dne. Za </w:t>
      </w:r>
      <w:r w:rsidR="0044396E" w:rsidRPr="001B1B0B">
        <w:rPr>
          <w:rFonts w:asciiTheme="minorHAnsi" w:hAnsiTheme="minorHAnsi" w:cstheme="minorHAnsi"/>
          <w:sz w:val="24"/>
          <w:szCs w:val="24"/>
        </w:rPr>
        <w:t xml:space="preserve">řádně </w:t>
      </w:r>
      <w:r w:rsidR="00374093" w:rsidRPr="001B1B0B">
        <w:rPr>
          <w:rFonts w:asciiTheme="minorHAnsi" w:hAnsiTheme="minorHAnsi" w:cstheme="minorHAnsi"/>
          <w:sz w:val="24"/>
          <w:szCs w:val="24"/>
        </w:rPr>
        <w:t xml:space="preserve">odhlášené obědy nebude účtována </w:t>
      </w:r>
      <w:r w:rsidR="00C82FFC" w:rsidRPr="001B1B0B">
        <w:rPr>
          <w:rFonts w:asciiTheme="minorHAnsi" w:hAnsiTheme="minorHAnsi" w:cstheme="minorHAnsi"/>
          <w:sz w:val="24"/>
          <w:szCs w:val="24"/>
        </w:rPr>
        <w:t>cena</w:t>
      </w:r>
      <w:r w:rsidR="00374093" w:rsidRPr="001B1B0B">
        <w:rPr>
          <w:rFonts w:asciiTheme="minorHAnsi" w:hAnsiTheme="minorHAnsi" w:cstheme="minorHAnsi"/>
          <w:sz w:val="24"/>
          <w:szCs w:val="24"/>
        </w:rPr>
        <w:t>.</w:t>
      </w:r>
    </w:p>
    <w:p w:rsidR="00374093" w:rsidRDefault="0044396E" w:rsidP="00CC50FB">
      <w:pPr>
        <w:pStyle w:val="Odstavecseseznamem"/>
        <w:numPr>
          <w:ilvl w:val="0"/>
          <w:numId w:val="3"/>
        </w:numPr>
        <w:spacing w:line="240" w:lineRule="atLea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Obědy budou dodávány na základě výběru klientů odběratele uvedeného v závazné objednávce podle odst. 2. tohoto článku. Výběr bude vždy možný ze dvou polévek (standardní a dietní) a 3 hlavních jídel (2 standardní a 1 dietní). Dietní jídla budou připravována v souladu s lázeňskou dietou č. 4</w:t>
      </w:r>
      <w:r w:rsidR="001B1B0B">
        <w:rPr>
          <w:rFonts w:asciiTheme="minorHAnsi" w:hAnsiTheme="minorHAnsi" w:cstheme="minorHAnsi"/>
          <w:sz w:val="24"/>
          <w:szCs w:val="24"/>
        </w:rPr>
        <w:t xml:space="preserve"> (dieta s omezením tuku, šetřící)</w:t>
      </w:r>
      <w:r>
        <w:rPr>
          <w:rFonts w:asciiTheme="minorHAnsi" w:hAnsiTheme="minorHAnsi" w:cstheme="minorHAnsi"/>
          <w:sz w:val="24"/>
          <w:szCs w:val="24"/>
        </w:rPr>
        <w:t>. Jídelní lístek bude odběrateli zasílán elektronickou poštou</w:t>
      </w:r>
      <w:r w:rsidR="005D686C">
        <w:rPr>
          <w:rFonts w:asciiTheme="minorHAnsi" w:hAnsiTheme="minorHAnsi" w:cstheme="minorHAnsi"/>
          <w:sz w:val="24"/>
          <w:szCs w:val="24"/>
        </w:rPr>
        <w:t xml:space="preserve"> na </w:t>
      </w:r>
      <w:r w:rsidR="00304023">
        <w:rPr>
          <w:rFonts w:asciiTheme="minorHAnsi" w:hAnsiTheme="minorHAnsi" w:cstheme="minorHAnsi"/>
          <w:sz w:val="24"/>
          <w:szCs w:val="24"/>
        </w:rPr>
        <w:t>adresu</w:t>
      </w:r>
      <w:r w:rsidR="005D686C">
        <w:rPr>
          <w:rFonts w:asciiTheme="minorHAnsi" w:hAnsiTheme="minorHAnsi" w:cstheme="minorHAnsi"/>
          <w:sz w:val="24"/>
          <w:szCs w:val="24"/>
        </w:rPr>
        <w:t xml:space="preserve"> </w:t>
      </w:r>
      <w:r w:rsidR="005E6846">
        <w:rPr>
          <w:rFonts w:asciiTheme="minorHAnsi" w:hAnsiTheme="minorHAnsi" w:cstheme="minorHAnsi"/>
          <w:sz w:val="24"/>
          <w:szCs w:val="24"/>
        </w:rPr>
        <w:t>charita.trebon@seznam.cz</w:t>
      </w:r>
      <w:r>
        <w:rPr>
          <w:rFonts w:asciiTheme="minorHAnsi" w:hAnsiTheme="minorHAnsi" w:cstheme="minorHAnsi"/>
          <w:sz w:val="24"/>
          <w:szCs w:val="24"/>
        </w:rPr>
        <w:t xml:space="preserve"> vždy na 1 kalendářní týden nejpozději s 10-denním předstihem.</w:t>
      </w:r>
    </w:p>
    <w:p w:rsidR="0044396E" w:rsidRDefault="005D686C" w:rsidP="00CC50FB">
      <w:pPr>
        <w:pStyle w:val="Odstavecseseznamem"/>
        <w:numPr>
          <w:ilvl w:val="0"/>
          <w:numId w:val="3"/>
        </w:numPr>
        <w:spacing w:line="240" w:lineRule="atLea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Předání obědů se bude uskutečňovat u dodavatele, </w:t>
      </w:r>
      <w:r w:rsidR="00653C64">
        <w:rPr>
          <w:rFonts w:asciiTheme="minorHAnsi" w:hAnsiTheme="minorHAnsi" w:cstheme="minorHAnsi"/>
          <w:sz w:val="24"/>
          <w:szCs w:val="24"/>
        </w:rPr>
        <w:t xml:space="preserve">na stanoveném místě, </w:t>
      </w:r>
      <w:r>
        <w:rPr>
          <w:rFonts w:asciiTheme="minorHAnsi" w:hAnsiTheme="minorHAnsi" w:cstheme="minorHAnsi"/>
          <w:sz w:val="24"/>
          <w:szCs w:val="24"/>
        </w:rPr>
        <w:t>cca v 10,30 hodin daného dne, a to na základě výdejky s </w:t>
      </w:r>
      <w:r w:rsidR="00653C64">
        <w:rPr>
          <w:rFonts w:asciiTheme="minorHAnsi" w:hAnsiTheme="minorHAnsi" w:cstheme="minorHAnsi"/>
          <w:sz w:val="24"/>
          <w:szCs w:val="24"/>
        </w:rPr>
        <w:t>uvedení</w:t>
      </w:r>
      <w:r>
        <w:rPr>
          <w:rFonts w:asciiTheme="minorHAnsi" w:hAnsiTheme="minorHAnsi" w:cstheme="minorHAnsi"/>
          <w:sz w:val="24"/>
          <w:szCs w:val="24"/>
        </w:rPr>
        <w:t>m počtu obědů, druhů jídel a expedovanou teplotou. Odběratel je povinen si dodané obědy bez prodlení převzít, zkontrolovat</w:t>
      </w:r>
      <w:r w:rsidR="00653C64">
        <w:rPr>
          <w:rFonts w:asciiTheme="minorHAnsi" w:hAnsiTheme="minorHAnsi" w:cstheme="minorHAnsi"/>
          <w:sz w:val="24"/>
          <w:szCs w:val="24"/>
        </w:rPr>
        <w:t>, zda dodané obědy odpovídají výdejce, a</w:t>
      </w:r>
      <w:r w:rsidR="004F118F">
        <w:rPr>
          <w:rFonts w:asciiTheme="minorHAnsi" w:hAnsiTheme="minorHAnsi" w:cstheme="minorHAnsi"/>
          <w:sz w:val="24"/>
          <w:szCs w:val="24"/>
        </w:rPr>
        <w:t xml:space="preserve"> nakládat s obědy podle příslušných hygienických předpisů. Na pozdější reklamace co do počtu dodaných obědů nebude brán zřetel. </w:t>
      </w:r>
      <w:r>
        <w:rPr>
          <w:rFonts w:asciiTheme="minorHAnsi" w:hAnsiTheme="minorHAnsi" w:cstheme="minorHAnsi"/>
          <w:sz w:val="24"/>
          <w:szCs w:val="24"/>
        </w:rPr>
        <w:t>Převzetím obědů přebírá odběratel plnou odpovědnost za vydané jídlo</w:t>
      </w:r>
      <w:r w:rsidR="00653C64">
        <w:rPr>
          <w:rFonts w:asciiTheme="minorHAnsi" w:hAnsiTheme="minorHAnsi" w:cstheme="minorHAnsi"/>
          <w:sz w:val="24"/>
          <w:szCs w:val="24"/>
        </w:rPr>
        <w:t xml:space="preserve"> i</w:t>
      </w:r>
      <w:r w:rsidR="004F118F">
        <w:rPr>
          <w:rFonts w:asciiTheme="minorHAnsi" w:hAnsiTheme="minorHAnsi" w:cstheme="minorHAnsi"/>
          <w:sz w:val="24"/>
          <w:szCs w:val="24"/>
        </w:rPr>
        <w:t xml:space="preserve"> manipulaci s ním. </w:t>
      </w:r>
    </w:p>
    <w:p w:rsidR="005D686C" w:rsidRDefault="005D686C" w:rsidP="00CC50FB">
      <w:pPr>
        <w:pStyle w:val="Odstavecseseznamem"/>
        <w:numPr>
          <w:ilvl w:val="0"/>
          <w:numId w:val="3"/>
        </w:numPr>
        <w:spacing w:line="240" w:lineRule="atLea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Obědy budou odběrateli dodávány v</w:t>
      </w:r>
      <w:r w:rsidR="001B1B0B">
        <w:rPr>
          <w:rFonts w:asciiTheme="minorHAnsi" w:hAnsiTheme="minorHAnsi" w:cstheme="minorHAnsi"/>
          <w:sz w:val="24"/>
          <w:szCs w:val="24"/>
        </w:rPr>
        <w:t xml:space="preserve"> odpovídajících, odsouhlasených </w:t>
      </w:r>
      <w:proofErr w:type="spellStart"/>
      <w:r>
        <w:rPr>
          <w:rFonts w:asciiTheme="minorHAnsi" w:hAnsiTheme="minorHAnsi" w:cstheme="minorHAnsi"/>
          <w:sz w:val="24"/>
          <w:szCs w:val="24"/>
        </w:rPr>
        <w:t>termonosičích</w:t>
      </w:r>
      <w:proofErr w:type="spellEnd"/>
      <w:r>
        <w:rPr>
          <w:rFonts w:asciiTheme="minorHAnsi" w:hAnsiTheme="minorHAnsi" w:cstheme="minorHAnsi"/>
          <w:sz w:val="24"/>
          <w:szCs w:val="24"/>
        </w:rPr>
        <w:t>, které budou za tím účelem dodavateli přivážet pověření za</w:t>
      </w:r>
      <w:r w:rsidR="00653C64">
        <w:rPr>
          <w:rFonts w:asciiTheme="minorHAnsi" w:hAnsiTheme="minorHAnsi" w:cstheme="minorHAnsi"/>
          <w:sz w:val="24"/>
          <w:szCs w:val="24"/>
        </w:rPr>
        <w:t>městnanci odběratele vybavení</w:t>
      </w:r>
      <w:r>
        <w:rPr>
          <w:rFonts w:asciiTheme="minorHAnsi" w:hAnsiTheme="minorHAnsi" w:cstheme="minorHAnsi"/>
          <w:sz w:val="24"/>
          <w:szCs w:val="24"/>
        </w:rPr>
        <w:t xml:space="preserve"> identifikační kartou vždy den předem do 14,30 hodin. Odběratel zajistí, aby </w:t>
      </w:r>
      <w:proofErr w:type="spellStart"/>
      <w:r>
        <w:rPr>
          <w:rFonts w:asciiTheme="minorHAnsi" w:hAnsiTheme="minorHAnsi" w:cstheme="minorHAnsi"/>
          <w:sz w:val="24"/>
          <w:szCs w:val="24"/>
        </w:rPr>
        <w:t>termonosiče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byly zbaveny hrubých nečistot, konečné mytí </w:t>
      </w:r>
      <w:proofErr w:type="spellStart"/>
      <w:r w:rsidR="00653C64">
        <w:rPr>
          <w:rFonts w:asciiTheme="minorHAnsi" w:hAnsiTheme="minorHAnsi" w:cstheme="minorHAnsi"/>
          <w:sz w:val="24"/>
          <w:szCs w:val="24"/>
        </w:rPr>
        <w:t>termonosičů</w:t>
      </w:r>
      <w:proofErr w:type="spellEnd"/>
      <w:r w:rsidR="00653C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zajistí dodavatel.</w:t>
      </w:r>
    </w:p>
    <w:p w:rsidR="00653C64" w:rsidRDefault="00653C64" w:rsidP="00CC50FB">
      <w:pPr>
        <w:pStyle w:val="Odstavecseseznamem"/>
        <w:numPr>
          <w:ilvl w:val="0"/>
          <w:numId w:val="3"/>
        </w:numPr>
        <w:spacing w:line="240" w:lineRule="atLea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Gramáže jednotlivých komponent dodávaných </w:t>
      </w:r>
      <w:r w:rsidR="00304023">
        <w:rPr>
          <w:rFonts w:asciiTheme="minorHAnsi" w:hAnsiTheme="minorHAnsi" w:cstheme="minorHAnsi"/>
          <w:sz w:val="24"/>
          <w:szCs w:val="24"/>
        </w:rPr>
        <w:t>obědů jsou uvedeny v příloze, která je nedílnou součástí této smlouvy.</w:t>
      </w:r>
    </w:p>
    <w:p w:rsidR="00304023" w:rsidRPr="001A5BA3" w:rsidRDefault="00304023" w:rsidP="00304023">
      <w:pPr>
        <w:pStyle w:val="Odstavecseseznamem"/>
        <w:spacing w:line="240" w:lineRule="atLeast"/>
        <w:ind w:left="426"/>
        <w:rPr>
          <w:rFonts w:asciiTheme="minorHAnsi" w:hAnsiTheme="minorHAnsi" w:cstheme="minorHAnsi"/>
          <w:sz w:val="24"/>
          <w:szCs w:val="24"/>
        </w:rPr>
      </w:pPr>
    </w:p>
    <w:p w:rsidR="00B06173" w:rsidRPr="001A5BA3" w:rsidRDefault="00B06173" w:rsidP="00B06173">
      <w:pPr>
        <w:spacing w:line="240" w:lineRule="atLeast"/>
        <w:jc w:val="center"/>
        <w:rPr>
          <w:rFonts w:cstheme="minorHAnsi"/>
          <w:sz w:val="24"/>
          <w:szCs w:val="24"/>
        </w:rPr>
      </w:pPr>
      <w:r w:rsidRPr="001A5BA3">
        <w:rPr>
          <w:rFonts w:cstheme="minorHAnsi"/>
          <w:sz w:val="24"/>
          <w:szCs w:val="24"/>
        </w:rPr>
        <w:t>III.</w:t>
      </w:r>
    </w:p>
    <w:p w:rsidR="00B06173" w:rsidRPr="00304023" w:rsidRDefault="00B06173" w:rsidP="00B06173">
      <w:pPr>
        <w:spacing w:line="240" w:lineRule="atLeast"/>
        <w:jc w:val="center"/>
        <w:rPr>
          <w:rFonts w:cstheme="minorHAnsi"/>
          <w:sz w:val="24"/>
          <w:szCs w:val="24"/>
        </w:rPr>
      </w:pPr>
      <w:r w:rsidRPr="00304023">
        <w:rPr>
          <w:rFonts w:cstheme="minorHAnsi"/>
          <w:sz w:val="24"/>
          <w:szCs w:val="24"/>
        </w:rPr>
        <w:t>Cena</w:t>
      </w:r>
    </w:p>
    <w:p w:rsidR="00304023" w:rsidRPr="00304023" w:rsidRDefault="00304023" w:rsidP="00CC50FB">
      <w:pPr>
        <w:pStyle w:val="Odstavecseseznamem"/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04023">
        <w:rPr>
          <w:rFonts w:asciiTheme="minorHAnsi" w:hAnsiTheme="minorHAnsi" w:cstheme="minorHAnsi"/>
          <w:sz w:val="24"/>
          <w:szCs w:val="24"/>
        </w:rPr>
        <w:t xml:space="preserve">Cena 1 oběda, který zahrnuje polévku a hlavní jídlo, je dohodou stran stanovena na </w:t>
      </w:r>
      <w:r w:rsidR="009E262E">
        <w:rPr>
          <w:rFonts w:asciiTheme="minorHAnsi" w:hAnsiTheme="minorHAnsi" w:cstheme="minorHAnsi"/>
          <w:sz w:val="24"/>
          <w:szCs w:val="24"/>
        </w:rPr>
        <w:t>xxx</w:t>
      </w:r>
      <w:r w:rsidRPr="00304023">
        <w:rPr>
          <w:rFonts w:asciiTheme="minorHAnsi" w:hAnsiTheme="minorHAnsi" w:cstheme="minorHAnsi"/>
          <w:sz w:val="24"/>
          <w:szCs w:val="24"/>
        </w:rPr>
        <w:t>,- Kč včetně DPH.</w:t>
      </w:r>
    </w:p>
    <w:p w:rsidR="00781771" w:rsidRDefault="00304023" w:rsidP="00CC50FB">
      <w:pPr>
        <w:pStyle w:val="Odstavecseseznamem"/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81771">
        <w:rPr>
          <w:rFonts w:asciiTheme="minorHAnsi" w:hAnsiTheme="minorHAnsi" w:cstheme="minorHAnsi"/>
          <w:sz w:val="24"/>
          <w:szCs w:val="24"/>
        </w:rPr>
        <w:t>Úhradu za dodané obědy bude odběratel provádět na základě faktury, a to bankovním převodem na účet dodavatele uvedený v záhlaví této smlouvy</w:t>
      </w:r>
    </w:p>
    <w:p w:rsidR="00304023" w:rsidRPr="00781771" w:rsidRDefault="00304023" w:rsidP="00CC50FB">
      <w:pPr>
        <w:pStyle w:val="Odstavecseseznamem"/>
        <w:numPr>
          <w:ilvl w:val="0"/>
          <w:numId w:val="4"/>
        </w:num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81771">
        <w:rPr>
          <w:rFonts w:asciiTheme="minorHAnsi" w:hAnsiTheme="minorHAnsi" w:cstheme="minorHAnsi"/>
          <w:sz w:val="24"/>
          <w:szCs w:val="24"/>
        </w:rPr>
        <w:t xml:space="preserve">Faktura </w:t>
      </w:r>
      <w:r w:rsidR="00CC50FB" w:rsidRPr="00781771">
        <w:rPr>
          <w:rFonts w:asciiTheme="minorHAnsi" w:hAnsiTheme="minorHAnsi" w:cstheme="minorHAnsi"/>
          <w:sz w:val="24"/>
          <w:szCs w:val="24"/>
        </w:rPr>
        <w:t xml:space="preserve">za dodané obědy </w:t>
      </w:r>
      <w:r w:rsidRPr="00781771">
        <w:rPr>
          <w:rFonts w:asciiTheme="minorHAnsi" w:hAnsiTheme="minorHAnsi" w:cstheme="minorHAnsi"/>
          <w:sz w:val="24"/>
          <w:szCs w:val="24"/>
        </w:rPr>
        <w:t>bude dodavatel</w:t>
      </w:r>
      <w:r w:rsidR="00CC50FB" w:rsidRPr="00781771">
        <w:rPr>
          <w:rFonts w:asciiTheme="minorHAnsi" w:hAnsiTheme="minorHAnsi" w:cstheme="minorHAnsi"/>
          <w:sz w:val="24"/>
          <w:szCs w:val="24"/>
        </w:rPr>
        <w:t>em</w:t>
      </w:r>
      <w:r w:rsidRPr="00781771">
        <w:rPr>
          <w:rFonts w:asciiTheme="minorHAnsi" w:hAnsiTheme="minorHAnsi" w:cstheme="minorHAnsi"/>
          <w:sz w:val="24"/>
          <w:szCs w:val="24"/>
        </w:rPr>
        <w:t xml:space="preserve"> vystavena vždy k posledním</w:t>
      </w:r>
      <w:r w:rsidR="001B1B0B">
        <w:rPr>
          <w:rFonts w:asciiTheme="minorHAnsi" w:hAnsiTheme="minorHAnsi" w:cstheme="minorHAnsi"/>
          <w:sz w:val="24"/>
          <w:szCs w:val="24"/>
        </w:rPr>
        <w:t>u</w:t>
      </w:r>
      <w:r w:rsidRPr="00781771">
        <w:rPr>
          <w:rFonts w:asciiTheme="minorHAnsi" w:hAnsiTheme="minorHAnsi" w:cstheme="minorHAnsi"/>
          <w:sz w:val="24"/>
          <w:szCs w:val="24"/>
        </w:rPr>
        <w:t xml:space="preserve"> dni daného kalendářního měsíce a zaslána odběrateli elektronickou poštou na adresu </w:t>
      </w:r>
      <w:r w:rsidR="005E6846">
        <w:rPr>
          <w:rFonts w:asciiTheme="minorHAnsi" w:hAnsiTheme="minorHAnsi" w:cstheme="minorHAnsi"/>
          <w:sz w:val="24"/>
          <w:szCs w:val="24"/>
        </w:rPr>
        <w:t>charita.trebon@seznam.cz</w:t>
      </w:r>
      <w:r w:rsidRPr="00781771">
        <w:rPr>
          <w:rFonts w:asciiTheme="minorHAnsi" w:hAnsiTheme="minorHAnsi" w:cstheme="minorHAnsi"/>
          <w:sz w:val="24"/>
          <w:szCs w:val="24"/>
        </w:rPr>
        <w:t xml:space="preserve"> . Faktura bude splatná do 15 dní.</w:t>
      </w:r>
    </w:p>
    <w:p w:rsidR="00B06173" w:rsidRPr="00304023" w:rsidRDefault="00B06173" w:rsidP="00B06173">
      <w:pPr>
        <w:spacing w:line="240" w:lineRule="atLeast"/>
        <w:jc w:val="center"/>
        <w:rPr>
          <w:rFonts w:cstheme="minorHAnsi"/>
          <w:sz w:val="24"/>
          <w:szCs w:val="24"/>
        </w:rPr>
      </w:pPr>
    </w:p>
    <w:p w:rsidR="00B06173" w:rsidRDefault="00B06173" w:rsidP="00B06173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B06173" w:rsidRPr="00E03DC0" w:rsidRDefault="00B06173" w:rsidP="00B06173">
      <w:pPr>
        <w:jc w:val="center"/>
        <w:rPr>
          <w:rFonts w:cstheme="minorHAnsi"/>
          <w:sz w:val="24"/>
          <w:szCs w:val="24"/>
        </w:rPr>
      </w:pPr>
      <w:r w:rsidRPr="00E03DC0">
        <w:rPr>
          <w:rFonts w:cstheme="minorHAnsi"/>
          <w:sz w:val="24"/>
          <w:szCs w:val="24"/>
        </w:rPr>
        <w:t>Trvání a ukončení smlouvy</w:t>
      </w:r>
    </w:p>
    <w:p w:rsidR="00B06173" w:rsidRPr="00B06173" w:rsidRDefault="00B06173" w:rsidP="00B0617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6173">
        <w:rPr>
          <w:rFonts w:asciiTheme="minorHAnsi" w:hAnsiTheme="minorHAnsi" w:cstheme="minorHAnsi"/>
          <w:sz w:val="24"/>
          <w:szCs w:val="24"/>
        </w:rPr>
        <w:t>Tato smlouva se uzavírá na dobu neurčitou.</w:t>
      </w:r>
    </w:p>
    <w:p w:rsidR="00B06173" w:rsidRPr="00B06173" w:rsidRDefault="00B06173" w:rsidP="00B0617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6173">
        <w:rPr>
          <w:rFonts w:asciiTheme="minorHAnsi" w:hAnsiTheme="minorHAnsi" w:cstheme="minorHAnsi"/>
          <w:sz w:val="24"/>
          <w:szCs w:val="24"/>
        </w:rPr>
        <w:t>Tuto smlouvu lze ukončit dohodou stran, nebo výpovědí.</w:t>
      </w:r>
    </w:p>
    <w:p w:rsidR="00B06173" w:rsidRPr="00B06173" w:rsidRDefault="00B06173" w:rsidP="00B0617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6173">
        <w:rPr>
          <w:rFonts w:asciiTheme="minorHAnsi" w:hAnsiTheme="minorHAnsi" w:cstheme="minorHAnsi"/>
          <w:sz w:val="24"/>
          <w:szCs w:val="24"/>
        </w:rPr>
        <w:t>Tuto smlouvu lze vypovědět bez uvedení důvodu s výpovědní dobou 3 měsíce.</w:t>
      </w:r>
    </w:p>
    <w:p w:rsidR="00B06173" w:rsidRPr="00B06173" w:rsidRDefault="00B06173" w:rsidP="00B0617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6173">
        <w:rPr>
          <w:rFonts w:asciiTheme="minorHAnsi" w:hAnsiTheme="minorHAnsi" w:cstheme="minorHAnsi"/>
          <w:sz w:val="24"/>
          <w:szCs w:val="24"/>
        </w:rPr>
        <w:t>V případě závažného porušení smluvních závazků jednou smluvní stranou může druhá smluvní strana tuto smlouvu vypovědět s výpovědní dobou 1 měsíc.</w:t>
      </w:r>
    </w:p>
    <w:p w:rsidR="00B06173" w:rsidRPr="00B06173" w:rsidRDefault="00B06173" w:rsidP="00B0617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6173">
        <w:rPr>
          <w:rFonts w:asciiTheme="minorHAnsi" w:hAnsiTheme="minorHAnsi" w:cstheme="minorHAnsi"/>
          <w:sz w:val="24"/>
          <w:szCs w:val="24"/>
        </w:rPr>
        <w:t>Výpověď musí být učiněna písemně doporučeným dopisem s dodejkou. Výpovědní doba počne běžet prvním dnem měsíce následujícího po měsíci, v němž byla výpověď doručena druhé smluvní straně.</w:t>
      </w:r>
    </w:p>
    <w:p w:rsidR="00B06173" w:rsidRPr="00B06173" w:rsidRDefault="00B06173" w:rsidP="00B06173">
      <w:pPr>
        <w:ind w:left="360"/>
        <w:rPr>
          <w:rFonts w:cstheme="minorHAnsi"/>
          <w:sz w:val="24"/>
          <w:szCs w:val="24"/>
        </w:rPr>
      </w:pPr>
    </w:p>
    <w:p w:rsidR="00B06173" w:rsidRPr="00B06173" w:rsidRDefault="00B06173" w:rsidP="00B06173">
      <w:pPr>
        <w:ind w:left="360"/>
        <w:rPr>
          <w:rFonts w:cstheme="minorHAnsi"/>
          <w:sz w:val="24"/>
          <w:szCs w:val="24"/>
        </w:rPr>
      </w:pPr>
    </w:p>
    <w:p w:rsidR="00B06173" w:rsidRPr="00B06173" w:rsidRDefault="00B06173" w:rsidP="00B06173">
      <w:pPr>
        <w:ind w:left="360"/>
        <w:jc w:val="center"/>
        <w:rPr>
          <w:rFonts w:cstheme="minorHAnsi"/>
          <w:b/>
          <w:sz w:val="24"/>
          <w:szCs w:val="24"/>
        </w:rPr>
      </w:pPr>
      <w:r w:rsidRPr="00B06173">
        <w:rPr>
          <w:rFonts w:cstheme="minorHAnsi"/>
          <w:b/>
          <w:sz w:val="24"/>
          <w:szCs w:val="24"/>
        </w:rPr>
        <w:t>Článek 6.</w:t>
      </w:r>
    </w:p>
    <w:p w:rsidR="00B06173" w:rsidRPr="00B06173" w:rsidRDefault="00B06173" w:rsidP="00B06173">
      <w:pPr>
        <w:ind w:left="360"/>
        <w:jc w:val="center"/>
        <w:rPr>
          <w:rFonts w:cstheme="minorHAnsi"/>
          <w:b/>
          <w:sz w:val="24"/>
          <w:szCs w:val="24"/>
        </w:rPr>
      </w:pPr>
      <w:r w:rsidRPr="00B06173">
        <w:rPr>
          <w:rFonts w:cstheme="minorHAnsi"/>
          <w:b/>
          <w:sz w:val="24"/>
          <w:szCs w:val="24"/>
        </w:rPr>
        <w:t>Závěrečná ustanovení</w:t>
      </w:r>
    </w:p>
    <w:p w:rsidR="00B06173" w:rsidRPr="00B06173" w:rsidRDefault="00B06173" w:rsidP="00B06173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6173">
        <w:rPr>
          <w:rFonts w:asciiTheme="minorHAnsi" w:hAnsiTheme="minorHAnsi" w:cstheme="minorHAnsi"/>
          <w:sz w:val="24"/>
          <w:szCs w:val="24"/>
        </w:rPr>
        <w:t>Tato smlouva nabývá platnosti a účinnosti dnem podpisu oběma smluvními stranami.</w:t>
      </w:r>
    </w:p>
    <w:p w:rsidR="00B06173" w:rsidRPr="00B06173" w:rsidRDefault="00B06173" w:rsidP="00B06173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6173">
        <w:rPr>
          <w:rFonts w:asciiTheme="minorHAnsi" w:hAnsiTheme="minorHAnsi" w:cstheme="minorHAnsi"/>
          <w:sz w:val="24"/>
          <w:szCs w:val="24"/>
        </w:rPr>
        <w:t>Tato smlouva může být měněna či doplňována pouze písemnými dodatky odsouhlasenými oběma stranami.</w:t>
      </w:r>
    </w:p>
    <w:p w:rsidR="00B06173" w:rsidRPr="00E03DC0" w:rsidRDefault="00B06173" w:rsidP="00B06173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03DC0">
        <w:rPr>
          <w:rFonts w:asciiTheme="minorHAnsi" w:hAnsiTheme="minorHAnsi" w:cstheme="minorHAnsi"/>
          <w:sz w:val="24"/>
          <w:szCs w:val="24"/>
        </w:rPr>
        <w:t>Nedílnou součástí této smlouvy j</w:t>
      </w:r>
      <w:r w:rsidR="00E03DC0" w:rsidRPr="00E03DC0">
        <w:rPr>
          <w:rFonts w:asciiTheme="minorHAnsi" w:hAnsiTheme="minorHAnsi" w:cstheme="minorHAnsi"/>
          <w:sz w:val="24"/>
          <w:szCs w:val="24"/>
        </w:rPr>
        <w:t>e příloha uveden</w:t>
      </w:r>
      <w:r w:rsidR="004576F3">
        <w:rPr>
          <w:rFonts w:asciiTheme="minorHAnsi" w:hAnsiTheme="minorHAnsi" w:cstheme="minorHAnsi"/>
          <w:sz w:val="24"/>
          <w:szCs w:val="24"/>
        </w:rPr>
        <w:t>á</w:t>
      </w:r>
      <w:r w:rsidR="00E03DC0" w:rsidRPr="00E03DC0">
        <w:rPr>
          <w:rFonts w:asciiTheme="minorHAnsi" w:hAnsiTheme="minorHAnsi" w:cstheme="minorHAnsi"/>
          <w:sz w:val="24"/>
          <w:szCs w:val="24"/>
        </w:rPr>
        <w:t xml:space="preserve"> v čl. II. odst. 6. </w:t>
      </w:r>
    </w:p>
    <w:p w:rsidR="00B06173" w:rsidRPr="00B06173" w:rsidRDefault="00B06173" w:rsidP="00B06173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6173">
        <w:rPr>
          <w:rFonts w:asciiTheme="minorHAnsi" w:hAnsiTheme="minorHAnsi" w:cstheme="minorHAnsi"/>
          <w:sz w:val="24"/>
          <w:szCs w:val="24"/>
        </w:rPr>
        <w:t>Tato smlouva je vyhotovena ve 2 stejnopisech, z nichž každá smluvní strana obdrží po jednom.</w:t>
      </w:r>
    </w:p>
    <w:p w:rsidR="00B06173" w:rsidRPr="00B06173" w:rsidRDefault="00B06173" w:rsidP="00B06173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6173">
        <w:rPr>
          <w:rFonts w:asciiTheme="minorHAnsi" w:hAnsiTheme="minorHAnsi" w:cstheme="minorHAnsi"/>
          <w:sz w:val="24"/>
          <w:szCs w:val="24"/>
        </w:rPr>
        <w:t>Smluvní strany se seznámily s obsahem této smlouvy a bezvýhradně s ním souhlasí, což stvrzují svými podpisy.</w:t>
      </w:r>
    </w:p>
    <w:p w:rsidR="00B06173" w:rsidRPr="00B06173" w:rsidRDefault="00B06173" w:rsidP="00B06173">
      <w:pPr>
        <w:jc w:val="both"/>
        <w:rPr>
          <w:rFonts w:cstheme="minorHAnsi"/>
          <w:sz w:val="24"/>
          <w:szCs w:val="24"/>
        </w:rPr>
      </w:pPr>
    </w:p>
    <w:p w:rsidR="00B06173" w:rsidRPr="00B06173" w:rsidRDefault="00B06173" w:rsidP="00B06173">
      <w:pPr>
        <w:jc w:val="both"/>
        <w:rPr>
          <w:rFonts w:cstheme="minorHAnsi"/>
          <w:sz w:val="24"/>
          <w:szCs w:val="24"/>
        </w:rPr>
      </w:pPr>
    </w:p>
    <w:p w:rsidR="00B06173" w:rsidRPr="00B06173" w:rsidRDefault="00B06173" w:rsidP="00B06173">
      <w:pPr>
        <w:jc w:val="both"/>
        <w:rPr>
          <w:rFonts w:cstheme="minorHAnsi"/>
          <w:sz w:val="24"/>
          <w:szCs w:val="24"/>
        </w:rPr>
      </w:pPr>
    </w:p>
    <w:p w:rsidR="00B06173" w:rsidRPr="00B06173" w:rsidRDefault="00B06173" w:rsidP="00B06173">
      <w:pPr>
        <w:jc w:val="both"/>
        <w:rPr>
          <w:rFonts w:cstheme="minorHAnsi"/>
          <w:sz w:val="24"/>
          <w:szCs w:val="24"/>
        </w:rPr>
      </w:pPr>
      <w:r w:rsidRPr="00B06173">
        <w:rPr>
          <w:rFonts w:cstheme="minorHAnsi"/>
          <w:sz w:val="24"/>
          <w:szCs w:val="24"/>
        </w:rPr>
        <w:t>V Třeboni dne ………………………</w:t>
      </w:r>
    </w:p>
    <w:p w:rsidR="00B06173" w:rsidRPr="00B06173" w:rsidRDefault="00B06173" w:rsidP="00B06173">
      <w:pPr>
        <w:jc w:val="both"/>
        <w:rPr>
          <w:rFonts w:cstheme="minorHAnsi"/>
          <w:sz w:val="24"/>
          <w:szCs w:val="24"/>
        </w:rPr>
      </w:pPr>
    </w:p>
    <w:p w:rsidR="00B06173" w:rsidRPr="00B06173" w:rsidRDefault="00B06173" w:rsidP="00B06173">
      <w:pPr>
        <w:jc w:val="both"/>
        <w:rPr>
          <w:rFonts w:cstheme="minorHAnsi"/>
          <w:sz w:val="24"/>
          <w:szCs w:val="24"/>
        </w:rPr>
      </w:pPr>
    </w:p>
    <w:p w:rsidR="00B06173" w:rsidRDefault="00B06173" w:rsidP="00B06173">
      <w:pPr>
        <w:jc w:val="both"/>
        <w:rPr>
          <w:sz w:val="24"/>
          <w:szCs w:val="24"/>
        </w:rPr>
      </w:pPr>
    </w:p>
    <w:p w:rsidR="00B06173" w:rsidRDefault="00B06173" w:rsidP="00B06173">
      <w:pPr>
        <w:jc w:val="both"/>
        <w:rPr>
          <w:sz w:val="24"/>
          <w:szCs w:val="24"/>
        </w:rPr>
      </w:pPr>
    </w:p>
    <w:p w:rsidR="00B06173" w:rsidRDefault="00B06173" w:rsidP="00B06173">
      <w:pPr>
        <w:tabs>
          <w:tab w:val="left" w:pos="3544"/>
          <w:tab w:val="left" w:pos="4536"/>
          <w:tab w:val="left" w:pos="4962"/>
          <w:tab w:val="left" w:pos="8505"/>
          <w:tab w:val="lef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DC0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…………………………………………..</w:t>
      </w:r>
    </w:p>
    <w:p w:rsidR="00B06173" w:rsidRDefault="00E03DC0" w:rsidP="00B0617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</w:t>
      </w:r>
    </w:p>
    <w:p w:rsidR="00D919D4" w:rsidRPr="00A6747F" w:rsidRDefault="00D919D4" w:rsidP="00B974F0">
      <w:pPr>
        <w:spacing w:line="240" w:lineRule="atLeast"/>
        <w:rPr>
          <w:sz w:val="24"/>
          <w:szCs w:val="24"/>
        </w:rPr>
      </w:pPr>
    </w:p>
    <w:sectPr w:rsidR="00D919D4" w:rsidRPr="00A67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FC260F" w15:done="0"/>
  <w15:commentEx w15:paraId="14377D3D" w15:done="0"/>
  <w15:commentEx w15:paraId="1F4D16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2D7"/>
    <w:multiLevelType w:val="hybridMultilevel"/>
    <w:tmpl w:val="B4F6B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12E2"/>
    <w:multiLevelType w:val="hybridMultilevel"/>
    <w:tmpl w:val="4CFCF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3349"/>
    <w:multiLevelType w:val="hybridMultilevel"/>
    <w:tmpl w:val="D2243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823BD"/>
    <w:multiLevelType w:val="hybridMultilevel"/>
    <w:tmpl w:val="A5EE1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a Zavadilová">
    <w15:presenceInfo w15:providerId="None" w15:userId="Dana Zavadi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7F"/>
    <w:rsid w:val="001A5BA3"/>
    <w:rsid w:val="001B1B0B"/>
    <w:rsid w:val="00205781"/>
    <w:rsid w:val="00304023"/>
    <w:rsid w:val="00374093"/>
    <w:rsid w:val="003D73FA"/>
    <w:rsid w:val="004228C1"/>
    <w:rsid w:val="0044396E"/>
    <w:rsid w:val="004576F3"/>
    <w:rsid w:val="00475C43"/>
    <w:rsid w:val="004F118F"/>
    <w:rsid w:val="0057599C"/>
    <w:rsid w:val="005D686C"/>
    <w:rsid w:val="005E6846"/>
    <w:rsid w:val="00653C64"/>
    <w:rsid w:val="007524D8"/>
    <w:rsid w:val="0077719C"/>
    <w:rsid w:val="00781771"/>
    <w:rsid w:val="00803B23"/>
    <w:rsid w:val="0084327C"/>
    <w:rsid w:val="009E262E"/>
    <w:rsid w:val="00A6747F"/>
    <w:rsid w:val="00B06173"/>
    <w:rsid w:val="00B974F0"/>
    <w:rsid w:val="00C82FFC"/>
    <w:rsid w:val="00CC50FB"/>
    <w:rsid w:val="00D919D4"/>
    <w:rsid w:val="00E03DC0"/>
    <w:rsid w:val="00E5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5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173"/>
    <w:pPr>
      <w:spacing w:after="0" w:line="240" w:lineRule="auto"/>
      <w:ind w:left="720"/>
      <w:contextualSpacing/>
    </w:pPr>
    <w:rPr>
      <w:rFonts w:ascii="Times New Roman" w:eastAsia="Times New Roman" w:hAnsi="Times New Roman" w:cs="Vrinda"/>
      <w:sz w:val="20"/>
      <w:szCs w:val="25"/>
      <w:lang w:eastAsia="cs-CZ" w:bidi="bn-IN"/>
    </w:rPr>
  </w:style>
  <w:style w:type="character" w:styleId="Odkaznakoment">
    <w:name w:val="annotation reference"/>
    <w:basedOn w:val="Standardnpsmoodstavce"/>
    <w:uiPriority w:val="99"/>
    <w:semiHidden/>
    <w:unhideWhenUsed/>
    <w:rsid w:val="00475C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5C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5C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5C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5C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C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75C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173"/>
    <w:pPr>
      <w:spacing w:after="0" w:line="240" w:lineRule="auto"/>
      <w:ind w:left="720"/>
      <w:contextualSpacing/>
    </w:pPr>
    <w:rPr>
      <w:rFonts w:ascii="Times New Roman" w:eastAsia="Times New Roman" w:hAnsi="Times New Roman" w:cs="Vrinda"/>
      <w:sz w:val="20"/>
      <w:szCs w:val="25"/>
      <w:lang w:eastAsia="cs-CZ" w:bidi="bn-IN"/>
    </w:rPr>
  </w:style>
  <w:style w:type="character" w:styleId="Odkaznakoment">
    <w:name w:val="annotation reference"/>
    <w:basedOn w:val="Standardnpsmoodstavce"/>
    <w:uiPriority w:val="99"/>
    <w:semiHidden/>
    <w:unhideWhenUsed/>
    <w:rsid w:val="00475C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5C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5C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5C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5C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C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75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@auror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etrova@aurora.cz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2FBD-AE44-4028-86D4-38BB3F1F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Markéta Mikšová</cp:lastModifiedBy>
  <cp:revision>2</cp:revision>
  <cp:lastPrinted>2017-03-02T08:39:00Z</cp:lastPrinted>
  <dcterms:created xsi:type="dcterms:W3CDTF">2017-03-13T09:32:00Z</dcterms:created>
  <dcterms:modified xsi:type="dcterms:W3CDTF">2017-03-13T09:32:00Z</dcterms:modified>
</cp:coreProperties>
</file>