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t xml:space="preserve"> </w:t>
      </w:r>
    </w:p>
    <w:p w:rsidR="00373B84"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r w:rsidR="00373B84">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980732" w:rsidRPr="009D6027"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AE72D8" w:rsidRPr="009D6027">
        <w:rPr>
          <w:rFonts w:ascii="Helvetica" w:eastAsia="Times New Roman" w:hAnsi="Helvetica" w:cs="Times New Roman"/>
          <w:b/>
          <w:sz w:val="20"/>
          <w:szCs w:val="20"/>
          <w:lang w:eastAsia="cs-CZ"/>
        </w:rPr>
        <w:t>HANSA 2</w:t>
      </w:r>
      <w:r w:rsidR="009D6027" w:rsidRPr="009D6027">
        <w:rPr>
          <w:rFonts w:ascii="Helvetica" w:eastAsia="Times New Roman" w:hAnsi="Helvetica" w:cs="Times New Roman"/>
          <w:b/>
          <w:sz w:val="20"/>
          <w:szCs w:val="20"/>
          <w:lang w:eastAsia="cs-CZ"/>
        </w:rPr>
        <w:t xml:space="preserve"> s.r.o.</w:t>
      </w:r>
    </w:p>
    <w:p w:rsidR="00980732" w:rsidRP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9D6027">
        <w:rPr>
          <w:rFonts w:ascii="Helvetica" w:eastAsia="Times New Roman" w:hAnsi="Helvetica" w:cs="Times New Roman"/>
          <w:sz w:val="20"/>
          <w:szCs w:val="20"/>
          <w:lang w:eastAsia="cs-CZ"/>
        </w:rPr>
        <w:t>Pod Čertovou skalou 848/8, 180 00 Praha 8</w:t>
      </w:r>
    </w:p>
    <w:p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r w:rsidR="009D6027">
        <w:rPr>
          <w:rFonts w:ascii="Helvetica" w:eastAsia="Times New Roman" w:hAnsi="Helvetica" w:cs="Times New Roman"/>
          <w:sz w:val="20"/>
          <w:szCs w:val="20"/>
          <w:lang w:eastAsia="cs-CZ"/>
        </w:rPr>
        <w:t>jednatelem společnosti</w:t>
      </w:r>
    </w:p>
    <w:p w:rsidR="00980732" w:rsidRPr="00980732" w:rsidRDefault="00980732" w:rsidP="00980732">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9D6027">
        <w:rPr>
          <w:rFonts w:ascii="Helvetica" w:eastAsia="Times New Roman" w:hAnsi="Helvetica" w:cs="Times New Roman"/>
          <w:sz w:val="20"/>
          <w:szCs w:val="20"/>
          <w:lang w:eastAsia="cs-CZ"/>
        </w:rPr>
        <w:t>25096702</w:t>
      </w:r>
    </w:p>
    <w:p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9D6027">
        <w:rPr>
          <w:rFonts w:ascii="Helvetica" w:eastAsia="Times New Roman" w:hAnsi="Helvetica" w:cs="Times New Roman"/>
          <w:sz w:val="20"/>
          <w:szCs w:val="20"/>
          <w:lang w:eastAsia="cs-CZ"/>
        </w:rPr>
        <w:t>CZ25096702</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bCs/>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w:t>
      </w:r>
      <w:proofErr w:type="gramEnd"/>
      <w:r w:rsidRPr="00B85BDC">
        <w:rPr>
          <w:rFonts w:ascii="Helvetica" w:eastAsia="Times New Roman" w:hAnsi="Helvetica" w:cs="Times New Roman"/>
          <w:sz w:val="20"/>
          <w:szCs w:val="20"/>
          <w:lang w:eastAsia="cs-CZ"/>
        </w:rPr>
        <w:t xml:space="preserve">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FC2116" w:rsidRPr="00FC2116" w:rsidRDefault="00DC2C8A" w:rsidP="00FC2116">
      <w:pPr>
        <w:spacing w:before="0" w:line="240" w:lineRule="auto"/>
        <w:jc w:val="center"/>
        <w:rPr>
          <w:rFonts w:ascii="Helvetica" w:eastAsia="Times New Roman" w:hAnsi="Helvetica" w:cs="Times New Roman"/>
          <w:b/>
          <w:bCs/>
          <w:sz w:val="20"/>
          <w:szCs w:val="20"/>
          <w:lang w:eastAsia="cs-CZ"/>
        </w:rPr>
      </w:pPr>
      <w:r w:rsidRPr="00DC2C8A">
        <w:rPr>
          <w:rFonts w:ascii="Helvetica" w:eastAsia="Times New Roman" w:hAnsi="Helvetica" w:cs="Times New Roman"/>
          <w:b/>
          <w:bCs/>
          <w:sz w:val="20"/>
          <w:szCs w:val="20"/>
          <w:lang w:eastAsia="cs-CZ"/>
        </w:rPr>
        <w:t>„</w:t>
      </w:r>
      <w:r w:rsidR="00373B84" w:rsidRPr="00373B84">
        <w:rPr>
          <w:rFonts w:ascii="Helvetica" w:eastAsia="Times New Roman" w:hAnsi="Helvetica" w:cs="Times New Roman"/>
          <w:b/>
          <w:bCs/>
          <w:sz w:val="20"/>
          <w:szCs w:val="20"/>
          <w:lang w:eastAsia="cs-CZ"/>
        </w:rPr>
        <w:t>Stavební opravy prádelny a čistící místnosti na odd. B1</w:t>
      </w:r>
      <w:r w:rsidR="00FC2116" w:rsidRPr="00FC2116">
        <w:rPr>
          <w:rFonts w:ascii="Helvetica" w:eastAsia="Times New Roman" w:hAnsi="Helvetica" w:cs="Times New Roman"/>
          <w:b/>
          <w:bCs/>
          <w:sz w:val="20"/>
          <w:szCs w:val="20"/>
          <w:lang w:eastAsia="cs-CZ"/>
        </w:rPr>
        <w:t>“</w:t>
      </w:r>
    </w:p>
    <w:p w:rsidR="00207DDB" w:rsidRDefault="00207DDB"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r w:rsidR="00DA2741">
        <w:rPr>
          <w:rFonts w:ascii="Helvetica" w:eastAsia="Times New Roman" w:hAnsi="Helvetica" w:cs="Times New Roman"/>
          <w:sz w:val="20"/>
          <w:szCs w:val="20"/>
          <w:lang w:eastAsia="cs-CZ"/>
        </w:rPr>
        <w:t xml:space="preserve"> Budou pr</w:t>
      </w:r>
      <w:r w:rsidR="00373B84">
        <w:rPr>
          <w:rFonts w:ascii="Helvetica" w:eastAsia="Times New Roman" w:hAnsi="Helvetica" w:cs="Times New Roman"/>
          <w:sz w:val="20"/>
          <w:szCs w:val="20"/>
          <w:lang w:eastAsia="cs-CZ"/>
        </w:rPr>
        <w:t>ovedeny stavební opravy prostor</w:t>
      </w:r>
      <w:r w:rsidR="00DA2741">
        <w:rPr>
          <w:rFonts w:ascii="Helvetica" w:eastAsia="Times New Roman" w:hAnsi="Helvetica" w:cs="Times New Roman"/>
          <w:sz w:val="20"/>
          <w:szCs w:val="20"/>
          <w:lang w:eastAsia="cs-CZ"/>
        </w:rPr>
        <w:t xml:space="preserve">. </w:t>
      </w:r>
      <w:r w:rsidR="00DA2741" w:rsidRPr="00DA2741">
        <w:rPr>
          <w:rFonts w:ascii="Helvetica" w:eastAsia="Times New Roman" w:hAnsi="Helvetica" w:cs="Times New Roman"/>
          <w:bCs/>
          <w:sz w:val="20"/>
          <w:szCs w:val="20"/>
          <w:lang w:eastAsia="cs-CZ"/>
        </w:rPr>
        <w:t>Bude provedena oprava vnitřních omítek, demontáž a montáž vnitřní kanalizace a vodovodu, demontáž a montáž podlah a obkladů, oprava a výměna elektroinstalace</w:t>
      </w:r>
      <w:r w:rsidR="00373B84">
        <w:rPr>
          <w:rFonts w:ascii="Helvetica" w:eastAsia="Times New Roman" w:hAnsi="Helvetica" w:cs="Times New Roman"/>
          <w:bCs/>
          <w:sz w:val="20"/>
          <w:szCs w:val="20"/>
          <w:lang w:eastAsia="cs-CZ"/>
        </w:rPr>
        <w:t>, výměna zařizovacích předmětů.</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Default="00B85BDC" w:rsidP="00980732">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t>bez   DPH</w:t>
      </w:r>
      <w:r w:rsidRPr="00980732">
        <w:rPr>
          <w:rFonts w:ascii="Helvetica" w:eastAsia="Times New Roman" w:hAnsi="Helvetica" w:cs="Times New Roman"/>
          <w:b/>
          <w:sz w:val="20"/>
          <w:szCs w:val="20"/>
          <w:lang w:eastAsia="cs-CZ"/>
        </w:rPr>
        <w:tab/>
      </w:r>
      <w:r w:rsidR="009D6027">
        <w:rPr>
          <w:rFonts w:ascii="Helvetica" w:eastAsia="Times New Roman" w:hAnsi="Helvetica" w:cs="Times New Roman"/>
          <w:b/>
          <w:sz w:val="20"/>
          <w:szCs w:val="20"/>
          <w:lang w:eastAsia="cs-CZ"/>
        </w:rPr>
        <w:t>320.625,43</w:t>
      </w:r>
      <w:r w:rsidRPr="00980732">
        <w:rPr>
          <w:rFonts w:ascii="Helvetica" w:eastAsia="Times New Roman" w:hAnsi="Helvetica" w:cs="Times New Roman"/>
          <w:b/>
          <w:sz w:val="20"/>
          <w:szCs w:val="20"/>
          <w:lang w:eastAsia="cs-CZ"/>
        </w:rPr>
        <w:tab/>
        <w:t xml:space="preserve"> Kč</w:t>
      </w:r>
    </w:p>
    <w:p w:rsidR="00980732" w:rsidRDefault="00762AFF"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15%        </w:t>
      </w:r>
      <w:r w:rsidR="009D6027">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Kč</w:t>
      </w:r>
    </w:p>
    <w:p w:rsidR="00DC2C8A" w:rsidRDefault="00DC2C8A"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21%       </w:t>
      </w:r>
      <w:r w:rsidR="009D6027">
        <w:rPr>
          <w:rFonts w:ascii="Helvetica" w:eastAsia="Times New Roman" w:hAnsi="Helvetica" w:cs="Times New Roman"/>
          <w:b/>
          <w:sz w:val="20"/>
          <w:szCs w:val="20"/>
          <w:lang w:eastAsia="cs-CZ"/>
        </w:rPr>
        <w:t xml:space="preserve">  67.331,34    </w:t>
      </w:r>
      <w:r>
        <w:rPr>
          <w:rFonts w:ascii="Helvetica" w:eastAsia="Times New Roman" w:hAnsi="Helvetica" w:cs="Times New Roman"/>
          <w:b/>
          <w:sz w:val="20"/>
          <w:szCs w:val="20"/>
          <w:lang w:eastAsia="cs-CZ"/>
        </w:rPr>
        <w:t xml:space="preserve">    Kč </w:t>
      </w:r>
    </w:p>
    <w:p w:rsidR="00B85BDC" w:rsidRDefault="00762AFF" w:rsidP="00980732">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Cena včetně DPH</w:t>
      </w:r>
      <w:r w:rsidR="00816017">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C212C6">
        <w:rPr>
          <w:rFonts w:ascii="Helvetica" w:eastAsia="Times New Roman" w:hAnsi="Helvetica" w:cs="Times New Roman"/>
          <w:b/>
          <w:sz w:val="20"/>
          <w:szCs w:val="20"/>
          <w:lang w:eastAsia="cs-CZ"/>
        </w:rPr>
        <w:t> </w:t>
      </w:r>
      <w:r w:rsidR="009D6027">
        <w:rPr>
          <w:rFonts w:ascii="Helvetica" w:eastAsia="Times New Roman" w:hAnsi="Helvetica" w:cs="Times New Roman"/>
          <w:b/>
          <w:sz w:val="20"/>
          <w:szCs w:val="20"/>
          <w:lang w:eastAsia="cs-CZ"/>
        </w:rPr>
        <w:t xml:space="preserve">387.956,77 </w:t>
      </w:r>
      <w:r>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DF1CCA" w:rsidRDefault="00B85BDC" w:rsidP="00DA2741">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 xml:space="preserve">Zahájení plnění díla </w:t>
      </w:r>
      <w:r w:rsidR="00DA2741" w:rsidRPr="00DF1CCA">
        <w:rPr>
          <w:rFonts w:ascii="Helvetica" w:eastAsia="Times New Roman" w:hAnsi="Helvetica" w:cs="Times New Roman"/>
          <w:b/>
          <w:sz w:val="20"/>
          <w:szCs w:val="20"/>
          <w:lang w:eastAsia="cs-CZ"/>
        </w:rPr>
        <w:t xml:space="preserve">dne </w:t>
      </w:r>
      <w:r w:rsidR="00DF1CCA" w:rsidRPr="00DF1CCA">
        <w:rPr>
          <w:rFonts w:ascii="Helvetica" w:eastAsia="Times New Roman" w:hAnsi="Helvetica" w:cs="Times New Roman"/>
          <w:b/>
          <w:sz w:val="20"/>
          <w:szCs w:val="20"/>
          <w:lang w:eastAsia="cs-CZ"/>
        </w:rPr>
        <w:t>13.5.2021</w:t>
      </w:r>
      <w:r w:rsidRPr="00B85BDC">
        <w:rPr>
          <w:rFonts w:ascii="Helvetica" w:eastAsia="Times New Roman" w:hAnsi="Helvetica" w:cs="Times New Roman"/>
          <w:sz w:val="20"/>
          <w:szCs w:val="20"/>
          <w:lang w:eastAsia="cs-CZ"/>
        </w:rPr>
        <w:t xml:space="preserve"> a </w:t>
      </w:r>
      <w:r w:rsidRPr="00DF1CCA">
        <w:rPr>
          <w:rFonts w:ascii="Helvetica" w:eastAsia="Times New Roman" w:hAnsi="Helvetica" w:cs="Times New Roman"/>
          <w:b/>
          <w:sz w:val="20"/>
          <w:szCs w:val="20"/>
          <w:lang w:eastAsia="cs-CZ"/>
        </w:rPr>
        <w:t xml:space="preserve">předání díla včetně odstranění vad a nedodělků </w:t>
      </w:r>
      <w:r w:rsidRPr="00DF1CCA">
        <w:rPr>
          <w:rFonts w:ascii="Helvetica" w:eastAsia="Times New Roman" w:hAnsi="Helvetica" w:cs="Times New Roman"/>
          <w:b/>
          <w:sz w:val="20"/>
          <w:szCs w:val="20"/>
          <w:lang w:eastAsia="cs-CZ"/>
        </w:rPr>
        <w:br/>
        <w:t xml:space="preserve">do </w:t>
      </w:r>
      <w:r w:rsidR="00DA2741" w:rsidRPr="00DF1CCA">
        <w:rPr>
          <w:rFonts w:ascii="Helvetica" w:eastAsia="Times New Roman" w:hAnsi="Helvetica" w:cs="Times New Roman"/>
          <w:b/>
          <w:sz w:val="20"/>
          <w:szCs w:val="20"/>
          <w:lang w:eastAsia="cs-CZ"/>
        </w:rPr>
        <w:t xml:space="preserve">dne </w:t>
      </w:r>
      <w:r w:rsidR="00DF1CCA" w:rsidRPr="00DF1CCA">
        <w:rPr>
          <w:rFonts w:ascii="Helvetica" w:eastAsia="Times New Roman" w:hAnsi="Helvetica" w:cs="Times New Roman"/>
          <w:b/>
          <w:sz w:val="20"/>
          <w:szCs w:val="20"/>
          <w:lang w:eastAsia="cs-CZ"/>
        </w:rPr>
        <w:t>11.6.2021</w:t>
      </w:r>
      <w:r w:rsidR="00DA2741" w:rsidRPr="00DF1CCA">
        <w:rPr>
          <w:rFonts w:ascii="Helvetica" w:eastAsia="Times New Roman" w:hAnsi="Helvetica" w:cs="Times New Roman"/>
          <w:b/>
          <w:sz w:val="20"/>
          <w:szCs w:val="20"/>
          <w:lang w:eastAsia="cs-CZ"/>
        </w:rPr>
        <w:t>.</w:t>
      </w: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1E0BA3" w:rsidRPr="00B85BDC" w:rsidRDefault="001E0BA3"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9314ED">
        <w:rPr>
          <w:rFonts w:ascii="Helvetica" w:eastAsia="Times New Roman" w:hAnsi="Helvetica" w:cs="Times New Roman"/>
          <w:sz w:val="20"/>
          <w:szCs w:val="20"/>
          <w:lang w:eastAsia="cs-CZ"/>
        </w:rPr>
        <w:t>36</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faktury musí obsahovat náležitosti daňového dokladu dle § 28, zákona  č.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Pr="00B85BDC">
        <w:rPr>
          <w:rFonts w:ascii="Helvetica" w:eastAsia="Times New Roman" w:hAnsi="Helvetica" w:cs="Times New Roman"/>
          <w:sz w:val="20"/>
          <w:szCs w:val="20"/>
          <w:lang w:eastAsia="cs-CZ"/>
        </w:rPr>
        <w:tab/>
      </w:r>
      <w:r w:rsidR="00DF1CCA">
        <w:rPr>
          <w:rFonts w:ascii="Helvetica" w:eastAsia="Times New Roman" w:hAnsi="Helvetica" w:cs="Times New Roman"/>
          <w:sz w:val="20"/>
          <w:szCs w:val="20"/>
          <w:lang w:eastAsia="cs-CZ"/>
        </w:rPr>
        <w:t>12.5.2021</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00DA2741">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DF1CCA">
        <w:rPr>
          <w:rFonts w:ascii="Helvetica" w:eastAsia="Times New Roman" w:hAnsi="Helvetica" w:cs="Times New Roman"/>
          <w:sz w:val="20"/>
          <w:szCs w:val="20"/>
          <w:lang w:eastAsia="cs-CZ"/>
        </w:rPr>
        <w:t xml:space="preserve"> Praze </w:t>
      </w:r>
      <w:r w:rsidRPr="00B85BDC">
        <w:rPr>
          <w:rFonts w:ascii="Helvetica" w:eastAsia="Times New Roman" w:hAnsi="Helvetica" w:cs="Times New Roman"/>
          <w:sz w:val="20"/>
          <w:szCs w:val="20"/>
          <w:lang w:eastAsia="cs-CZ"/>
        </w:rPr>
        <w:t xml:space="preserve">  </w:t>
      </w:r>
      <w:r w:rsidR="00F303F3">
        <w:rPr>
          <w:rFonts w:ascii="Helvetica" w:eastAsia="Times New Roman" w:hAnsi="Helvetica" w:cs="Times New Roman"/>
          <w:sz w:val="20"/>
          <w:szCs w:val="20"/>
          <w:lang w:eastAsia="cs-CZ"/>
        </w:rPr>
        <w:t>d</w:t>
      </w:r>
      <w:r w:rsidRPr="00B85BDC">
        <w:rPr>
          <w:rFonts w:ascii="Helvetica" w:eastAsia="Times New Roman" w:hAnsi="Helvetica" w:cs="Times New Roman"/>
          <w:sz w:val="20"/>
          <w:szCs w:val="20"/>
          <w:lang w:eastAsia="cs-CZ"/>
        </w:rPr>
        <w:t>ne</w:t>
      </w:r>
      <w:r w:rsidR="00DF1CCA">
        <w:rPr>
          <w:rFonts w:ascii="Helvetica" w:eastAsia="Times New Roman" w:hAnsi="Helvetica" w:cs="Times New Roman"/>
          <w:sz w:val="20"/>
          <w:szCs w:val="20"/>
          <w:lang w:eastAsia="cs-CZ"/>
        </w:rPr>
        <w:t xml:space="preserve"> 12.5.2021</w:t>
      </w:r>
      <w:r w:rsidR="00DA2741">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DF1CCA" w:rsidRDefault="00DF1CCA" w:rsidP="00B85BDC">
      <w:pPr>
        <w:spacing w:before="0" w:line="240" w:lineRule="auto"/>
        <w:jc w:val="both"/>
        <w:rPr>
          <w:rFonts w:ascii="Helvetica" w:eastAsia="Times New Roman" w:hAnsi="Helvetica" w:cs="Times New Roman"/>
          <w:sz w:val="20"/>
          <w:szCs w:val="20"/>
          <w:lang w:eastAsia="cs-CZ"/>
        </w:rPr>
      </w:pPr>
    </w:p>
    <w:p w:rsidR="00B85BDC" w:rsidRPr="00B85BDC" w:rsidRDefault="00DF1CCA"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Domov pro seniory Háje                                                                         Hansa 2, s.r.o. </w:t>
      </w:r>
      <w:r w:rsidR="002A7B32">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p>
    <w:p w:rsidR="008123D2" w:rsidRDefault="008123D2" w:rsidP="004F32BD">
      <w:pPr>
        <w:spacing w:before="0" w:line="240" w:lineRule="auto"/>
        <w:jc w:val="both"/>
        <w:rPr>
          <w:rFonts w:ascii="Helvetica" w:eastAsia="Times New Roman" w:hAnsi="Helvetica" w:cs="Times New Roman"/>
          <w:sz w:val="20"/>
          <w:szCs w:val="20"/>
          <w:lang w:eastAsia="cs-CZ"/>
        </w:rPr>
      </w:pPr>
      <w:bookmarkStart w:id="0" w:name="_GoBack"/>
      <w:bookmarkEnd w:id="0"/>
    </w:p>
    <w:sectPr w:rsidR="008123D2" w:rsidSect="00AE202A">
      <w:footerReference w:type="default" r:id="rId9"/>
      <w:headerReference w:type="first" r:id="rId10"/>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8C" w:rsidRDefault="00A1608C" w:rsidP="003D2616">
      <w:pPr>
        <w:spacing w:before="0" w:line="240" w:lineRule="auto"/>
      </w:pPr>
      <w:r>
        <w:separator/>
      </w:r>
    </w:p>
  </w:endnote>
  <w:endnote w:type="continuationSeparator" w:id="0">
    <w:p w:rsidR="00A1608C" w:rsidRDefault="00A1608C"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8C" w:rsidRDefault="00A1608C" w:rsidP="003D2616">
      <w:pPr>
        <w:spacing w:before="0" w:line="240" w:lineRule="auto"/>
      </w:pPr>
      <w:r>
        <w:separator/>
      </w:r>
    </w:p>
  </w:footnote>
  <w:footnote w:type="continuationSeparator" w:id="0">
    <w:p w:rsidR="00A1608C" w:rsidRDefault="00A1608C" w:rsidP="003D261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16" w:rsidRDefault="00A15C9F">
    <w:pPr>
      <w:pStyle w:val="Zhlav"/>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DC"/>
    <w:rsid w:val="00070C88"/>
    <w:rsid w:val="00072AB7"/>
    <w:rsid w:val="000736D5"/>
    <w:rsid w:val="000838BF"/>
    <w:rsid w:val="000B0A2E"/>
    <w:rsid w:val="000D1C00"/>
    <w:rsid w:val="000E42FE"/>
    <w:rsid w:val="001836B3"/>
    <w:rsid w:val="001E0BA3"/>
    <w:rsid w:val="00207DDB"/>
    <w:rsid w:val="00227ED2"/>
    <w:rsid w:val="00232C66"/>
    <w:rsid w:val="00267732"/>
    <w:rsid w:val="00270EFD"/>
    <w:rsid w:val="002A44D3"/>
    <w:rsid w:val="002A7B32"/>
    <w:rsid w:val="002F080D"/>
    <w:rsid w:val="00303406"/>
    <w:rsid w:val="00307424"/>
    <w:rsid w:val="0031258B"/>
    <w:rsid w:val="003174BD"/>
    <w:rsid w:val="00373B84"/>
    <w:rsid w:val="00390146"/>
    <w:rsid w:val="003D2616"/>
    <w:rsid w:val="004157E1"/>
    <w:rsid w:val="00461468"/>
    <w:rsid w:val="004927DC"/>
    <w:rsid w:val="004948B1"/>
    <w:rsid w:val="004B5276"/>
    <w:rsid w:val="004E7730"/>
    <w:rsid w:val="004F32BD"/>
    <w:rsid w:val="00544EA0"/>
    <w:rsid w:val="005B7C6C"/>
    <w:rsid w:val="005D0EE4"/>
    <w:rsid w:val="005E41EE"/>
    <w:rsid w:val="005F711D"/>
    <w:rsid w:val="00637BD8"/>
    <w:rsid w:val="00647B7C"/>
    <w:rsid w:val="0067192F"/>
    <w:rsid w:val="00762AFF"/>
    <w:rsid w:val="00763CCD"/>
    <w:rsid w:val="007756A5"/>
    <w:rsid w:val="0079502F"/>
    <w:rsid w:val="007A0A91"/>
    <w:rsid w:val="008123D2"/>
    <w:rsid w:val="00816017"/>
    <w:rsid w:val="00825DB0"/>
    <w:rsid w:val="0083167B"/>
    <w:rsid w:val="0084335D"/>
    <w:rsid w:val="00873642"/>
    <w:rsid w:val="00877F67"/>
    <w:rsid w:val="008D3936"/>
    <w:rsid w:val="008E79B6"/>
    <w:rsid w:val="0091174B"/>
    <w:rsid w:val="009314ED"/>
    <w:rsid w:val="0097548A"/>
    <w:rsid w:val="00980732"/>
    <w:rsid w:val="00996B93"/>
    <w:rsid w:val="009D6027"/>
    <w:rsid w:val="00A15C9F"/>
    <w:rsid w:val="00A1608C"/>
    <w:rsid w:val="00A66D09"/>
    <w:rsid w:val="00A709C3"/>
    <w:rsid w:val="00A85E3F"/>
    <w:rsid w:val="00A90FAC"/>
    <w:rsid w:val="00A93922"/>
    <w:rsid w:val="00AC051E"/>
    <w:rsid w:val="00AC529E"/>
    <w:rsid w:val="00AD41D0"/>
    <w:rsid w:val="00AD43C0"/>
    <w:rsid w:val="00AE202A"/>
    <w:rsid w:val="00AE72D8"/>
    <w:rsid w:val="00B401BD"/>
    <w:rsid w:val="00B76D27"/>
    <w:rsid w:val="00B85BDC"/>
    <w:rsid w:val="00B93E86"/>
    <w:rsid w:val="00B9510B"/>
    <w:rsid w:val="00BE226D"/>
    <w:rsid w:val="00BE7DF2"/>
    <w:rsid w:val="00BF2806"/>
    <w:rsid w:val="00C212C6"/>
    <w:rsid w:val="00C31A88"/>
    <w:rsid w:val="00C76AFD"/>
    <w:rsid w:val="00C8278D"/>
    <w:rsid w:val="00CF00B3"/>
    <w:rsid w:val="00D85AC7"/>
    <w:rsid w:val="00D87642"/>
    <w:rsid w:val="00DA2741"/>
    <w:rsid w:val="00DC2C8A"/>
    <w:rsid w:val="00DF1CCA"/>
    <w:rsid w:val="00E121E1"/>
    <w:rsid w:val="00E4721D"/>
    <w:rsid w:val="00EB3C42"/>
    <w:rsid w:val="00EB62F3"/>
    <w:rsid w:val="00F303F3"/>
    <w:rsid w:val="00F509CC"/>
    <w:rsid w:val="00F61A8A"/>
    <w:rsid w:val="00F6227F"/>
    <w:rsid w:val="00FC2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BABA-6861-43DF-9587-33205989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2141</Words>
  <Characters>12633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2021-05-13T09:47:00Z</dcterms:created>
  <dcterms:modified xsi:type="dcterms:W3CDTF">2021-05-17T07:41:00Z</dcterms:modified>
</cp:coreProperties>
</file>