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65" w:rsidRDefault="00AD7965" w:rsidP="00AD7965">
      <w:r>
        <w:tab/>
      </w:r>
      <w:r>
        <w:tab/>
      </w:r>
    </w:p>
    <w:p w:rsidR="0037134D" w:rsidRDefault="008E3236" w:rsidP="0037134D">
      <w:pPr>
        <w:jc w:val="center"/>
        <w:rPr>
          <w:rFonts w:cs="Arial"/>
          <w:b/>
          <w:sz w:val="36"/>
          <w:szCs w:val="36"/>
        </w:rPr>
      </w:pPr>
      <w:r w:rsidRPr="00915416">
        <w:rPr>
          <w:rFonts w:cs="Arial"/>
          <w:b/>
          <w:sz w:val="36"/>
          <w:szCs w:val="36"/>
        </w:rPr>
        <w:t xml:space="preserve">S M L O U V A   O   D Í L O </w:t>
      </w:r>
    </w:p>
    <w:p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9B10AF" w:rsidRPr="00915416" w:rsidRDefault="009B10AF" w:rsidP="009038A4">
      <w:pPr>
        <w:jc w:val="center"/>
        <w:rPr>
          <w:rFonts w:cs="Arial"/>
          <w:b/>
          <w:sz w:val="36"/>
          <w:szCs w:val="36"/>
        </w:rPr>
      </w:pPr>
    </w:p>
    <w:p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D21A25">
        <w:rPr>
          <w:rFonts w:cs="Arial"/>
          <w:b/>
          <w:szCs w:val="22"/>
        </w:rPr>
        <w:t>558</w:t>
      </w:r>
      <w:r w:rsidR="009038A4">
        <w:rPr>
          <w:rFonts w:cs="Arial"/>
          <w:b/>
          <w:szCs w:val="22"/>
        </w:rPr>
        <w:t>/</w:t>
      </w:r>
      <w:r w:rsidR="00E436F4">
        <w:rPr>
          <w:rFonts w:cs="Arial"/>
          <w:b/>
          <w:szCs w:val="22"/>
        </w:rPr>
        <w:t>202</w:t>
      </w:r>
      <w:r w:rsidR="00002566">
        <w:rPr>
          <w:rFonts w:cs="Arial"/>
          <w:b/>
          <w:szCs w:val="22"/>
        </w:rPr>
        <w:t>1</w:t>
      </w:r>
    </w:p>
    <w:p w:rsidR="008E3236" w:rsidRPr="00915416" w:rsidRDefault="008E3236" w:rsidP="008E3236">
      <w:pPr>
        <w:rPr>
          <w:rFonts w:cs="Arial"/>
          <w:b/>
        </w:rPr>
      </w:pPr>
    </w:p>
    <w:p w:rsidR="0039506D" w:rsidRPr="00D74A50" w:rsidRDefault="0039506D" w:rsidP="008E3236">
      <w:pPr>
        <w:pStyle w:val="Export0"/>
        <w:jc w:val="center"/>
        <w:rPr>
          <w:rFonts w:ascii="Arial" w:hAnsi="Arial" w:cs="Arial"/>
          <w:b/>
          <w:sz w:val="22"/>
          <w:szCs w:val="22"/>
          <w:lang w:val="cs-CZ"/>
        </w:rPr>
      </w:pPr>
    </w:p>
    <w:p w:rsidR="00032856" w:rsidRPr="00F01557" w:rsidRDefault="005A2490" w:rsidP="00032856">
      <w:pPr>
        <w:jc w:val="center"/>
        <w:rPr>
          <w:rFonts w:cs="Arial"/>
        </w:rPr>
      </w:pPr>
      <w:r w:rsidRPr="005A2490">
        <w:rPr>
          <w:rFonts w:cs="Arial"/>
          <w:b/>
        </w:rPr>
        <w:t xml:space="preserve">VD Kadaň – schodiště v levém zavázání </w:t>
      </w:r>
      <w:r w:rsidR="00680069" w:rsidRPr="00F01557">
        <w:rPr>
          <w:rFonts w:cs="Arial"/>
          <w:b/>
        </w:rPr>
        <w:t>– projektová dokumentace</w:t>
      </w:r>
      <w:r w:rsidR="00335EC3">
        <w:rPr>
          <w:rFonts w:cs="Arial"/>
          <w:b/>
        </w:rPr>
        <w:t xml:space="preserve"> (DS</w:t>
      </w:r>
      <w:r w:rsidR="00801B34">
        <w:rPr>
          <w:rFonts w:cs="Arial"/>
          <w:b/>
        </w:rPr>
        <w:t>P,DPS</w:t>
      </w:r>
      <w:r w:rsidR="00335EC3">
        <w:rPr>
          <w:rFonts w:cs="Arial"/>
          <w:b/>
        </w:rPr>
        <w:t>)</w:t>
      </w:r>
    </w:p>
    <w:p w:rsidR="008E3236" w:rsidRPr="0037134D" w:rsidRDefault="008E3236" w:rsidP="008E3236">
      <w:pPr>
        <w:tabs>
          <w:tab w:val="left" w:pos="4080"/>
        </w:tabs>
        <w:rPr>
          <w:rFonts w:cs="Arial"/>
          <w:b/>
          <w:szCs w:val="22"/>
        </w:rPr>
      </w:pPr>
    </w:p>
    <w:p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rsidR="008E3236" w:rsidRPr="00D74A50" w:rsidRDefault="008E3236" w:rsidP="008E3236">
      <w:pPr>
        <w:rPr>
          <w:rFonts w:cs="Arial"/>
          <w:szCs w:val="22"/>
        </w:rPr>
      </w:pPr>
    </w:p>
    <w:p w:rsidR="008E3236" w:rsidRPr="00D74A50" w:rsidRDefault="008E3236" w:rsidP="007E207C">
      <w:pPr>
        <w:tabs>
          <w:tab w:val="left" w:pos="3960"/>
        </w:tabs>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rsidR="00A451E8" w:rsidRPr="00A451E8" w:rsidRDefault="007E207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rsidR="00F95F49"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r>
    </w:p>
    <w:p w:rsidR="00335EC3" w:rsidRPr="009038A4" w:rsidRDefault="00335EC3" w:rsidP="00002566">
      <w:pPr>
        <w:tabs>
          <w:tab w:val="left" w:pos="3960"/>
        </w:tabs>
        <w:ind w:left="3969" w:hanging="3969"/>
        <w:rPr>
          <w:rFonts w:cs="Arial"/>
          <w:szCs w:val="22"/>
        </w:rPr>
      </w:pPr>
      <w:r w:rsidRPr="009038A4">
        <w:rPr>
          <w:rFonts w:cs="Arial"/>
          <w:szCs w:val="22"/>
        </w:rPr>
        <w:t xml:space="preserve"> </w:t>
      </w:r>
    </w:p>
    <w:p w:rsidR="00801B34" w:rsidRPr="009038A4" w:rsidRDefault="00801B34" w:rsidP="00801B34">
      <w:pPr>
        <w:tabs>
          <w:tab w:val="left" w:pos="3960"/>
        </w:tabs>
        <w:autoSpaceDE w:val="0"/>
        <w:autoSpaceDN w:val="0"/>
        <w:adjustRightInd w:val="0"/>
        <w:rPr>
          <w:rFonts w:cs="Arial"/>
          <w:color w:val="000000"/>
          <w:szCs w:val="22"/>
        </w:rPr>
      </w:pPr>
      <w:r w:rsidRPr="009038A4">
        <w:rPr>
          <w:rFonts w:cs="Arial"/>
          <w:color w:val="000000"/>
          <w:szCs w:val="22"/>
        </w:rPr>
        <w:t xml:space="preserve">zástupce </w:t>
      </w:r>
      <w:r>
        <w:rPr>
          <w:rFonts w:cs="Arial"/>
          <w:color w:val="000000"/>
          <w:szCs w:val="22"/>
        </w:rPr>
        <w:t>objednatele</w:t>
      </w:r>
      <w:r w:rsidRPr="009038A4">
        <w:rPr>
          <w:rFonts w:cs="Arial"/>
          <w:color w:val="000000"/>
          <w:szCs w:val="22"/>
        </w:rPr>
        <w:t xml:space="preserve">  </w:t>
      </w:r>
    </w:p>
    <w:p w:rsidR="006A454C" w:rsidRPr="000A37B0" w:rsidRDefault="007E207C" w:rsidP="006A454C">
      <w:pPr>
        <w:tabs>
          <w:tab w:val="left" w:pos="3960"/>
        </w:tabs>
        <w:autoSpaceDE w:val="0"/>
        <w:autoSpaceDN w:val="0"/>
        <w:adjustRightInd w:val="0"/>
        <w:rPr>
          <w:rFonts w:cs="Arial"/>
          <w:color w:val="000000"/>
          <w:szCs w:val="22"/>
        </w:rPr>
      </w:pPr>
      <w:r>
        <w:rPr>
          <w:rFonts w:cs="Arial"/>
          <w:color w:val="000000"/>
          <w:szCs w:val="22"/>
        </w:rPr>
        <w:t>za projektovou přípravu:</w:t>
      </w:r>
    </w:p>
    <w:p w:rsidR="00F95F49" w:rsidRPr="000A37B0" w:rsidRDefault="006A454C" w:rsidP="00F95F49">
      <w:pPr>
        <w:tabs>
          <w:tab w:val="left" w:pos="3960"/>
        </w:tabs>
        <w:autoSpaceDE w:val="0"/>
        <w:autoSpaceDN w:val="0"/>
        <w:adjustRightInd w:val="0"/>
        <w:rPr>
          <w:rFonts w:cs="Arial"/>
          <w:color w:val="000000"/>
          <w:szCs w:val="22"/>
        </w:rPr>
      </w:pPr>
      <w:r w:rsidRPr="000A37B0">
        <w:rPr>
          <w:rFonts w:cs="Arial"/>
          <w:color w:val="000000"/>
          <w:szCs w:val="22"/>
        </w:rPr>
        <w:tab/>
      </w:r>
    </w:p>
    <w:p w:rsidR="00F639F1" w:rsidRPr="007E207C" w:rsidRDefault="00801B34" w:rsidP="006A454C">
      <w:pPr>
        <w:tabs>
          <w:tab w:val="left" w:pos="3960"/>
        </w:tabs>
        <w:autoSpaceDE w:val="0"/>
        <w:autoSpaceDN w:val="0"/>
        <w:adjustRightInd w:val="0"/>
        <w:rPr>
          <w:rStyle w:val="Hypertextovodkaz"/>
          <w:rFonts w:cs="Arial"/>
          <w:color w:val="000000"/>
          <w:szCs w:val="22"/>
          <w:u w:val="none"/>
        </w:rPr>
      </w:pPr>
      <w:r w:rsidRPr="000A37B0">
        <w:rPr>
          <w:rFonts w:cs="Arial"/>
          <w:color w:val="000000"/>
          <w:szCs w:val="22"/>
        </w:rPr>
        <w:tab/>
      </w:r>
    </w:p>
    <w:p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rPr>
          <w:rFonts w:cs="Arial"/>
          <w:szCs w:val="22"/>
        </w:rPr>
      </w:pPr>
    </w:p>
    <w:p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rsidR="008E3236" w:rsidRPr="00D74A50" w:rsidRDefault="008E3236" w:rsidP="008E3236">
      <w:pPr>
        <w:tabs>
          <w:tab w:val="left" w:pos="3960"/>
        </w:tabs>
        <w:rPr>
          <w:rFonts w:cs="Arial"/>
          <w:b/>
          <w:szCs w:val="22"/>
        </w:rPr>
      </w:pPr>
    </w:p>
    <w:p w:rsidR="005A2490" w:rsidRPr="00386410" w:rsidRDefault="005A2490" w:rsidP="005A2490">
      <w:pPr>
        <w:tabs>
          <w:tab w:val="left" w:pos="3960"/>
        </w:tabs>
        <w:ind w:left="3960" w:hanging="3960"/>
        <w:rPr>
          <w:rFonts w:cs="Arial"/>
          <w:b/>
          <w:szCs w:val="22"/>
        </w:rPr>
      </w:pPr>
      <w:r>
        <w:rPr>
          <w:rFonts w:cs="Arial"/>
          <w:b/>
          <w:szCs w:val="22"/>
        </w:rPr>
        <w:t>Zhotovitel</w:t>
      </w:r>
      <w:r w:rsidRPr="00386410">
        <w:rPr>
          <w:rFonts w:cs="Arial"/>
          <w:b/>
          <w:szCs w:val="22"/>
        </w:rPr>
        <w:t>:</w:t>
      </w:r>
      <w:r>
        <w:rPr>
          <w:rFonts w:cs="Arial"/>
          <w:b/>
          <w:szCs w:val="22"/>
        </w:rPr>
        <w:tab/>
        <w:t xml:space="preserve">VP PROJEKTING s.r.o., projekční a inženýrská činnost </w:t>
      </w:r>
    </w:p>
    <w:p w:rsidR="005A2490" w:rsidRDefault="005A2490" w:rsidP="005A2490">
      <w:pPr>
        <w:tabs>
          <w:tab w:val="left" w:pos="3960"/>
        </w:tabs>
        <w:rPr>
          <w:rFonts w:cs="Arial"/>
          <w:szCs w:val="22"/>
        </w:rPr>
      </w:pPr>
      <w:r>
        <w:rPr>
          <w:rFonts w:cs="Arial"/>
          <w:szCs w:val="22"/>
        </w:rPr>
        <w:tab/>
        <w:t>Přemyslova 3, 120 00 Praha 2</w:t>
      </w:r>
    </w:p>
    <w:p w:rsidR="005A2490" w:rsidRPr="00A5060B" w:rsidRDefault="005A2490" w:rsidP="005A2490">
      <w:pPr>
        <w:ind w:left="2832" w:firstLine="708"/>
        <w:rPr>
          <w:rFonts w:cs="Arial"/>
          <w:szCs w:val="22"/>
        </w:rPr>
      </w:pPr>
      <w:r w:rsidRPr="00A5060B">
        <w:rPr>
          <w:rFonts w:cs="Arial"/>
          <w:szCs w:val="22"/>
        </w:rPr>
        <w:t xml:space="preserve">      </w:t>
      </w:r>
      <w:r>
        <w:rPr>
          <w:rFonts w:cs="Arial"/>
          <w:szCs w:val="22"/>
        </w:rPr>
        <w:t xml:space="preserve"> </w:t>
      </w:r>
    </w:p>
    <w:p w:rsidR="005A2490" w:rsidRPr="007E207C" w:rsidRDefault="005A2490" w:rsidP="005A2490">
      <w:pPr>
        <w:tabs>
          <w:tab w:val="left" w:pos="3960"/>
        </w:tabs>
        <w:rPr>
          <w:rFonts w:cs="Arial"/>
          <w:szCs w:val="22"/>
        </w:rPr>
      </w:pPr>
      <w:r w:rsidRPr="007E207C">
        <w:rPr>
          <w:rFonts w:cs="Arial"/>
          <w:szCs w:val="22"/>
        </w:rPr>
        <w:t>IČO:</w:t>
      </w:r>
      <w:r w:rsidRPr="007E207C">
        <w:rPr>
          <w:rFonts w:cs="Arial"/>
          <w:szCs w:val="22"/>
        </w:rPr>
        <w:tab/>
        <w:t>636 76 907</w:t>
      </w:r>
      <w:r w:rsidRPr="007E207C">
        <w:rPr>
          <w:rFonts w:cs="Arial"/>
          <w:szCs w:val="22"/>
        </w:rPr>
        <w:tab/>
      </w:r>
    </w:p>
    <w:p w:rsidR="005A2490" w:rsidRPr="007E207C" w:rsidRDefault="005A2490" w:rsidP="005A2490">
      <w:pPr>
        <w:tabs>
          <w:tab w:val="left" w:pos="3960"/>
        </w:tabs>
        <w:rPr>
          <w:rFonts w:cs="Arial"/>
          <w:szCs w:val="22"/>
        </w:rPr>
      </w:pPr>
      <w:r w:rsidRPr="007E207C">
        <w:rPr>
          <w:rFonts w:cs="Arial"/>
          <w:szCs w:val="22"/>
        </w:rPr>
        <w:t>DIČ:</w:t>
      </w:r>
      <w:r w:rsidRPr="007E207C">
        <w:rPr>
          <w:rFonts w:cs="Arial"/>
          <w:szCs w:val="22"/>
        </w:rPr>
        <w:tab/>
        <w:t>CZ63676907</w:t>
      </w:r>
      <w:r w:rsidRPr="007E207C">
        <w:rPr>
          <w:rFonts w:cs="Arial"/>
          <w:szCs w:val="22"/>
        </w:rPr>
        <w:tab/>
      </w:r>
    </w:p>
    <w:p w:rsidR="005A2490" w:rsidRPr="007E207C" w:rsidRDefault="005A2490" w:rsidP="005A2490">
      <w:pPr>
        <w:tabs>
          <w:tab w:val="left" w:pos="3960"/>
        </w:tabs>
        <w:ind w:left="3960" w:hanging="3960"/>
        <w:rPr>
          <w:rFonts w:cs="Arial"/>
          <w:szCs w:val="22"/>
        </w:rPr>
      </w:pPr>
      <w:r w:rsidRPr="007E207C">
        <w:rPr>
          <w:rFonts w:cs="Arial"/>
          <w:szCs w:val="22"/>
        </w:rPr>
        <w:t xml:space="preserve">zastoupený: </w:t>
      </w:r>
      <w:r w:rsidRPr="007E207C">
        <w:rPr>
          <w:rFonts w:cs="Arial"/>
          <w:szCs w:val="22"/>
        </w:rPr>
        <w:tab/>
      </w:r>
      <w:r w:rsidRPr="007E207C">
        <w:rPr>
          <w:rFonts w:cs="Arial"/>
          <w:szCs w:val="22"/>
        </w:rPr>
        <w:tab/>
      </w:r>
    </w:p>
    <w:p w:rsidR="005A2490" w:rsidRPr="007E207C" w:rsidRDefault="005A2490" w:rsidP="005A2490">
      <w:pPr>
        <w:tabs>
          <w:tab w:val="left" w:pos="3960"/>
        </w:tabs>
        <w:rPr>
          <w:rFonts w:cs="Arial"/>
          <w:szCs w:val="22"/>
        </w:rPr>
      </w:pPr>
      <w:r w:rsidRPr="007E207C">
        <w:rPr>
          <w:rFonts w:cs="Arial"/>
          <w:szCs w:val="22"/>
        </w:rPr>
        <w:t>zástupce ve věcech smluvních:</w:t>
      </w:r>
      <w:r w:rsidRPr="007E207C">
        <w:rPr>
          <w:rFonts w:cs="Arial"/>
          <w:szCs w:val="22"/>
        </w:rPr>
        <w:tab/>
      </w:r>
      <w:r w:rsidRPr="007E207C">
        <w:rPr>
          <w:rFonts w:cs="Arial"/>
          <w:szCs w:val="22"/>
        </w:rPr>
        <w:tab/>
      </w:r>
    </w:p>
    <w:p w:rsidR="005A2490" w:rsidRDefault="005A2490" w:rsidP="005A2490">
      <w:pPr>
        <w:tabs>
          <w:tab w:val="left" w:pos="3960"/>
        </w:tabs>
        <w:rPr>
          <w:rStyle w:val="Hypertextovodkaz"/>
          <w:rFonts w:cs="Arial"/>
          <w:color w:val="auto"/>
          <w:szCs w:val="22"/>
          <w:u w:val="none"/>
        </w:rPr>
      </w:pPr>
      <w:r w:rsidRPr="007E207C">
        <w:rPr>
          <w:rFonts w:cs="Arial"/>
          <w:szCs w:val="22"/>
        </w:rPr>
        <w:tab/>
      </w:r>
      <w:r w:rsidRPr="007E207C">
        <w:rPr>
          <w:rStyle w:val="Hypertextovodkaz"/>
          <w:rFonts w:cs="Arial"/>
          <w:color w:val="auto"/>
          <w:szCs w:val="22"/>
          <w:u w:val="none"/>
        </w:rPr>
        <w:tab/>
      </w:r>
    </w:p>
    <w:p w:rsidR="00F95F49" w:rsidRDefault="00F95F49" w:rsidP="005A2490">
      <w:pPr>
        <w:tabs>
          <w:tab w:val="left" w:pos="3960"/>
        </w:tabs>
        <w:rPr>
          <w:rStyle w:val="Hypertextovodkaz"/>
          <w:rFonts w:cs="Arial"/>
          <w:color w:val="auto"/>
          <w:szCs w:val="22"/>
          <w:u w:val="none"/>
        </w:rPr>
      </w:pPr>
    </w:p>
    <w:p w:rsidR="00F95F49" w:rsidRPr="007E207C" w:rsidRDefault="00F95F49" w:rsidP="005A2490">
      <w:pPr>
        <w:tabs>
          <w:tab w:val="left" w:pos="3960"/>
        </w:tabs>
        <w:rPr>
          <w:rStyle w:val="Hypertextovodkaz"/>
          <w:rFonts w:cs="Arial"/>
          <w:color w:val="auto"/>
          <w:szCs w:val="22"/>
          <w:u w:val="none"/>
        </w:rPr>
      </w:pPr>
    </w:p>
    <w:p w:rsidR="005A2490" w:rsidRPr="007E207C" w:rsidRDefault="005A2490" w:rsidP="005A2490">
      <w:pPr>
        <w:tabs>
          <w:tab w:val="left" w:pos="3960"/>
        </w:tabs>
        <w:rPr>
          <w:rFonts w:cs="Arial"/>
          <w:szCs w:val="22"/>
        </w:rPr>
      </w:pPr>
      <w:r w:rsidRPr="007E207C">
        <w:rPr>
          <w:rStyle w:val="Hypertextovodkaz"/>
          <w:rFonts w:cs="Arial"/>
          <w:color w:val="auto"/>
          <w:szCs w:val="22"/>
          <w:u w:val="none"/>
        </w:rPr>
        <w:tab/>
      </w:r>
    </w:p>
    <w:p w:rsidR="005A2490" w:rsidRPr="007E207C" w:rsidRDefault="005A2490" w:rsidP="005A2490">
      <w:pPr>
        <w:tabs>
          <w:tab w:val="left" w:pos="3960"/>
        </w:tabs>
        <w:rPr>
          <w:rFonts w:cs="Arial"/>
          <w:szCs w:val="22"/>
        </w:rPr>
      </w:pPr>
      <w:r w:rsidRPr="007E207C">
        <w:rPr>
          <w:rFonts w:cs="Arial"/>
          <w:szCs w:val="22"/>
        </w:rPr>
        <w:t>zástupce ve věcech technických:</w:t>
      </w:r>
      <w:r w:rsidRPr="007E207C">
        <w:rPr>
          <w:rFonts w:cs="Arial"/>
          <w:szCs w:val="22"/>
        </w:rPr>
        <w:tab/>
      </w:r>
      <w:r w:rsidRPr="007E207C">
        <w:rPr>
          <w:rFonts w:cs="Arial"/>
          <w:szCs w:val="22"/>
        </w:rPr>
        <w:tab/>
      </w:r>
      <w:r w:rsidRPr="007E207C">
        <w:rPr>
          <w:rFonts w:cs="Arial"/>
          <w:szCs w:val="22"/>
        </w:rPr>
        <w:tab/>
      </w:r>
    </w:p>
    <w:p w:rsidR="005A2490" w:rsidRPr="007E207C" w:rsidRDefault="005A2490" w:rsidP="005A2490">
      <w:pPr>
        <w:tabs>
          <w:tab w:val="left" w:pos="1260"/>
          <w:tab w:val="left" w:pos="3960"/>
        </w:tabs>
        <w:spacing w:before="120"/>
        <w:rPr>
          <w:rFonts w:cs="Arial"/>
          <w:bCs/>
          <w:color w:val="000000"/>
          <w:szCs w:val="22"/>
        </w:rPr>
      </w:pPr>
      <w:r w:rsidRPr="007E207C">
        <w:rPr>
          <w:rFonts w:cs="Arial"/>
          <w:szCs w:val="22"/>
        </w:rPr>
        <w:t xml:space="preserve">bankovní spojení: </w:t>
      </w:r>
      <w:r w:rsidRPr="007E207C">
        <w:rPr>
          <w:rFonts w:cs="Arial"/>
          <w:szCs w:val="22"/>
        </w:rPr>
        <w:tab/>
      </w:r>
      <w:r w:rsidRPr="007E207C">
        <w:rPr>
          <w:rFonts w:cs="Arial"/>
          <w:szCs w:val="22"/>
        </w:rPr>
        <w:tab/>
      </w:r>
    </w:p>
    <w:p w:rsidR="005A2490" w:rsidRPr="007E207C" w:rsidRDefault="005A2490" w:rsidP="005A2490">
      <w:pPr>
        <w:tabs>
          <w:tab w:val="left" w:pos="3960"/>
        </w:tabs>
        <w:rPr>
          <w:rFonts w:cs="Arial"/>
          <w:szCs w:val="22"/>
        </w:rPr>
      </w:pPr>
      <w:r w:rsidRPr="007E207C">
        <w:rPr>
          <w:rFonts w:cs="Arial"/>
          <w:szCs w:val="22"/>
        </w:rPr>
        <w:t xml:space="preserve">číslo účtu: </w:t>
      </w:r>
      <w:r w:rsidRPr="007E207C">
        <w:rPr>
          <w:rFonts w:cs="Arial"/>
          <w:szCs w:val="22"/>
        </w:rPr>
        <w:tab/>
      </w:r>
    </w:p>
    <w:p w:rsidR="005A2490" w:rsidRPr="00386410" w:rsidRDefault="005A2490" w:rsidP="005A2490">
      <w:pPr>
        <w:rPr>
          <w:rFonts w:cs="Arial"/>
          <w:szCs w:val="22"/>
        </w:rPr>
      </w:pPr>
      <w:r>
        <w:rPr>
          <w:rFonts w:cs="Arial"/>
          <w:szCs w:val="22"/>
        </w:rPr>
        <w:t>Zhotovitel</w:t>
      </w:r>
      <w:r w:rsidRPr="00386410">
        <w:rPr>
          <w:rFonts w:cs="Arial"/>
          <w:szCs w:val="22"/>
        </w:rPr>
        <w:t xml:space="preserve"> je</w:t>
      </w:r>
      <w:r>
        <w:rPr>
          <w:rFonts w:cs="Arial"/>
          <w:szCs w:val="22"/>
        </w:rPr>
        <w:t xml:space="preserve"> zapsán v Obchodním rejstříku Městského soudu v Praze, v oddílu C, vložce č. 37180</w:t>
      </w:r>
    </w:p>
    <w:p w:rsidR="005A2490" w:rsidRPr="001A7E87" w:rsidRDefault="005A2490" w:rsidP="005A2490">
      <w:pPr>
        <w:autoSpaceDE w:val="0"/>
        <w:autoSpaceDN w:val="0"/>
        <w:adjustRightInd w:val="0"/>
        <w:spacing w:line="300" w:lineRule="atLeast"/>
        <w:rPr>
          <w:rFonts w:cs="Arial"/>
          <w:color w:val="000000"/>
          <w:szCs w:val="22"/>
        </w:rPr>
      </w:pPr>
      <w:r w:rsidRPr="001A7E87">
        <w:rPr>
          <w:rFonts w:cs="Arial"/>
          <w:color w:val="000000"/>
          <w:szCs w:val="22"/>
        </w:rPr>
        <w:t>Toto zmocnění trvá až do písemného odvolání. Změny v zastoupení budou uvedeny v dodatku k této smlouvě.</w:t>
      </w:r>
    </w:p>
    <w:p w:rsidR="005A2490" w:rsidRDefault="005A2490" w:rsidP="005A2490">
      <w:pPr>
        <w:tabs>
          <w:tab w:val="left" w:pos="3960"/>
          <w:tab w:val="right" w:pos="9049"/>
        </w:tabs>
        <w:autoSpaceDE w:val="0"/>
        <w:autoSpaceDN w:val="0"/>
        <w:adjustRightInd w:val="0"/>
        <w:spacing w:line="300" w:lineRule="atLeast"/>
        <w:rPr>
          <w:rFonts w:cs="Arial"/>
          <w:szCs w:val="22"/>
        </w:rPr>
      </w:pPr>
    </w:p>
    <w:p w:rsidR="00531101" w:rsidRDefault="005A2490" w:rsidP="007E207C">
      <w:pPr>
        <w:tabs>
          <w:tab w:val="left" w:pos="3960"/>
          <w:tab w:val="right" w:pos="9049"/>
        </w:tabs>
        <w:autoSpaceDE w:val="0"/>
        <w:autoSpaceDN w:val="0"/>
        <w:adjustRightInd w:val="0"/>
        <w:spacing w:line="300" w:lineRule="atLeast"/>
        <w:rPr>
          <w:rFonts w:cs="Arial"/>
          <w:szCs w:val="22"/>
        </w:rPr>
      </w:pPr>
      <w:r w:rsidRPr="009B195C">
        <w:rPr>
          <w:rFonts w:cs="Arial"/>
          <w:szCs w:val="22"/>
        </w:rPr>
        <w:t xml:space="preserve"> (dále jen „zhotovitel“) na straně druhé.</w:t>
      </w:r>
      <w:r w:rsidRPr="009B195C">
        <w:rPr>
          <w:rFonts w:cs="Arial"/>
          <w:color w:val="000000"/>
          <w:szCs w:val="22"/>
        </w:rPr>
        <w:tab/>
      </w:r>
    </w:p>
    <w:p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rsidR="00680069" w:rsidRPr="00A87606" w:rsidRDefault="00680069" w:rsidP="00680069">
      <w:pPr>
        <w:widowControl w:val="0"/>
        <w:rPr>
          <w:rFonts w:cs="Arial"/>
          <w:szCs w:val="22"/>
        </w:rPr>
      </w:pPr>
    </w:p>
    <w:p w:rsidR="00801B34" w:rsidRDefault="00801B34" w:rsidP="00801B34">
      <w:pPr>
        <w:autoSpaceDE w:val="0"/>
        <w:autoSpaceDN w:val="0"/>
        <w:adjustRightInd w:val="0"/>
        <w:rPr>
          <w:rFonts w:cs="Arial"/>
          <w:szCs w:val="22"/>
        </w:rPr>
      </w:pPr>
      <w:r w:rsidRPr="0053190C">
        <w:rPr>
          <w:rFonts w:cs="Arial"/>
          <w:szCs w:val="22"/>
        </w:rPr>
        <w:t>Zhotovitel se zavazuje, že na svůj náklad pro objednatele vypracuje a zajistí v rozsahu a</w:t>
      </w:r>
      <w:r>
        <w:rPr>
          <w:rFonts w:cs="Arial"/>
          <w:szCs w:val="22"/>
        </w:rPr>
        <w:t> </w:t>
      </w:r>
      <w:r w:rsidRPr="0053190C">
        <w:rPr>
          <w:rFonts w:cs="Arial"/>
          <w:szCs w:val="22"/>
        </w:rPr>
        <w:t>za</w:t>
      </w:r>
      <w:r>
        <w:rPr>
          <w:rFonts w:cs="Arial"/>
          <w:szCs w:val="22"/>
        </w:rPr>
        <w:t> </w:t>
      </w:r>
      <w:r w:rsidRPr="0053190C">
        <w:rPr>
          <w:rFonts w:cs="Arial"/>
          <w:szCs w:val="22"/>
        </w:rPr>
        <w:t>podmínek ujednaných v této smlouvě a objednateli odevzdá projektovou dokumentaci</w:t>
      </w:r>
      <w:r>
        <w:rPr>
          <w:rFonts w:cs="Arial"/>
          <w:szCs w:val="22"/>
        </w:rPr>
        <w:t xml:space="preserve"> </w:t>
      </w:r>
      <w:r w:rsidRPr="00214720">
        <w:rPr>
          <w:rFonts w:cs="Arial"/>
          <w:szCs w:val="22"/>
        </w:rPr>
        <w:t>(dále jen PD) a související výkony:</w:t>
      </w:r>
    </w:p>
    <w:p w:rsidR="00801B34" w:rsidRDefault="00801B34" w:rsidP="00801B34">
      <w:pPr>
        <w:autoSpaceDE w:val="0"/>
        <w:autoSpaceDN w:val="0"/>
        <w:adjustRightInd w:val="0"/>
        <w:rPr>
          <w:rFonts w:cs="Arial"/>
          <w:b/>
          <w:bCs/>
          <w:szCs w:val="22"/>
        </w:rPr>
      </w:pPr>
    </w:p>
    <w:p w:rsidR="00CA4D5D" w:rsidRDefault="00CA4D5D" w:rsidP="00801B34">
      <w:pPr>
        <w:autoSpaceDE w:val="0"/>
        <w:autoSpaceDN w:val="0"/>
        <w:adjustRightInd w:val="0"/>
        <w:rPr>
          <w:rFonts w:cs="Arial"/>
          <w:b/>
          <w:bCs/>
          <w:szCs w:val="22"/>
        </w:rPr>
      </w:pPr>
    </w:p>
    <w:p w:rsidR="00801B34" w:rsidRDefault="00801B34" w:rsidP="00801B34">
      <w:pPr>
        <w:pStyle w:val="Odstavecseseznamem"/>
        <w:autoSpaceDE w:val="0"/>
        <w:autoSpaceDN w:val="0"/>
        <w:adjustRightInd w:val="0"/>
        <w:ind w:left="0"/>
        <w:rPr>
          <w:rFonts w:cs="Arial"/>
          <w:b/>
          <w:szCs w:val="22"/>
        </w:rPr>
      </w:pPr>
      <w:r>
        <w:rPr>
          <w:rFonts w:ascii="Arial CE" w:hAnsi="Arial CE" w:cs="Arial"/>
          <w:b/>
          <w:szCs w:val="22"/>
        </w:rPr>
        <w:t xml:space="preserve">1. </w:t>
      </w:r>
      <w:r>
        <w:rPr>
          <w:rFonts w:ascii="Arial CE" w:hAnsi="Arial CE" w:cs="Arial"/>
          <w:b/>
          <w:szCs w:val="22"/>
        </w:rPr>
        <w:tab/>
      </w:r>
      <w:r w:rsidRPr="00AA525C">
        <w:rPr>
          <w:rFonts w:ascii="Arial CE" w:hAnsi="Arial CE" w:cs="Arial"/>
          <w:b/>
          <w:szCs w:val="22"/>
        </w:rPr>
        <w:t>Dokumentac</w:t>
      </w:r>
      <w:r w:rsidR="0089607D">
        <w:rPr>
          <w:rFonts w:ascii="Arial CE" w:hAnsi="Arial CE" w:cs="Arial"/>
          <w:b/>
          <w:szCs w:val="22"/>
        </w:rPr>
        <w:t>i</w:t>
      </w:r>
      <w:r w:rsidRPr="00AA525C">
        <w:rPr>
          <w:rFonts w:ascii="Arial CE" w:hAnsi="Arial CE" w:cs="Arial"/>
          <w:b/>
          <w:szCs w:val="22"/>
        </w:rPr>
        <w:t xml:space="preserve"> pro ohlášení stavby nebo pro vydání stavebního povolení (dále </w:t>
      </w:r>
      <w:r>
        <w:rPr>
          <w:rFonts w:ascii="Arial CE" w:hAnsi="Arial CE" w:cs="Arial"/>
          <w:b/>
          <w:szCs w:val="22"/>
        </w:rPr>
        <w:tab/>
      </w:r>
      <w:r w:rsidRPr="00AA525C">
        <w:rPr>
          <w:rFonts w:ascii="Arial CE" w:hAnsi="Arial CE" w:cs="Arial"/>
          <w:b/>
          <w:szCs w:val="22"/>
        </w:rPr>
        <w:t>jen DSP)</w:t>
      </w:r>
    </w:p>
    <w:p w:rsidR="00801B34" w:rsidRDefault="00801B34" w:rsidP="00801B34">
      <w:pPr>
        <w:pStyle w:val="Odstavecseseznamem"/>
        <w:autoSpaceDE w:val="0"/>
        <w:autoSpaceDN w:val="0"/>
        <w:adjustRightInd w:val="0"/>
        <w:ind w:left="0"/>
        <w:rPr>
          <w:rFonts w:cs="Arial"/>
          <w:b/>
          <w:szCs w:val="22"/>
        </w:rPr>
      </w:pPr>
      <w:r>
        <w:rPr>
          <w:rFonts w:cs="Arial"/>
          <w:b/>
          <w:szCs w:val="22"/>
        </w:rPr>
        <w:t xml:space="preserve">2. </w:t>
      </w:r>
      <w:r>
        <w:rPr>
          <w:rFonts w:cs="Arial"/>
          <w:b/>
          <w:szCs w:val="22"/>
        </w:rPr>
        <w:tab/>
      </w:r>
      <w:r w:rsidRPr="004E7083">
        <w:rPr>
          <w:rFonts w:cs="Arial"/>
          <w:b/>
          <w:szCs w:val="22"/>
        </w:rPr>
        <w:t>Dokumentaci pro provádění stavby (dále jen DPS)</w:t>
      </w:r>
      <w:r>
        <w:rPr>
          <w:rFonts w:cs="Arial"/>
          <w:b/>
          <w:szCs w:val="22"/>
        </w:rPr>
        <w:t xml:space="preserve"> </w:t>
      </w:r>
    </w:p>
    <w:p w:rsidR="00801B34" w:rsidRDefault="00801B34" w:rsidP="00801B34">
      <w:pPr>
        <w:pStyle w:val="Odstavecseseznamem"/>
        <w:autoSpaceDE w:val="0"/>
        <w:autoSpaceDN w:val="0"/>
        <w:adjustRightInd w:val="0"/>
        <w:ind w:hanging="708"/>
        <w:rPr>
          <w:rFonts w:cs="Arial"/>
          <w:b/>
          <w:szCs w:val="22"/>
        </w:rPr>
      </w:pPr>
    </w:p>
    <w:p w:rsidR="00C8531F" w:rsidRDefault="00CA4D5D" w:rsidP="00C8531F">
      <w:pPr>
        <w:rPr>
          <w:rFonts w:eastAsia="Arial CE" w:cs="Arial"/>
          <w:szCs w:val="22"/>
        </w:rPr>
      </w:pPr>
      <w:r>
        <w:rPr>
          <w:rFonts w:eastAsia="Arial CE" w:cs="Arial"/>
          <w:szCs w:val="22"/>
        </w:rPr>
        <w:t>Dokumentace budou zpracovány na základě již schválené Studie (10/2020), která řeší možné varianty v levém zavázání VD Kadaň, které slouží jako přístup pro pěší za korunu hráze VD Kadaň. Vybrána byla varianta č.5, která bude podrobně rozpracována.</w:t>
      </w:r>
    </w:p>
    <w:p w:rsidR="00CA4D5D" w:rsidRPr="002F5E17" w:rsidRDefault="00CA4D5D" w:rsidP="00C8531F">
      <w:pPr>
        <w:rPr>
          <w:rFonts w:eastAsia="Arial CE" w:cs="Arial"/>
          <w:szCs w:val="22"/>
        </w:rPr>
      </w:pPr>
    </w:p>
    <w:p w:rsidR="00404FA3" w:rsidRDefault="00404FA3" w:rsidP="001251EF"/>
    <w:p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rsidR="009B13D4" w:rsidRPr="009B13D4" w:rsidRDefault="009B13D4" w:rsidP="009B13D4">
      <w:pPr>
        <w:autoSpaceDE w:val="0"/>
        <w:autoSpaceDN w:val="0"/>
        <w:adjustRightInd w:val="0"/>
        <w:jc w:val="center"/>
        <w:rPr>
          <w:rFonts w:cs="Arial"/>
          <w:b/>
          <w:szCs w:val="22"/>
          <w:u w:val="single"/>
        </w:rPr>
      </w:pPr>
    </w:p>
    <w:p w:rsidR="0089607D" w:rsidRPr="009B13D4" w:rsidRDefault="0089607D" w:rsidP="0089607D">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Pr>
          <w:rFonts w:cs="Arial"/>
          <w:szCs w:val="22"/>
        </w:rPr>
        <w:t>,</w:t>
      </w:r>
      <w:r w:rsidRPr="009B13D4">
        <w:rPr>
          <w:rFonts w:cs="Arial"/>
          <w:szCs w:val="22"/>
        </w:rPr>
        <w:t xml:space="preserve"> a to s odbornou péčí, v rozsahu a kvalitě podle této smlouvy a v termínu plnění, jak je definováno níže. </w:t>
      </w:r>
    </w:p>
    <w:p w:rsidR="0089607D" w:rsidRPr="009B13D4" w:rsidRDefault="0089607D" w:rsidP="0089607D">
      <w:pPr>
        <w:autoSpaceDE w:val="0"/>
        <w:autoSpaceDN w:val="0"/>
        <w:adjustRightInd w:val="0"/>
        <w:rPr>
          <w:rFonts w:cs="Arial"/>
          <w:szCs w:val="22"/>
        </w:rPr>
      </w:pPr>
    </w:p>
    <w:p w:rsidR="00801B34" w:rsidRPr="00AA525C" w:rsidRDefault="00801B34" w:rsidP="00801B34">
      <w:pPr>
        <w:autoSpaceDE w:val="0"/>
        <w:autoSpaceDN w:val="0"/>
        <w:adjustRightInd w:val="0"/>
        <w:spacing w:before="120"/>
        <w:ind w:left="720" w:hanging="720"/>
        <w:rPr>
          <w:rFonts w:ascii="Arial CE" w:hAnsi="Arial CE" w:cs="Arial"/>
          <w:b/>
          <w:szCs w:val="22"/>
        </w:rPr>
      </w:pPr>
      <w:r>
        <w:rPr>
          <w:rFonts w:ascii="Arial CE" w:hAnsi="Arial CE" w:cs="Arial"/>
          <w:b/>
          <w:szCs w:val="22"/>
        </w:rPr>
        <w:t>1.</w:t>
      </w:r>
      <w:r>
        <w:rPr>
          <w:rFonts w:ascii="Arial CE" w:hAnsi="Arial CE" w:cs="Arial"/>
          <w:b/>
          <w:szCs w:val="22"/>
        </w:rPr>
        <w:tab/>
      </w:r>
      <w:r w:rsidRPr="00AA525C">
        <w:rPr>
          <w:rFonts w:ascii="Arial CE" w:hAnsi="Arial CE" w:cs="Arial"/>
          <w:b/>
          <w:szCs w:val="22"/>
        </w:rPr>
        <w:t xml:space="preserve">Dokumentace pro ohlášení stavby nebo pro vydání stavebního povolení (dále </w:t>
      </w:r>
    </w:p>
    <w:p w:rsidR="00801B34" w:rsidRDefault="00801B34" w:rsidP="00801B34">
      <w:pPr>
        <w:pStyle w:val="Odstavecseseznamem"/>
        <w:autoSpaceDE w:val="0"/>
        <w:autoSpaceDN w:val="0"/>
        <w:adjustRightInd w:val="0"/>
        <w:ind w:left="0" w:firstLine="708"/>
        <w:rPr>
          <w:rFonts w:ascii="Arial CE" w:hAnsi="Arial CE" w:cs="Arial"/>
          <w:b/>
          <w:szCs w:val="22"/>
        </w:rPr>
      </w:pPr>
      <w:r w:rsidRPr="00AA525C">
        <w:rPr>
          <w:rFonts w:ascii="Arial CE" w:hAnsi="Arial CE" w:cs="Arial"/>
          <w:b/>
          <w:szCs w:val="22"/>
        </w:rPr>
        <w:t>jen DSP)</w:t>
      </w:r>
    </w:p>
    <w:p w:rsidR="0089607D" w:rsidRPr="00AA525C" w:rsidRDefault="0089607D" w:rsidP="00801B34">
      <w:pPr>
        <w:pStyle w:val="Odstavecseseznamem"/>
        <w:autoSpaceDE w:val="0"/>
        <w:autoSpaceDN w:val="0"/>
        <w:adjustRightInd w:val="0"/>
        <w:ind w:left="0" w:firstLine="708"/>
        <w:rPr>
          <w:rFonts w:ascii="Arial CE" w:hAnsi="Arial CE" w:cs="Arial"/>
          <w:b/>
          <w:szCs w:val="22"/>
        </w:rPr>
      </w:pPr>
    </w:p>
    <w:p w:rsidR="0089607D" w:rsidRPr="009B13D4" w:rsidRDefault="0089607D" w:rsidP="0089607D">
      <w:pPr>
        <w:autoSpaceDE w:val="0"/>
        <w:autoSpaceDN w:val="0"/>
        <w:adjustRightInd w:val="0"/>
        <w:rPr>
          <w:rFonts w:cs="Arial"/>
          <w:szCs w:val="22"/>
        </w:rPr>
      </w:pPr>
      <w:r w:rsidRPr="009B13D4">
        <w:rPr>
          <w:rFonts w:cs="Arial"/>
          <w:szCs w:val="22"/>
        </w:rPr>
        <w:t>Projektová dokumentace bude zpracována v souladu s vyhláškou č. 499/2006 Sb., o</w:t>
      </w:r>
      <w:r>
        <w:rPr>
          <w:rFonts w:cs="Arial"/>
          <w:szCs w:val="22"/>
        </w:rPr>
        <w:t> </w:t>
      </w:r>
      <w:r w:rsidRPr="009B13D4">
        <w:rPr>
          <w:rFonts w:cs="Arial"/>
          <w:szCs w:val="22"/>
        </w:rPr>
        <w:t xml:space="preserve">dokumentaci staveb, ve znění vyhlášky č. 405/2017 Sb., a vyhláškou č. 169/2016 Sb., </w:t>
      </w:r>
      <w:r w:rsidRPr="00C95C0D">
        <w:t>o</w:t>
      </w:r>
      <w:r>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rsidR="00801B34" w:rsidRPr="00AA525C" w:rsidRDefault="00801B34" w:rsidP="00801B34">
      <w:pPr>
        <w:autoSpaceDE w:val="0"/>
        <w:autoSpaceDN w:val="0"/>
        <w:adjustRightInd w:val="0"/>
        <w:spacing w:before="120"/>
        <w:rPr>
          <w:rFonts w:ascii="Arial CE" w:hAnsi="Arial CE" w:cs="Arial"/>
          <w:szCs w:val="22"/>
        </w:rPr>
      </w:pPr>
      <w:r w:rsidRPr="00AA525C">
        <w:rPr>
          <w:rFonts w:ascii="Arial CE" w:hAnsi="Arial CE" w:cs="Arial"/>
          <w:szCs w:val="22"/>
        </w:rPr>
        <w:t>Pokud zhotovitel vyhodnotí, že budou na staveništi vykonávány práce a činnosti vystavující fyzickou osobu zvýšenému ohrožení života nebo poškození zdraví (podle § 15, odst. 2, stejně jako v případech dle § 15, odst. 1 zákona č. 88/2016 Sb., kterým se mění zákon č.</w:t>
      </w:r>
      <w:r>
        <w:rPr>
          <w:rFonts w:ascii="Arial CE" w:hAnsi="Arial CE" w:cs="Arial"/>
          <w:szCs w:val="22"/>
        </w:rPr>
        <w:t> </w:t>
      </w:r>
      <w:r w:rsidRPr="00AA525C">
        <w:rPr>
          <w:rFonts w:ascii="Arial CE" w:hAnsi="Arial CE" w:cs="Arial"/>
          <w:szCs w:val="22"/>
        </w:rPr>
        <w:t>309/2006 Sb., o zajištění dalších podmínek bezpečnosti a ochrany zdraví při práci a</w:t>
      </w:r>
      <w:r>
        <w:rPr>
          <w:rFonts w:ascii="Arial CE" w:hAnsi="Arial CE" w:cs="Arial"/>
          <w:szCs w:val="22"/>
        </w:rPr>
        <w:t> </w:t>
      </w:r>
      <w:r w:rsidRPr="00AA525C">
        <w:rPr>
          <w:rFonts w:ascii="Arial CE" w:hAnsi="Arial CE" w:cs="Arial"/>
          <w:szCs w:val="22"/>
        </w:rPr>
        <w:t>novely nařízení vlády č. 591/2006 Sb., přílohy č. 5), sdělí tuto informaci neprodleně objednateli prokazatelným způsobem (např. v zápise z výrobního výboru, elektronickou poštou, poštou) ještě v době zpracovávání PD. Objednatel následně zajistí zpracování plánu BOZP koordinátorem BOZP v době přípravy stavby. Zhotovitel je povinen v době zpracovávání PD poskytnout pověřenému koordinátorovi podklady, informace a součinnost.</w:t>
      </w:r>
    </w:p>
    <w:p w:rsidR="00801B34" w:rsidRDefault="00801B34" w:rsidP="00801B34">
      <w:pPr>
        <w:pStyle w:val="Odstavecseseznamem"/>
        <w:autoSpaceDE w:val="0"/>
        <w:autoSpaceDN w:val="0"/>
        <w:adjustRightInd w:val="0"/>
        <w:spacing w:before="120"/>
        <w:ind w:left="0"/>
        <w:rPr>
          <w:rFonts w:ascii="Arial CE" w:hAnsi="Arial CE" w:cs="Arial"/>
          <w:szCs w:val="22"/>
        </w:rPr>
      </w:pPr>
      <w:r w:rsidRPr="00AA525C">
        <w:rPr>
          <w:rFonts w:ascii="Arial CE" w:hAnsi="Arial CE" w:cs="Arial"/>
          <w:szCs w:val="22"/>
        </w:rPr>
        <w:t>Pokud zhotovitel vyhodnotí, že je nutné ve fázi přípravy a realizace stavby zajistit koordinátora BOZP (dle vyhlášky č. 62/2013 Sb., kterou se mění vyhláška č. 499/2006 Sb., o</w:t>
      </w:r>
      <w:r>
        <w:rPr>
          <w:rFonts w:ascii="Arial CE" w:hAnsi="Arial CE" w:cs="Arial"/>
          <w:szCs w:val="22"/>
        </w:rPr>
        <w:t> </w:t>
      </w:r>
      <w:r w:rsidRPr="00AA525C">
        <w:rPr>
          <w:rFonts w:ascii="Arial CE" w:hAnsi="Arial CE" w:cs="Arial"/>
          <w:szCs w:val="22"/>
        </w:rPr>
        <w:t>dokumentaci staveb), je povinen sdělit to neprodleně objednateli, a to prokazatelným způsobem (např. v zápise z výrobního výboru, elektronickou poštou, poštou) ještě v době zpracovávání PD. Objednatel následně smluvně zajistí činnost koordinátora BOZP oprávněnou osobou pro dobu přípravy a realizace stavby, která zpracuje plán BOZP po</w:t>
      </w:r>
      <w:r>
        <w:rPr>
          <w:rFonts w:ascii="Arial CE" w:hAnsi="Arial CE" w:cs="Arial"/>
          <w:szCs w:val="22"/>
        </w:rPr>
        <w:t> </w:t>
      </w:r>
      <w:r w:rsidRPr="00AA525C">
        <w:rPr>
          <w:rFonts w:ascii="Arial CE" w:hAnsi="Arial CE" w:cs="Arial"/>
          <w:szCs w:val="22"/>
        </w:rPr>
        <w:t>dobu přípravy stavby a pro realizaci stavby. Zhotovitel je povinen v době zpracovávání PD poskytnout pověřenému koordinátorovi podklady, informace a součinnost.</w:t>
      </w:r>
    </w:p>
    <w:p w:rsidR="00801B34" w:rsidRDefault="00801B34" w:rsidP="00801B34">
      <w:pPr>
        <w:pStyle w:val="Odstavecseseznamem"/>
        <w:autoSpaceDE w:val="0"/>
        <w:autoSpaceDN w:val="0"/>
        <w:adjustRightInd w:val="0"/>
        <w:spacing w:before="120"/>
        <w:ind w:left="426" w:hanging="426"/>
        <w:rPr>
          <w:rFonts w:ascii="Arial CE" w:hAnsi="Arial CE" w:cs="Arial"/>
          <w:b/>
          <w:szCs w:val="22"/>
        </w:rPr>
      </w:pPr>
      <w:r w:rsidRPr="00CD0B57">
        <w:rPr>
          <w:rFonts w:ascii="Arial CE" w:hAnsi="Arial CE" w:cs="Arial"/>
          <w:b/>
          <w:szCs w:val="22"/>
        </w:rPr>
        <w:t>Průzkumné práce</w:t>
      </w:r>
    </w:p>
    <w:p w:rsidR="00922852" w:rsidRDefault="00922852" w:rsidP="00801B34">
      <w:pPr>
        <w:pStyle w:val="Odstavecseseznamem"/>
        <w:autoSpaceDE w:val="0"/>
        <w:autoSpaceDN w:val="0"/>
        <w:adjustRightInd w:val="0"/>
        <w:spacing w:before="120"/>
        <w:ind w:left="426" w:hanging="426"/>
        <w:rPr>
          <w:rFonts w:ascii="Arial CE" w:hAnsi="Arial CE" w:cs="Arial"/>
          <w:b/>
          <w:szCs w:val="22"/>
        </w:rPr>
      </w:pPr>
    </w:p>
    <w:p w:rsidR="00922852" w:rsidRPr="00724504" w:rsidRDefault="00922852" w:rsidP="00922852">
      <w:pPr>
        <w:rPr>
          <w:rFonts w:ascii="Times New Roman" w:eastAsia="Calibri" w:hAnsi="Times New Roman"/>
          <w:sz w:val="24"/>
        </w:rPr>
      </w:pPr>
      <w:r w:rsidRPr="00987E51">
        <w:rPr>
          <w:rFonts w:ascii="Times New Roman" w:eastAsia="Calibri" w:hAnsi="Times New Roman"/>
          <w:sz w:val="24"/>
        </w:rPr>
        <w:t xml:space="preserve">Objednatel zajistí </w:t>
      </w:r>
      <w:proofErr w:type="spellStart"/>
      <w:r w:rsidRPr="00987E51">
        <w:rPr>
          <w:rFonts w:ascii="Times New Roman" w:eastAsia="Calibri" w:hAnsi="Times New Roman"/>
          <w:sz w:val="24"/>
        </w:rPr>
        <w:t>inženýrsko</w:t>
      </w:r>
      <w:proofErr w:type="spellEnd"/>
      <w:r w:rsidRPr="00987E51">
        <w:rPr>
          <w:rFonts w:ascii="Times New Roman" w:eastAsia="Calibri" w:hAnsi="Times New Roman"/>
          <w:sz w:val="24"/>
        </w:rPr>
        <w:t xml:space="preserve"> – geologický průzkum dle nabídky firmy </w:t>
      </w:r>
      <w:proofErr w:type="spellStart"/>
      <w:r w:rsidRPr="00987E51">
        <w:rPr>
          <w:rFonts w:ascii="Times New Roman" w:eastAsia="Calibri" w:hAnsi="Times New Roman"/>
          <w:sz w:val="24"/>
        </w:rPr>
        <w:t>Stryx</w:t>
      </w:r>
      <w:proofErr w:type="spellEnd"/>
      <w:r w:rsidRPr="00987E51">
        <w:rPr>
          <w:rFonts w:ascii="Times New Roman" w:eastAsia="Calibri" w:hAnsi="Times New Roman"/>
          <w:sz w:val="24"/>
        </w:rPr>
        <w:t xml:space="preserve"> a předá jej zhotoviteli. Zhotovitel upřesní, na základě geodetického </w:t>
      </w:r>
      <w:proofErr w:type="spellStart"/>
      <w:r w:rsidRPr="00987E51">
        <w:rPr>
          <w:rFonts w:ascii="Times New Roman" w:eastAsia="Calibri" w:hAnsi="Times New Roman"/>
          <w:sz w:val="24"/>
        </w:rPr>
        <w:t>zeměření</w:t>
      </w:r>
      <w:proofErr w:type="spellEnd"/>
      <w:r w:rsidRPr="00987E51">
        <w:rPr>
          <w:rFonts w:ascii="Times New Roman" w:eastAsia="Calibri" w:hAnsi="Times New Roman"/>
          <w:sz w:val="24"/>
        </w:rPr>
        <w:t xml:space="preserve"> a opěr ocelové konstrukce schodiště body pro geologický průzkum. Zhotovitel (projektant) předpokládá, že závěrečnou zprávu geologického průzkumu obdrží nejpozději do 31.7.2021.</w:t>
      </w:r>
    </w:p>
    <w:p w:rsidR="00922852" w:rsidRPr="00CD0B57" w:rsidRDefault="00922852" w:rsidP="00801B34">
      <w:pPr>
        <w:pStyle w:val="Odstavecseseznamem"/>
        <w:autoSpaceDE w:val="0"/>
        <w:autoSpaceDN w:val="0"/>
        <w:adjustRightInd w:val="0"/>
        <w:spacing w:before="120"/>
        <w:ind w:left="426" w:hanging="426"/>
        <w:rPr>
          <w:rFonts w:ascii="Arial CE" w:hAnsi="Arial CE"/>
          <w:b/>
          <w:szCs w:val="22"/>
        </w:rPr>
      </w:pPr>
    </w:p>
    <w:p w:rsidR="00801B34" w:rsidRPr="005D6244" w:rsidRDefault="00801B34" w:rsidP="00801B34">
      <w:pPr>
        <w:pStyle w:val="Odstavecseseznamem"/>
        <w:autoSpaceDE w:val="0"/>
        <w:autoSpaceDN w:val="0"/>
        <w:adjustRightInd w:val="0"/>
        <w:ind w:left="0"/>
        <w:rPr>
          <w:rFonts w:ascii="Arial CE" w:hAnsi="Arial CE" w:cs="Arial"/>
          <w:szCs w:val="22"/>
        </w:rPr>
      </w:pPr>
      <w:r w:rsidRPr="005D6244">
        <w:rPr>
          <w:rFonts w:ascii="Arial CE" w:hAnsi="Arial CE" w:cs="Arial"/>
          <w:szCs w:val="22"/>
        </w:rPr>
        <w:lastRenderedPageBreak/>
        <w:t xml:space="preserve">Zhotovitel zajistí v případě potřeby provedení doplňkových průzkumných prací včetně průzkumu trasy vedení </w:t>
      </w:r>
      <w:proofErr w:type="spellStart"/>
      <w:r w:rsidRPr="005D6244">
        <w:rPr>
          <w:rFonts w:ascii="Arial CE" w:hAnsi="Arial CE" w:cs="Arial"/>
          <w:szCs w:val="22"/>
        </w:rPr>
        <w:t>inž</w:t>
      </w:r>
      <w:proofErr w:type="spellEnd"/>
      <w:r w:rsidRPr="005D6244">
        <w:rPr>
          <w:rFonts w:ascii="Arial CE" w:hAnsi="Arial CE" w:cs="Arial"/>
          <w:szCs w:val="22"/>
        </w:rPr>
        <w:t>. sítí, kde je předpoklad kolize se stavbou a zároveň prohlašuje, že jím nadefinovaný rozsah zvolených průzkumných prací je dostačující jako podklad pro</w:t>
      </w:r>
      <w:r>
        <w:rPr>
          <w:rFonts w:ascii="Arial CE" w:hAnsi="Arial CE" w:cs="Arial"/>
          <w:szCs w:val="22"/>
        </w:rPr>
        <w:t> </w:t>
      </w:r>
      <w:r w:rsidRPr="005D6244">
        <w:rPr>
          <w:rFonts w:ascii="Arial CE" w:hAnsi="Arial CE" w:cs="Arial"/>
          <w:szCs w:val="22"/>
        </w:rPr>
        <w:t xml:space="preserve">zhotovení kvalitní projektové dokumentace. K provádění doplňkových průzkumných prací na místě bude </w:t>
      </w:r>
      <w:r w:rsidRPr="005D6244">
        <w:rPr>
          <w:rFonts w:ascii="Arial CE" w:hAnsi="Arial CE" w:cs="Arial"/>
          <w:b/>
          <w:szCs w:val="22"/>
        </w:rPr>
        <w:t>přizván TDS.</w:t>
      </w:r>
      <w:r w:rsidRPr="005D6244">
        <w:rPr>
          <w:rFonts w:ascii="Arial CE" w:hAnsi="Arial CE" w:cs="Arial"/>
          <w:szCs w:val="22"/>
        </w:rPr>
        <w:t xml:space="preserve"> </w:t>
      </w:r>
    </w:p>
    <w:p w:rsidR="00801B34" w:rsidRPr="001D7A19" w:rsidRDefault="00801B34" w:rsidP="00801B34">
      <w:pPr>
        <w:pStyle w:val="Odstavecseseznamem"/>
        <w:autoSpaceDE w:val="0"/>
        <w:autoSpaceDN w:val="0"/>
        <w:adjustRightInd w:val="0"/>
        <w:spacing w:before="120"/>
        <w:ind w:left="0"/>
        <w:rPr>
          <w:rFonts w:ascii="Arial CE" w:hAnsi="Arial CE" w:cs="Arial"/>
          <w:strike/>
          <w:color w:val="FF0000"/>
          <w:szCs w:val="22"/>
        </w:rPr>
      </w:pPr>
      <w:r w:rsidRPr="001D7A19">
        <w:rPr>
          <w:rFonts w:ascii="Arial CE" w:hAnsi="Arial CE" w:cs="Arial"/>
          <w:szCs w:val="22"/>
        </w:rPr>
        <w:t xml:space="preserve">Výsledná zpráva bude předána </w:t>
      </w:r>
      <w:r w:rsidR="0089607D">
        <w:rPr>
          <w:rFonts w:ascii="Arial CE" w:hAnsi="Arial CE" w:cs="Arial"/>
          <w:szCs w:val="22"/>
        </w:rPr>
        <w:t>PM</w:t>
      </w:r>
      <w:r w:rsidRPr="001D7A19">
        <w:rPr>
          <w:rFonts w:ascii="Arial CE" w:hAnsi="Arial CE" w:cs="Arial"/>
          <w:szCs w:val="22"/>
        </w:rPr>
        <w:t xml:space="preserve"> v počtu 2x paré tištěné + 1x na elektronickém nosiči dat. </w:t>
      </w:r>
    </w:p>
    <w:p w:rsidR="00801B34" w:rsidRPr="001D7A19" w:rsidRDefault="00801B34" w:rsidP="00987E51">
      <w:pPr>
        <w:pStyle w:val="Odstavecseseznamem"/>
        <w:autoSpaceDE w:val="0"/>
        <w:autoSpaceDN w:val="0"/>
        <w:adjustRightInd w:val="0"/>
        <w:spacing w:before="120"/>
        <w:ind w:left="0"/>
        <w:rPr>
          <w:rFonts w:ascii="Arial CE" w:hAnsi="Arial CE" w:cs="Arial"/>
          <w:szCs w:val="22"/>
        </w:rPr>
      </w:pPr>
      <w:r w:rsidRPr="00AB1DB2">
        <w:rPr>
          <w:rFonts w:ascii="Arial CE" w:hAnsi="Arial CE" w:cs="Arial"/>
          <w:b/>
          <w:szCs w:val="22"/>
        </w:rPr>
        <w:t>Návrh havarijního plánu, (HP</w:t>
      </w:r>
      <w:r>
        <w:rPr>
          <w:rFonts w:ascii="Arial CE" w:hAnsi="Arial CE" w:cs="Arial"/>
          <w:b/>
          <w:szCs w:val="22"/>
        </w:rPr>
        <w:t>)</w:t>
      </w:r>
      <w:r w:rsidR="00987E51">
        <w:rPr>
          <w:rFonts w:ascii="Arial CE" w:hAnsi="Arial CE" w:cs="Arial"/>
          <w:b/>
          <w:szCs w:val="22"/>
        </w:rPr>
        <w:t xml:space="preserve"> </w:t>
      </w:r>
      <w:r w:rsidRPr="001D7A19">
        <w:rPr>
          <w:rFonts w:ascii="Arial CE" w:hAnsi="Arial CE" w:cs="Arial"/>
          <w:szCs w:val="22"/>
        </w:rPr>
        <w:t xml:space="preserve">bude zpracován dle platných právních </w:t>
      </w:r>
      <w:r>
        <w:rPr>
          <w:rFonts w:ascii="Arial CE" w:hAnsi="Arial CE" w:cs="Arial"/>
          <w:szCs w:val="22"/>
        </w:rPr>
        <w:br/>
      </w:r>
      <w:r w:rsidRPr="001D7A19">
        <w:rPr>
          <w:rFonts w:ascii="Arial CE" w:hAnsi="Arial CE" w:cs="Arial"/>
          <w:szCs w:val="22"/>
        </w:rPr>
        <w:t xml:space="preserve">předpisů. </w:t>
      </w:r>
    </w:p>
    <w:p w:rsidR="00801B34" w:rsidRDefault="00801B34" w:rsidP="00801B34">
      <w:pPr>
        <w:pStyle w:val="Odstavecseseznamem"/>
        <w:autoSpaceDE w:val="0"/>
        <w:autoSpaceDN w:val="0"/>
        <w:adjustRightInd w:val="0"/>
        <w:ind w:left="644"/>
        <w:rPr>
          <w:rFonts w:cs="Arial"/>
          <w:b/>
          <w:szCs w:val="22"/>
        </w:rPr>
      </w:pPr>
    </w:p>
    <w:p w:rsidR="00801B34" w:rsidRPr="00AA525C" w:rsidRDefault="00801B34" w:rsidP="00801B34">
      <w:pPr>
        <w:pStyle w:val="Odstavecseseznamem"/>
        <w:autoSpaceDE w:val="0"/>
        <w:autoSpaceDN w:val="0"/>
        <w:adjustRightInd w:val="0"/>
        <w:ind w:left="0"/>
        <w:rPr>
          <w:rFonts w:ascii="Arial CE" w:hAnsi="Arial CE" w:cs="Arial"/>
          <w:b/>
          <w:szCs w:val="22"/>
        </w:rPr>
      </w:pPr>
      <w:r>
        <w:rPr>
          <w:rFonts w:ascii="Arial CE" w:hAnsi="Arial CE" w:cs="Arial"/>
          <w:b/>
          <w:szCs w:val="22"/>
        </w:rPr>
        <w:t>2.</w:t>
      </w:r>
      <w:r>
        <w:rPr>
          <w:rFonts w:ascii="Arial CE" w:hAnsi="Arial CE" w:cs="Arial"/>
          <w:b/>
          <w:szCs w:val="22"/>
        </w:rPr>
        <w:tab/>
      </w:r>
      <w:r w:rsidRPr="00AA525C">
        <w:rPr>
          <w:rFonts w:ascii="Arial CE" w:hAnsi="Arial CE" w:cs="Arial"/>
          <w:b/>
          <w:szCs w:val="22"/>
        </w:rPr>
        <w:t>Dokumentace pro provádění stavby (dále jen DPS)</w:t>
      </w:r>
    </w:p>
    <w:p w:rsidR="0089607D" w:rsidRDefault="0089607D" w:rsidP="00801B34">
      <w:pPr>
        <w:pStyle w:val="Odstavecseseznamem"/>
        <w:autoSpaceDE w:val="0"/>
        <w:autoSpaceDN w:val="0"/>
        <w:adjustRightInd w:val="0"/>
        <w:ind w:left="0"/>
        <w:rPr>
          <w:rFonts w:ascii="Arial CE" w:hAnsi="Arial CE" w:cs="Arial"/>
          <w:szCs w:val="22"/>
        </w:rPr>
      </w:pPr>
    </w:p>
    <w:p w:rsidR="0089607D" w:rsidRPr="009B13D4" w:rsidRDefault="0089607D" w:rsidP="0089607D">
      <w:pPr>
        <w:autoSpaceDE w:val="0"/>
        <w:autoSpaceDN w:val="0"/>
        <w:adjustRightInd w:val="0"/>
        <w:rPr>
          <w:rFonts w:cs="Arial"/>
          <w:szCs w:val="22"/>
        </w:rPr>
      </w:pPr>
      <w:r w:rsidRPr="009B13D4">
        <w:rPr>
          <w:rFonts w:cs="Arial"/>
          <w:szCs w:val="22"/>
        </w:rPr>
        <w:t>Projektová dokumentace bude zpracována v souladu s vyhláškou č. 499/2006 Sb., o</w:t>
      </w:r>
      <w:r>
        <w:rPr>
          <w:rFonts w:cs="Arial"/>
          <w:szCs w:val="22"/>
        </w:rPr>
        <w:t> </w:t>
      </w:r>
      <w:r w:rsidRPr="009B13D4">
        <w:rPr>
          <w:rFonts w:cs="Arial"/>
          <w:szCs w:val="22"/>
        </w:rPr>
        <w:t xml:space="preserve">dokumentaci staveb, ve znění vyhlášky č. 405/2017 Sb., a vyhláškou č. 169/2016 Sb., </w:t>
      </w:r>
      <w:r w:rsidRPr="00C95C0D">
        <w:t>o</w:t>
      </w:r>
      <w:r>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rsidR="0089607D" w:rsidRDefault="0089607D" w:rsidP="00801B34">
      <w:pPr>
        <w:pStyle w:val="Odstavecseseznamem"/>
        <w:autoSpaceDE w:val="0"/>
        <w:autoSpaceDN w:val="0"/>
        <w:adjustRightInd w:val="0"/>
        <w:ind w:left="0"/>
        <w:rPr>
          <w:rFonts w:ascii="Arial CE" w:hAnsi="Arial CE" w:cs="Arial"/>
          <w:szCs w:val="22"/>
        </w:rPr>
      </w:pPr>
    </w:p>
    <w:p w:rsidR="00801B34" w:rsidRPr="001D7A19" w:rsidRDefault="00801B34" w:rsidP="00801B34">
      <w:pPr>
        <w:pStyle w:val="Odstavecseseznamem"/>
        <w:autoSpaceDE w:val="0"/>
        <w:autoSpaceDN w:val="0"/>
        <w:adjustRightInd w:val="0"/>
        <w:spacing w:before="120"/>
        <w:ind w:left="0"/>
        <w:rPr>
          <w:rFonts w:ascii="Arial CE" w:hAnsi="Arial CE" w:cs="Arial"/>
          <w:szCs w:val="22"/>
        </w:rPr>
      </w:pPr>
      <w:r w:rsidRPr="001D7A19">
        <w:rPr>
          <w:rFonts w:ascii="Arial CE" w:hAnsi="Arial CE" w:cs="Arial"/>
          <w:szCs w:val="22"/>
        </w:rPr>
        <w:t xml:space="preserve">Dokumentace bude předána </w:t>
      </w:r>
      <w:r w:rsidR="0089607D">
        <w:rPr>
          <w:rFonts w:ascii="Arial CE" w:hAnsi="Arial CE" w:cs="Arial"/>
          <w:szCs w:val="22"/>
        </w:rPr>
        <w:t>PM</w:t>
      </w:r>
      <w:r w:rsidRPr="001D7A19">
        <w:rPr>
          <w:rFonts w:ascii="Arial CE" w:hAnsi="Arial CE" w:cs="Arial"/>
          <w:szCs w:val="22"/>
        </w:rPr>
        <w:t xml:space="preserve"> v počtu 6x paré tištěné + 1x na elektronickém nosiči dat.</w:t>
      </w:r>
    </w:p>
    <w:p w:rsidR="00801B34" w:rsidRPr="00E865FA" w:rsidRDefault="00801B34" w:rsidP="00801B34">
      <w:pPr>
        <w:pStyle w:val="Odstavecseseznamem"/>
        <w:autoSpaceDE w:val="0"/>
        <w:autoSpaceDN w:val="0"/>
        <w:adjustRightInd w:val="0"/>
        <w:ind w:left="0"/>
        <w:rPr>
          <w:rFonts w:cs="Arial"/>
          <w:szCs w:val="22"/>
        </w:rPr>
      </w:pPr>
      <w:r w:rsidRPr="00BE6EF2">
        <w:rPr>
          <w:rFonts w:ascii="Arial CE" w:hAnsi="Arial CE" w:cs="Arial"/>
          <w:szCs w:val="22"/>
        </w:rPr>
        <w:t xml:space="preserve">Výkresy budou dále předány samostatně 1x na elektronickém nosiči dat v editovatelném formátu pro potřeby objednatele </w:t>
      </w:r>
      <w:r w:rsidRPr="00F2252B">
        <w:rPr>
          <w:rFonts w:ascii="Arial CE" w:hAnsi="Arial CE" w:cs="Arial"/>
          <w:i/>
          <w:szCs w:val="22"/>
        </w:rPr>
        <w:t xml:space="preserve">(doc, </w:t>
      </w:r>
      <w:proofErr w:type="spellStart"/>
      <w:r w:rsidRPr="00F2252B">
        <w:rPr>
          <w:rFonts w:ascii="Arial CE" w:hAnsi="Arial CE" w:cs="Arial"/>
          <w:i/>
          <w:szCs w:val="22"/>
        </w:rPr>
        <w:t>docx</w:t>
      </w:r>
      <w:proofErr w:type="spellEnd"/>
      <w:r w:rsidRPr="00F2252B">
        <w:rPr>
          <w:rFonts w:ascii="Arial CE" w:hAnsi="Arial CE" w:cs="Arial"/>
          <w:i/>
          <w:szCs w:val="22"/>
        </w:rPr>
        <w:t xml:space="preserve">, </w:t>
      </w:r>
      <w:proofErr w:type="spellStart"/>
      <w:r w:rsidRPr="00F2252B">
        <w:rPr>
          <w:rFonts w:ascii="Arial CE" w:hAnsi="Arial CE" w:cs="Arial"/>
          <w:i/>
          <w:szCs w:val="22"/>
        </w:rPr>
        <w:t>xls</w:t>
      </w:r>
      <w:proofErr w:type="spellEnd"/>
      <w:r w:rsidRPr="00F2252B">
        <w:rPr>
          <w:rFonts w:ascii="Arial CE" w:hAnsi="Arial CE" w:cs="Arial"/>
          <w:i/>
          <w:szCs w:val="22"/>
        </w:rPr>
        <w:t xml:space="preserve">, </w:t>
      </w:r>
      <w:proofErr w:type="spellStart"/>
      <w:r w:rsidRPr="00F2252B">
        <w:rPr>
          <w:rFonts w:ascii="Arial CE" w:hAnsi="Arial CE" w:cs="Arial"/>
          <w:i/>
          <w:szCs w:val="22"/>
        </w:rPr>
        <w:t>xlsx</w:t>
      </w:r>
      <w:proofErr w:type="spellEnd"/>
      <w:r w:rsidRPr="00F2252B">
        <w:rPr>
          <w:rFonts w:ascii="Arial CE" w:hAnsi="Arial CE" w:cs="Arial"/>
          <w:i/>
          <w:szCs w:val="22"/>
        </w:rPr>
        <w:t xml:space="preserve">, </w:t>
      </w:r>
      <w:proofErr w:type="spellStart"/>
      <w:r w:rsidRPr="00F2252B">
        <w:rPr>
          <w:rFonts w:ascii="Arial CE" w:hAnsi="Arial CE" w:cs="Arial"/>
          <w:i/>
          <w:szCs w:val="22"/>
        </w:rPr>
        <w:t>dwg</w:t>
      </w:r>
      <w:proofErr w:type="spellEnd"/>
      <w:r w:rsidRPr="00F2252B">
        <w:rPr>
          <w:rFonts w:ascii="Arial CE" w:hAnsi="Arial CE" w:cs="Arial"/>
          <w:i/>
          <w:szCs w:val="22"/>
        </w:rPr>
        <w:t xml:space="preserve">, </w:t>
      </w:r>
      <w:proofErr w:type="spellStart"/>
      <w:r w:rsidRPr="00F2252B">
        <w:rPr>
          <w:rFonts w:ascii="Arial CE" w:hAnsi="Arial CE" w:cs="Arial"/>
          <w:i/>
          <w:szCs w:val="22"/>
        </w:rPr>
        <w:t>dgn</w:t>
      </w:r>
      <w:proofErr w:type="spellEnd"/>
      <w:r w:rsidRPr="00F2252B">
        <w:rPr>
          <w:rFonts w:ascii="Arial CE" w:hAnsi="Arial CE" w:cs="Arial"/>
          <w:i/>
          <w:szCs w:val="22"/>
        </w:rPr>
        <w:t xml:space="preserve">, </w:t>
      </w:r>
      <w:proofErr w:type="spellStart"/>
      <w:r w:rsidRPr="00F2252B">
        <w:rPr>
          <w:rFonts w:ascii="Arial CE" w:hAnsi="Arial CE" w:cs="Arial"/>
          <w:i/>
          <w:szCs w:val="22"/>
        </w:rPr>
        <w:t>dxf</w:t>
      </w:r>
      <w:proofErr w:type="spellEnd"/>
      <w:r w:rsidRPr="00F2252B">
        <w:rPr>
          <w:rFonts w:ascii="Arial CE" w:hAnsi="Arial CE" w:cs="Arial"/>
          <w:i/>
          <w:szCs w:val="22"/>
        </w:rPr>
        <w:t xml:space="preserve"> a dalších, všechny GIS vrstvy musí být ve formátu </w:t>
      </w:r>
      <w:proofErr w:type="spellStart"/>
      <w:r w:rsidRPr="00F2252B">
        <w:rPr>
          <w:rFonts w:ascii="Arial CE" w:hAnsi="Arial CE" w:cs="Arial"/>
          <w:i/>
          <w:szCs w:val="22"/>
        </w:rPr>
        <w:t>shapefile</w:t>
      </w:r>
      <w:proofErr w:type="spellEnd"/>
      <w:r w:rsidRPr="00F2252B">
        <w:rPr>
          <w:rFonts w:ascii="Arial CE" w:hAnsi="Arial CE" w:cs="Arial"/>
          <w:i/>
          <w:szCs w:val="22"/>
        </w:rPr>
        <w:t xml:space="preserve"> (2D), popř. i </w:t>
      </w:r>
      <w:proofErr w:type="spellStart"/>
      <w:r w:rsidRPr="00F2252B">
        <w:rPr>
          <w:rFonts w:ascii="Arial CE" w:hAnsi="Arial CE" w:cs="Arial"/>
          <w:i/>
          <w:szCs w:val="22"/>
        </w:rPr>
        <w:t>raster</w:t>
      </w:r>
      <w:proofErr w:type="spellEnd"/>
      <w:r w:rsidRPr="00F2252B">
        <w:rPr>
          <w:rFonts w:ascii="Arial CE" w:hAnsi="Arial CE" w:cs="Arial"/>
          <w:i/>
          <w:szCs w:val="22"/>
        </w:rPr>
        <w:t>).</w:t>
      </w:r>
      <w:r w:rsidRPr="00BE6EF2">
        <w:rPr>
          <w:rFonts w:ascii="Arial CE" w:hAnsi="Arial CE" w:cs="Arial"/>
          <w:szCs w:val="22"/>
        </w:rPr>
        <w:t xml:space="preserve"> Výkresy budou v souřadnicovém systému S-JTSK. V případě hydraulického modelování budou předány všechny výpočtové soubory funkčních tratí a objektů vodních děl. Výpočty prováděné např. v programu Excel budou doloženy včetně funkčních vzorců.</w:t>
      </w:r>
    </w:p>
    <w:p w:rsidR="00801B34" w:rsidRPr="00AA525C" w:rsidRDefault="00801B34" w:rsidP="00801B34">
      <w:pPr>
        <w:pStyle w:val="Odstavecseseznamem"/>
        <w:autoSpaceDE w:val="0"/>
        <w:autoSpaceDN w:val="0"/>
        <w:adjustRightInd w:val="0"/>
        <w:spacing w:before="120"/>
        <w:ind w:left="0"/>
        <w:rPr>
          <w:rFonts w:ascii="Arial CE" w:hAnsi="Arial CE" w:cs="Arial"/>
          <w:b/>
          <w:szCs w:val="22"/>
        </w:rPr>
      </w:pPr>
      <w:r w:rsidRPr="00AA525C">
        <w:rPr>
          <w:rFonts w:ascii="Arial CE" w:hAnsi="Arial CE" w:cs="Arial"/>
          <w:b/>
          <w:szCs w:val="22"/>
        </w:rPr>
        <w:t>Soupis prací a oceněný soupis prací</w:t>
      </w:r>
    </w:p>
    <w:p w:rsidR="00801B34" w:rsidRPr="001D7A19" w:rsidRDefault="00801B34" w:rsidP="00801B34">
      <w:pPr>
        <w:autoSpaceDE w:val="0"/>
        <w:autoSpaceDN w:val="0"/>
        <w:adjustRightInd w:val="0"/>
        <w:rPr>
          <w:rFonts w:ascii="Arial CE" w:hAnsi="Arial CE" w:cs="Arial"/>
          <w:szCs w:val="22"/>
        </w:rPr>
      </w:pPr>
      <w:r w:rsidRPr="001D7A19">
        <w:rPr>
          <w:rFonts w:ascii="Arial CE" w:hAnsi="Arial CE" w:cs="Arial"/>
          <w:szCs w:val="22"/>
        </w:rPr>
        <w:t>Závazným podkladem pro vypracování soupisu prací a oceněného soupisu prací bude projektová dokumentace pro provádění stavby</w:t>
      </w:r>
      <w:r>
        <w:rPr>
          <w:rFonts w:ascii="Arial CE" w:hAnsi="Arial CE" w:cs="Arial"/>
          <w:szCs w:val="22"/>
        </w:rPr>
        <w:t xml:space="preserve"> (DPS)</w:t>
      </w:r>
      <w:r w:rsidRPr="001D7A19">
        <w:rPr>
          <w:rFonts w:ascii="Arial CE" w:hAnsi="Arial CE" w:cs="Arial"/>
          <w:szCs w:val="22"/>
        </w:rPr>
        <w:t>. Soupis prací a oceněný soupis prací bude zpracován v souladu s </w:t>
      </w:r>
      <w:r w:rsidRPr="001D7A19">
        <w:rPr>
          <w:rFonts w:ascii="Arial CE" w:hAnsi="Arial CE" w:cs="Arial"/>
          <w:color w:val="000000"/>
          <w:szCs w:val="22"/>
        </w:rPr>
        <w:t>prováděcí vyhláškou č. 230/2012 Sb.</w:t>
      </w:r>
      <w:r>
        <w:rPr>
          <w:rFonts w:ascii="Arial CE" w:hAnsi="Arial CE" w:cs="Arial"/>
          <w:color w:val="333333"/>
          <w:szCs w:val="22"/>
        </w:rPr>
        <w:t xml:space="preserve">, </w:t>
      </w:r>
      <w:r w:rsidRPr="00803E71">
        <w:rPr>
          <w:rFonts w:ascii="Arial CE" w:hAnsi="Arial CE" w:cs="Arial"/>
          <w:szCs w:val="22"/>
        </w:rPr>
        <w:t>k zákonu č.</w:t>
      </w:r>
      <w:r>
        <w:rPr>
          <w:rFonts w:ascii="Arial CE" w:hAnsi="Arial CE" w:cs="Arial"/>
          <w:szCs w:val="22"/>
        </w:rPr>
        <w:t> </w:t>
      </w:r>
      <w:r w:rsidRPr="00803E71">
        <w:rPr>
          <w:rFonts w:ascii="Arial CE" w:hAnsi="Arial CE" w:cs="Arial"/>
          <w:szCs w:val="22"/>
        </w:rPr>
        <w:t xml:space="preserve">137/2006 Sb., o veřejných zakázkách, v platném znění.  </w:t>
      </w:r>
    </w:p>
    <w:p w:rsidR="00801B34" w:rsidRPr="001D7A19" w:rsidRDefault="00801B34" w:rsidP="00801B34">
      <w:pPr>
        <w:pStyle w:val="Odstavecseseznamem"/>
        <w:autoSpaceDE w:val="0"/>
        <w:autoSpaceDN w:val="0"/>
        <w:adjustRightInd w:val="0"/>
        <w:spacing w:before="120"/>
        <w:ind w:left="0"/>
        <w:rPr>
          <w:rFonts w:ascii="Arial CE" w:hAnsi="Arial CE" w:cs="Arial"/>
          <w:szCs w:val="22"/>
        </w:rPr>
      </w:pPr>
      <w:r w:rsidRPr="001D7A19">
        <w:rPr>
          <w:rFonts w:ascii="Arial CE" w:hAnsi="Arial CE" w:cs="Arial"/>
          <w:szCs w:val="22"/>
        </w:rPr>
        <w:t xml:space="preserve">Soupis prací a oceněný soupis prací zpracuje zhotovitel v programu KROS. Soupis prací bude rozdělen podle stavebních objektů na část investice včetně VON a na část opravy včetně VON. Soupis prací zpracuje v 6 tištěných vyhotoveních a vloží do každého paré PD. </w:t>
      </w:r>
    </w:p>
    <w:p w:rsidR="00801B34" w:rsidRPr="001D7A19" w:rsidRDefault="00801B34" w:rsidP="00801B34">
      <w:pPr>
        <w:pStyle w:val="Odstavecseseznamem"/>
        <w:autoSpaceDE w:val="0"/>
        <w:autoSpaceDN w:val="0"/>
        <w:adjustRightInd w:val="0"/>
        <w:ind w:left="0"/>
        <w:rPr>
          <w:rFonts w:ascii="Arial CE" w:hAnsi="Arial CE" w:cs="Arial"/>
          <w:color w:val="000000"/>
          <w:szCs w:val="22"/>
        </w:rPr>
      </w:pPr>
      <w:r w:rsidRPr="001D7A19">
        <w:rPr>
          <w:rFonts w:ascii="Arial CE" w:hAnsi="Arial CE" w:cs="Arial"/>
          <w:szCs w:val="22"/>
        </w:rPr>
        <w:t>Oceněný soupis prací zpracuje zhotovitel v </w:t>
      </w:r>
      <w:proofErr w:type="gramStart"/>
      <w:r w:rsidRPr="001D7A19">
        <w:rPr>
          <w:rFonts w:ascii="Arial CE" w:hAnsi="Arial CE" w:cs="Arial"/>
          <w:szCs w:val="22"/>
        </w:rPr>
        <w:t>počtu - 2x</w:t>
      </w:r>
      <w:proofErr w:type="gramEnd"/>
      <w:r w:rsidRPr="001D7A19">
        <w:rPr>
          <w:rFonts w:ascii="Arial CE" w:hAnsi="Arial CE" w:cs="Arial"/>
          <w:szCs w:val="22"/>
        </w:rPr>
        <w:t xml:space="preserve"> paré tištěné a vloží je do paré č. 1 a</w:t>
      </w:r>
      <w:r>
        <w:rPr>
          <w:rFonts w:ascii="Arial CE" w:hAnsi="Arial CE" w:cs="Arial"/>
          <w:szCs w:val="22"/>
        </w:rPr>
        <w:t> </w:t>
      </w:r>
      <w:r w:rsidRPr="001D7A19">
        <w:rPr>
          <w:rFonts w:ascii="Arial CE" w:hAnsi="Arial CE" w:cs="Arial"/>
          <w:szCs w:val="22"/>
        </w:rPr>
        <w:t>č.</w:t>
      </w:r>
      <w:r>
        <w:rPr>
          <w:rFonts w:ascii="Arial CE" w:hAnsi="Arial CE" w:cs="Arial"/>
          <w:szCs w:val="22"/>
        </w:rPr>
        <w:t> </w:t>
      </w:r>
      <w:r w:rsidRPr="001D7A19">
        <w:rPr>
          <w:rFonts w:ascii="Arial CE" w:hAnsi="Arial CE" w:cs="Arial"/>
          <w:szCs w:val="22"/>
        </w:rPr>
        <w:t xml:space="preserve">2 PD. Soupis prací i oceněný soupis prací bude objednateli předán také v elektronické podobě - 1x na elektronickém nosiči dat. </w:t>
      </w:r>
      <w:r w:rsidRPr="001D7A19">
        <w:rPr>
          <w:rFonts w:ascii="Arial CE" w:hAnsi="Arial CE" w:cs="Arial"/>
          <w:color w:val="000000"/>
          <w:szCs w:val="22"/>
        </w:rPr>
        <w:t xml:space="preserve">Vedle běžných výstupů z programu KROS bude v elektronické podobě oceněný soupis prací zpracován ve formátu XC4. Podrobnosti týkající se struktury údajů a metodiky formátu XC4 jsou k dispozici na internetové adrese </w:t>
      </w:r>
      <w:r w:rsidRPr="001D7A19">
        <w:rPr>
          <w:rFonts w:ascii="Arial CE" w:hAnsi="Arial CE" w:cs="Arial"/>
          <w:szCs w:val="22"/>
        </w:rPr>
        <w:t>www.xc4.cz</w:t>
      </w:r>
      <w:r w:rsidRPr="001D7A19">
        <w:rPr>
          <w:rFonts w:ascii="Arial CE" w:hAnsi="Arial CE" w:cs="Arial"/>
          <w:color w:val="000000"/>
          <w:szCs w:val="22"/>
        </w:rPr>
        <w:t>.</w:t>
      </w:r>
    </w:p>
    <w:p w:rsidR="00801B34" w:rsidRPr="00546549" w:rsidRDefault="00801B34" w:rsidP="00801B34">
      <w:pPr>
        <w:autoSpaceDE w:val="0"/>
        <w:autoSpaceDN w:val="0"/>
        <w:adjustRightInd w:val="0"/>
        <w:rPr>
          <w:rFonts w:cs="Arial"/>
          <w:color w:val="000000"/>
          <w:szCs w:val="22"/>
        </w:rPr>
      </w:pPr>
      <w:r w:rsidRPr="001D7A19">
        <w:rPr>
          <w:rFonts w:ascii="Arial CE" w:hAnsi="Arial CE" w:cs="Arial"/>
          <w:color w:val="000000"/>
          <w:szCs w:val="22"/>
        </w:rPr>
        <w:t>Pro tvorbu jednotkových cen bude v maximální možné míře použita cenová soustava  ÚRS, a. s., Praha, platná v době odevzdání předmětu plnění. Pokud součástí soupisu prací a</w:t>
      </w:r>
      <w:r>
        <w:rPr>
          <w:rFonts w:ascii="Arial CE" w:hAnsi="Arial CE" w:cs="Arial"/>
          <w:color w:val="000000"/>
          <w:szCs w:val="22"/>
        </w:rPr>
        <w:t> </w:t>
      </w:r>
      <w:r w:rsidRPr="001D7A19">
        <w:rPr>
          <w:rFonts w:ascii="Arial CE" w:hAnsi="Arial CE" w:cs="Arial"/>
          <w:color w:val="000000"/>
          <w:szCs w:val="22"/>
        </w:rPr>
        <w:t>oceněného soupisu prací budou u stavebních prací tzv. „R-položky“, bude v rámci soupisu prací a oceněného soupisu prací provedena kalkulace každé takovéto položky.</w:t>
      </w:r>
    </w:p>
    <w:p w:rsidR="00801B34" w:rsidRDefault="00801B3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paré tištěné a 1x na CD pro doplnění zhotovitelem (_.doc). </w:t>
      </w:r>
    </w:p>
    <w:p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Zajištění souboru fotografií přímo dotčených nemovitostí se souhlasem vlastníka nemovitosti - 1x paré tištěné a 1x na CD (_.</w:t>
      </w:r>
      <w:proofErr w:type="spellStart"/>
      <w:r w:rsidRPr="00B43E05">
        <w:rPr>
          <w:rFonts w:cs="Arial"/>
          <w:szCs w:val="22"/>
        </w:rPr>
        <w:t>pdf</w:t>
      </w:r>
      <w:proofErr w:type="spellEnd"/>
      <w:r w:rsidRPr="00B43E05">
        <w:rPr>
          <w:rFonts w:cs="Arial"/>
          <w:szCs w:val="22"/>
        </w:rPr>
        <w:t>).</w:t>
      </w:r>
    </w:p>
    <w:p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Podmínky provádění stavebních prací a návrh zásad kontroly jejich kvality (KZP) - 1x paré tištěné a 1x na CD pro doplnění zhotovitelem (_.</w:t>
      </w:r>
      <w:proofErr w:type="spellStart"/>
      <w:r w:rsidRPr="00B43E05">
        <w:rPr>
          <w:rFonts w:cs="Arial"/>
          <w:szCs w:val="22"/>
        </w:rPr>
        <w:t>xls</w:t>
      </w:r>
      <w:proofErr w:type="spellEnd"/>
      <w:r w:rsidRPr="00B43E05">
        <w:rPr>
          <w:rFonts w:cs="Arial"/>
          <w:szCs w:val="22"/>
        </w:rPr>
        <w:t xml:space="preserve">). </w:t>
      </w:r>
    </w:p>
    <w:p w:rsidR="009B13D4" w:rsidRPr="009B13D4" w:rsidRDefault="009B13D4" w:rsidP="007317EB">
      <w:pPr>
        <w:pStyle w:val="Odstavecseseznamem"/>
        <w:numPr>
          <w:ilvl w:val="0"/>
          <w:numId w:val="40"/>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paré PD. Oceněný soupis </w:t>
      </w:r>
      <w:proofErr w:type="gramStart"/>
      <w:r w:rsidRPr="009B13D4">
        <w:rPr>
          <w:rFonts w:cs="Arial"/>
          <w:szCs w:val="22"/>
        </w:rPr>
        <w:t>prací - 2x</w:t>
      </w:r>
      <w:proofErr w:type="gramEnd"/>
      <w:r w:rsidRPr="009B13D4">
        <w:rPr>
          <w:rFonts w:cs="Arial"/>
          <w:szCs w:val="22"/>
        </w:rPr>
        <w:t xml:space="preserve"> paré tištěné se</w:t>
      </w:r>
      <w:r w:rsidR="001006ED">
        <w:rPr>
          <w:rFonts w:cs="Arial"/>
          <w:szCs w:val="22"/>
        </w:rPr>
        <w:t> </w:t>
      </w:r>
      <w:r w:rsidRPr="009B13D4">
        <w:rPr>
          <w:rFonts w:cs="Arial"/>
          <w:szCs w:val="22"/>
        </w:rPr>
        <w:t>vloží se do paré č.</w:t>
      </w:r>
      <w:r w:rsidR="00C95C0D">
        <w:rPr>
          <w:rFonts w:cs="Arial"/>
          <w:szCs w:val="22"/>
        </w:rPr>
        <w:t> </w:t>
      </w:r>
      <w:r w:rsidRPr="009B13D4">
        <w:rPr>
          <w:rFonts w:cs="Arial"/>
          <w:szCs w:val="22"/>
        </w:rPr>
        <w:t>1 a č. 2 PD. Dále se oceněný soupis dodá 1x na CD.</w:t>
      </w:r>
    </w:p>
    <w:p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rsidR="009B13D4" w:rsidRPr="00B43E05" w:rsidRDefault="009B13D4" w:rsidP="00D420C2">
      <w:pPr>
        <w:rPr>
          <w:rFonts w:cs="Arial"/>
          <w:szCs w:val="22"/>
        </w:rPr>
      </w:pPr>
      <w:r w:rsidRPr="00B43E05">
        <w:rPr>
          <w:rFonts w:cs="Arial"/>
          <w:szCs w:val="22"/>
        </w:rPr>
        <w:lastRenderedPageBreak/>
        <w:t xml:space="preserve"> </w:t>
      </w:r>
    </w:p>
    <w:p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rsidR="00C12B6A" w:rsidRDefault="00C12B6A" w:rsidP="00CA30D6">
      <w:pPr>
        <w:autoSpaceDE w:val="0"/>
        <w:autoSpaceDN w:val="0"/>
        <w:adjustRightInd w:val="0"/>
        <w:rPr>
          <w:rFonts w:cs="Arial"/>
          <w:szCs w:val="22"/>
        </w:rPr>
      </w:pPr>
    </w:p>
    <w:p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rsidR="00CA30D6" w:rsidRPr="00CA30D6" w:rsidRDefault="00CA30D6" w:rsidP="00CA30D6">
      <w:pPr>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Kompletní projektová dokumentace bude předána celkem v počtu 6x paré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rsidR="009B13D4" w:rsidRDefault="009B13D4" w:rsidP="009B13D4">
      <w:pPr>
        <w:autoSpaceDE w:val="0"/>
        <w:autoSpaceDN w:val="0"/>
        <w:adjustRightInd w:val="0"/>
        <w:rPr>
          <w:rFonts w:cs="Arial"/>
          <w:szCs w:val="22"/>
        </w:rPr>
      </w:pPr>
      <w:r w:rsidRPr="009B13D4">
        <w:rPr>
          <w:rFonts w:cs="Arial"/>
          <w:szCs w:val="22"/>
        </w:rPr>
        <w:t xml:space="preserve"> </w:t>
      </w:r>
    </w:p>
    <w:p w:rsidR="00C95C0D" w:rsidRPr="009B13D4" w:rsidRDefault="00C95C0D"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rsidR="009B13D4" w:rsidRPr="009B13D4" w:rsidRDefault="009B13D4" w:rsidP="009B13D4">
      <w:pPr>
        <w:autoSpaceDE w:val="0"/>
        <w:autoSpaceDN w:val="0"/>
        <w:adjustRightInd w:val="0"/>
        <w:rPr>
          <w:rFonts w:cs="Arial"/>
          <w:szCs w:val="22"/>
        </w:rPr>
      </w:pPr>
    </w:p>
    <w:p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paré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paré tištěné + 1x na elektronickém nosiči dat.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rsidR="009B13D4" w:rsidRPr="009B13D4" w:rsidRDefault="009B13D4" w:rsidP="009B13D4">
      <w:pPr>
        <w:autoSpaceDE w:val="0"/>
        <w:autoSpaceDN w:val="0"/>
        <w:adjustRightInd w:val="0"/>
        <w:rPr>
          <w:rFonts w:cs="Arial"/>
          <w:szCs w:val="22"/>
        </w:rPr>
      </w:pPr>
    </w:p>
    <w:p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rsidR="00653F71" w:rsidRPr="007D0F3C" w:rsidRDefault="00653F71" w:rsidP="00653F71">
      <w:pPr>
        <w:autoSpaceDE w:val="0"/>
        <w:autoSpaceDN w:val="0"/>
        <w:adjustRightInd w:val="0"/>
        <w:rPr>
          <w:rFonts w:ascii="Helv" w:hAnsi="Helv" w:cs="Helv"/>
        </w:rPr>
      </w:pPr>
    </w:p>
    <w:p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rsidR="00653F71" w:rsidRPr="007D0F3C" w:rsidRDefault="00653F71" w:rsidP="00653F71">
      <w:pPr>
        <w:autoSpaceDE w:val="0"/>
        <w:autoSpaceDN w:val="0"/>
        <w:adjustRightInd w:val="0"/>
        <w:rPr>
          <w:rFonts w:ascii="Helv" w:hAnsi="Helv" w:cs="Helv"/>
        </w:rPr>
      </w:pPr>
    </w:p>
    <w:p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rsidR="00653F71" w:rsidRDefault="00653F71" w:rsidP="00653F71">
      <w:pPr>
        <w:autoSpaceDE w:val="0"/>
        <w:autoSpaceDN w:val="0"/>
        <w:adjustRightInd w:val="0"/>
        <w:rPr>
          <w:rFonts w:cs="Arial"/>
          <w:szCs w:val="22"/>
        </w:rPr>
      </w:pPr>
    </w:p>
    <w:p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rsidR="00A075C1" w:rsidRPr="00B1004E" w:rsidRDefault="00A075C1" w:rsidP="00AD70F8">
      <w:pPr>
        <w:rPr>
          <w:rFonts w:cs="Arial"/>
          <w:szCs w:val="22"/>
        </w:rPr>
      </w:pPr>
    </w:p>
    <w:p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7E207C">
        <w:rPr>
          <w:rFonts w:cs="Arial"/>
          <w:b/>
          <w:color w:val="000000"/>
          <w:szCs w:val="22"/>
        </w:rPr>
        <w:t>, nejpozději však do 10 týdnů</w:t>
      </w:r>
      <w:r w:rsidRPr="006F7D2E">
        <w:rPr>
          <w:rFonts w:cs="Arial"/>
          <w:b/>
          <w:color w:val="000000"/>
          <w:szCs w:val="22"/>
        </w:rPr>
        <w:t xml:space="preserve"> po nabytí účinnosti smlouvy</w:t>
      </w:r>
    </w:p>
    <w:p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w:t>
      </w:r>
      <w:r w:rsidR="00C0542A">
        <w:rPr>
          <w:rFonts w:cs="Arial"/>
          <w:color w:val="000000"/>
          <w:szCs w:val="22"/>
        </w:rPr>
        <w:t xml:space="preserve"> DSP</w:t>
      </w:r>
      <w:r w:rsidRPr="001D1C96">
        <w:rPr>
          <w:rFonts w:cs="Arial"/>
          <w:color w:val="000000"/>
          <w:szCs w:val="22"/>
        </w:rPr>
        <w:t xml:space="preserve"> (2 x tištěné + 1 x elektronicky) po projednání na</w:t>
      </w:r>
      <w:r w:rsidR="00C95C0D">
        <w:rPr>
          <w:rFonts w:cs="Arial"/>
          <w:color w:val="000000"/>
          <w:szCs w:val="22"/>
        </w:rPr>
        <w:t> </w:t>
      </w:r>
      <w:r w:rsidRPr="001D1C96">
        <w:rPr>
          <w:rFonts w:cs="Arial"/>
          <w:color w:val="000000"/>
          <w:szCs w:val="22"/>
        </w:rPr>
        <w:t xml:space="preserve">ZVV:    </w:t>
      </w:r>
    </w:p>
    <w:p w:rsidR="001D1C96" w:rsidRPr="001D1C96" w:rsidRDefault="00922852" w:rsidP="00C12B6A">
      <w:pPr>
        <w:autoSpaceDE w:val="0"/>
        <w:autoSpaceDN w:val="0"/>
        <w:adjustRightInd w:val="0"/>
        <w:ind w:left="6373"/>
        <w:rPr>
          <w:rFonts w:cs="Arial"/>
          <w:color w:val="000000"/>
          <w:szCs w:val="22"/>
        </w:rPr>
      </w:pPr>
      <w:r>
        <w:rPr>
          <w:rFonts w:cs="Arial"/>
          <w:color w:val="000000"/>
          <w:szCs w:val="22"/>
        </w:rPr>
        <w:t xml:space="preserve"> </w:t>
      </w:r>
      <w:r w:rsidR="00C12B6A">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Pr>
          <w:rFonts w:cs="Arial"/>
          <w:b/>
          <w:bCs/>
          <w:color w:val="000000"/>
          <w:szCs w:val="22"/>
        </w:rPr>
        <w:t>15.12.</w:t>
      </w:r>
      <w:r w:rsidR="00414DA0">
        <w:rPr>
          <w:rFonts w:cs="Arial"/>
          <w:b/>
          <w:bCs/>
          <w:color w:val="000000"/>
          <w:szCs w:val="22"/>
        </w:rPr>
        <w:t>2021</w:t>
      </w:r>
    </w:p>
    <w:p w:rsidR="001D1C96" w:rsidRPr="001D1C96" w:rsidRDefault="001D1C96" w:rsidP="001D1C96">
      <w:pPr>
        <w:autoSpaceDE w:val="0"/>
        <w:autoSpaceDN w:val="0"/>
        <w:adjustRightInd w:val="0"/>
        <w:rPr>
          <w:rFonts w:cs="Arial"/>
          <w:color w:val="000000"/>
          <w:szCs w:val="22"/>
        </w:rPr>
      </w:pPr>
    </w:p>
    <w:p w:rsidR="00173927" w:rsidRPr="001D1C96" w:rsidRDefault="00173927" w:rsidP="00173927">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w:t>
      </w:r>
      <w:r>
        <w:rPr>
          <w:rFonts w:cs="Arial"/>
          <w:color w:val="000000"/>
          <w:szCs w:val="22"/>
        </w:rPr>
        <w:t xml:space="preserve"> DPS</w:t>
      </w:r>
      <w:r w:rsidRPr="001D1C96">
        <w:rPr>
          <w:rFonts w:cs="Arial"/>
          <w:color w:val="000000"/>
          <w:szCs w:val="22"/>
        </w:rPr>
        <w:t xml:space="preserve"> (2 x tištěné + 1 x elektronicky) po projednání na</w:t>
      </w:r>
      <w:r>
        <w:rPr>
          <w:rFonts w:cs="Arial"/>
          <w:color w:val="000000"/>
          <w:szCs w:val="22"/>
        </w:rPr>
        <w:t> </w:t>
      </w:r>
      <w:r w:rsidRPr="001D1C96">
        <w:rPr>
          <w:rFonts w:cs="Arial"/>
          <w:color w:val="000000"/>
          <w:szCs w:val="22"/>
        </w:rPr>
        <w:t xml:space="preserve">ZVV:    </w:t>
      </w:r>
    </w:p>
    <w:p w:rsidR="00173927" w:rsidRDefault="00922852" w:rsidP="00173927">
      <w:pPr>
        <w:autoSpaceDE w:val="0"/>
        <w:autoSpaceDN w:val="0"/>
        <w:adjustRightInd w:val="0"/>
        <w:ind w:left="6373"/>
        <w:rPr>
          <w:rFonts w:cs="Arial"/>
          <w:b/>
          <w:bCs/>
          <w:color w:val="000000"/>
          <w:szCs w:val="22"/>
        </w:rPr>
      </w:pPr>
      <w:r>
        <w:rPr>
          <w:rFonts w:cs="Arial"/>
          <w:color w:val="000000"/>
          <w:szCs w:val="22"/>
        </w:rPr>
        <w:t xml:space="preserve">  </w:t>
      </w:r>
      <w:r w:rsidR="00173927" w:rsidRPr="001D1C96">
        <w:rPr>
          <w:rFonts w:cs="Arial"/>
          <w:color w:val="000000"/>
          <w:szCs w:val="22"/>
        </w:rPr>
        <w:t xml:space="preserve">nejpozději </w:t>
      </w:r>
      <w:r>
        <w:rPr>
          <w:rFonts w:cs="Arial"/>
          <w:b/>
          <w:bCs/>
          <w:color w:val="000000"/>
          <w:szCs w:val="22"/>
        </w:rPr>
        <w:t>do</w:t>
      </w:r>
      <w:r w:rsidR="00173927">
        <w:rPr>
          <w:rFonts w:cs="Arial"/>
          <w:b/>
          <w:bCs/>
          <w:color w:val="000000"/>
          <w:szCs w:val="22"/>
        </w:rPr>
        <w:t xml:space="preserve"> </w:t>
      </w:r>
      <w:r w:rsidR="00170A4B">
        <w:rPr>
          <w:rFonts w:cs="Arial"/>
          <w:b/>
          <w:bCs/>
          <w:color w:val="000000"/>
          <w:szCs w:val="22"/>
        </w:rPr>
        <w:t>31.5</w:t>
      </w:r>
      <w:r>
        <w:rPr>
          <w:rFonts w:cs="Arial"/>
          <w:b/>
          <w:bCs/>
          <w:color w:val="000000"/>
          <w:szCs w:val="22"/>
        </w:rPr>
        <w:t>.2022</w:t>
      </w:r>
    </w:p>
    <w:p w:rsidR="00173927" w:rsidRPr="001D1C96" w:rsidRDefault="00173927" w:rsidP="00173927">
      <w:pPr>
        <w:autoSpaceDE w:val="0"/>
        <w:autoSpaceDN w:val="0"/>
        <w:adjustRightInd w:val="0"/>
        <w:ind w:left="6373"/>
        <w:rPr>
          <w:rFonts w:cs="Arial"/>
          <w:color w:val="000000"/>
          <w:szCs w:val="22"/>
        </w:rPr>
      </w:pPr>
    </w:p>
    <w:p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w:t>
      </w:r>
      <w:r w:rsidR="00C0542A">
        <w:rPr>
          <w:rFonts w:cs="Arial"/>
          <w:color w:val="000000"/>
          <w:szCs w:val="22"/>
        </w:rPr>
        <w:t xml:space="preserve">DPS </w:t>
      </w:r>
      <w:r w:rsidRPr="001D1C96">
        <w:rPr>
          <w:rFonts w:cs="Arial"/>
          <w:color w:val="000000"/>
          <w:szCs w:val="22"/>
        </w:rPr>
        <w:t>(4 x tištěné + 2 x elektronicky):</w:t>
      </w:r>
    </w:p>
    <w:p w:rsidR="001D1C96" w:rsidRDefault="00C12B6A" w:rsidP="00C12B6A">
      <w:pPr>
        <w:autoSpaceDE w:val="0"/>
        <w:autoSpaceDN w:val="0"/>
        <w:adjustRightInd w:val="0"/>
        <w:rPr>
          <w:rFonts w:cs="Arial"/>
          <w:color w:val="000000"/>
          <w:szCs w:val="22"/>
        </w:rPr>
      </w:pPr>
      <w:r>
        <w:rPr>
          <w:rFonts w:cs="Arial"/>
          <w:b/>
          <w:color w:val="000000"/>
          <w:szCs w:val="22"/>
        </w:rPr>
        <w:lastRenderedPageBreak/>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rsidR="00922852" w:rsidRPr="001D1C96" w:rsidRDefault="00922852" w:rsidP="00C12B6A">
      <w:pPr>
        <w:autoSpaceDE w:val="0"/>
        <w:autoSpaceDN w:val="0"/>
        <w:adjustRightInd w:val="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 xml:space="preserve">       </w:t>
      </w:r>
    </w:p>
    <w:p w:rsidR="00680069" w:rsidRPr="001D1C96" w:rsidRDefault="00680069" w:rsidP="00680069">
      <w:pPr>
        <w:ind w:left="426"/>
        <w:rPr>
          <w:rFonts w:cs="Arial"/>
          <w:szCs w:val="22"/>
        </w:rPr>
      </w:pPr>
    </w:p>
    <w:p w:rsidR="002329A3" w:rsidRDefault="002329A3" w:rsidP="002329A3">
      <w:pPr>
        <w:ind w:left="426"/>
        <w:rPr>
          <w:rFonts w:ascii="Helv" w:hAnsi="Helv" w:cs="Helv"/>
          <w:szCs w:val="22"/>
        </w:rPr>
      </w:pPr>
    </w:p>
    <w:p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rsidR="00F34A8E" w:rsidRDefault="00F34A8E" w:rsidP="003472AC">
      <w:pPr>
        <w:ind w:left="426"/>
        <w:rPr>
          <w:rFonts w:cs="Arial"/>
          <w:color w:val="000000"/>
          <w:szCs w:val="22"/>
        </w:rPr>
      </w:pPr>
    </w:p>
    <w:p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rsidR="009D1968" w:rsidRDefault="009D1968" w:rsidP="009D1968">
      <w:pPr>
        <w:rPr>
          <w:rFonts w:cs="Arial"/>
          <w:szCs w:val="22"/>
        </w:rPr>
      </w:pPr>
    </w:p>
    <w:p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C71A51">
        <w:rPr>
          <w:rFonts w:ascii="Arial CE" w:hAnsi="Arial CE" w:cs="Arial"/>
          <w:b/>
          <w:szCs w:val="22"/>
        </w:rPr>
        <w:t>2</w:t>
      </w:r>
      <w:r w:rsidR="00173927">
        <w:rPr>
          <w:rFonts w:ascii="Arial CE" w:hAnsi="Arial CE" w:cs="Arial"/>
          <w:b/>
          <w:szCs w:val="22"/>
        </w:rPr>
        <w:t xml:space="preserve">69 </w:t>
      </w:r>
      <w:r w:rsidR="00414DA0">
        <w:rPr>
          <w:rFonts w:ascii="Arial CE" w:hAnsi="Arial CE" w:cs="Arial"/>
          <w:b/>
          <w:szCs w:val="22"/>
        </w:rPr>
        <w:t>000</w:t>
      </w:r>
      <w:r w:rsidR="001F1AF6" w:rsidRPr="001F1AF6">
        <w:rPr>
          <w:rFonts w:ascii="Arial CE" w:hAnsi="Arial CE" w:cs="Arial"/>
          <w:b/>
          <w:szCs w:val="22"/>
        </w:rPr>
        <w:t>,00</w:t>
      </w:r>
      <w:r w:rsidRPr="001F1AF6">
        <w:rPr>
          <w:rFonts w:ascii="Arial CE" w:hAnsi="Arial CE" w:cs="Arial"/>
          <w:b/>
          <w:szCs w:val="22"/>
        </w:rPr>
        <w:t xml:space="preserve"> Kč bez DPH.</w:t>
      </w:r>
    </w:p>
    <w:p w:rsidR="009D1181" w:rsidRPr="009D1181" w:rsidRDefault="009D1181" w:rsidP="009D1181">
      <w:pPr>
        <w:ind w:left="426"/>
        <w:rPr>
          <w:rFonts w:ascii="Arial CE" w:hAnsi="Arial CE" w:cs="Arial"/>
          <w:szCs w:val="22"/>
        </w:rPr>
      </w:pPr>
    </w:p>
    <w:p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rsidR="009D1968" w:rsidRDefault="009D1968" w:rsidP="00345C83">
      <w:pPr>
        <w:ind w:left="360"/>
        <w:rPr>
          <w:rFonts w:cs="Arial"/>
          <w:szCs w:val="22"/>
        </w:rPr>
      </w:pPr>
    </w:p>
    <w:p w:rsidR="00D72B6A" w:rsidRDefault="00D72B6A" w:rsidP="00345C83">
      <w:pPr>
        <w:ind w:left="360"/>
        <w:rPr>
          <w:rFonts w:cs="Arial"/>
          <w:szCs w:val="22"/>
        </w:rPr>
      </w:pPr>
    </w:p>
    <w:p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rsidR="009D1968" w:rsidRDefault="009D1968" w:rsidP="00345C83">
      <w:pPr>
        <w:ind w:left="360"/>
        <w:rPr>
          <w:rFonts w:cs="Arial"/>
          <w:szCs w:val="22"/>
        </w:rPr>
      </w:pPr>
    </w:p>
    <w:p w:rsidR="009D1181" w:rsidRPr="009D1181" w:rsidRDefault="009D1181" w:rsidP="00D72B6A">
      <w:pPr>
        <w:numPr>
          <w:ilvl w:val="0"/>
          <w:numId w:val="31"/>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rsidR="009D1181" w:rsidRPr="009D1181" w:rsidRDefault="009D1181" w:rsidP="009D1181">
      <w:pPr>
        <w:autoSpaceDE w:val="0"/>
        <w:autoSpaceDN w:val="0"/>
        <w:adjustRightInd w:val="0"/>
        <w:rPr>
          <w:rFonts w:ascii="Arial CE" w:hAnsi="Arial CE"/>
          <w:szCs w:val="22"/>
        </w:rPr>
      </w:pPr>
    </w:p>
    <w:p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rsidR="009D1181" w:rsidRPr="009D1181" w:rsidRDefault="009D1181" w:rsidP="00D72B6A">
      <w:pPr>
        <w:autoSpaceDE w:val="0"/>
        <w:autoSpaceDN w:val="0"/>
        <w:adjustRightInd w:val="0"/>
        <w:ind w:left="426" w:hanging="426"/>
        <w:rPr>
          <w:rFonts w:ascii="Arial CE" w:hAnsi="Arial CE" w:cs="Arial"/>
          <w:szCs w:val="22"/>
        </w:rPr>
      </w:pPr>
    </w:p>
    <w:p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rsidR="006C3692" w:rsidRPr="001C17C3" w:rsidRDefault="006C3692" w:rsidP="006C3692">
      <w:pPr>
        <w:suppressAutoHyphens/>
        <w:ind w:left="720"/>
        <w:contextualSpacing/>
        <w:rPr>
          <w:rFonts w:ascii="Arial CE" w:hAnsi="Arial CE" w:cs="Arial"/>
          <w:b/>
          <w:szCs w:val="22"/>
        </w:rPr>
      </w:pPr>
    </w:p>
    <w:p w:rsidR="009D1181" w:rsidRDefault="009D1181" w:rsidP="009D1181">
      <w:pPr>
        <w:numPr>
          <w:ilvl w:val="0"/>
          <w:numId w:val="28"/>
        </w:numPr>
        <w:suppressAutoHyphens/>
        <w:ind w:left="720"/>
        <w:contextualSpacing/>
        <w:rPr>
          <w:rFonts w:ascii="Arial CE" w:hAnsi="Arial CE" w:cs="Arial"/>
          <w:b/>
          <w:szCs w:val="22"/>
        </w:rPr>
      </w:pPr>
      <w:r w:rsidRPr="009D1181">
        <w:rPr>
          <w:rFonts w:ascii="Arial CE" w:hAnsi="Arial CE" w:cs="Arial"/>
          <w:szCs w:val="22"/>
        </w:rPr>
        <w:t xml:space="preserve">V případě prvního dílčího plnění dnem protokolárního předání a převzetí kompletní PD </w:t>
      </w:r>
      <w:r w:rsidR="00173927">
        <w:rPr>
          <w:rFonts w:ascii="Arial CE" w:hAnsi="Arial CE" w:cs="Arial"/>
          <w:szCs w:val="22"/>
        </w:rPr>
        <w:t xml:space="preserve">DSP </w:t>
      </w:r>
      <w:r w:rsidRPr="009D1181">
        <w:rPr>
          <w:rFonts w:ascii="Arial CE" w:hAnsi="Arial CE" w:cs="Arial"/>
          <w:szCs w:val="22"/>
        </w:rPr>
        <w:t xml:space="preserve">ve výši </w:t>
      </w:r>
      <w:r w:rsidR="00173927">
        <w:rPr>
          <w:rFonts w:ascii="Arial CE" w:hAnsi="Arial CE" w:cs="Arial"/>
          <w:szCs w:val="22"/>
        </w:rPr>
        <w:t>5</w:t>
      </w:r>
      <w:r w:rsidRPr="009D1181">
        <w:rPr>
          <w:rFonts w:ascii="Arial CE" w:hAnsi="Arial CE" w:cs="Arial"/>
          <w:szCs w:val="22"/>
        </w:rPr>
        <w:t>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2</w:t>
      </w:r>
      <w:r w:rsidR="00173927">
        <w:rPr>
          <w:rFonts w:ascii="Arial CE" w:hAnsi="Arial CE" w:cs="Arial"/>
          <w:szCs w:val="22"/>
        </w:rPr>
        <w:t>69</w:t>
      </w:r>
      <w:r w:rsidR="00414DA0">
        <w:rPr>
          <w:rFonts w:ascii="Arial CE" w:hAnsi="Arial CE" w:cs="Arial"/>
          <w:szCs w:val="22"/>
        </w:rPr>
        <w:t xml:space="preserve"> 000</w:t>
      </w:r>
      <w:r w:rsidR="001C17C3">
        <w:rPr>
          <w:rFonts w:ascii="Arial CE" w:hAnsi="Arial CE" w:cs="Arial"/>
          <w:szCs w:val="22"/>
        </w:rPr>
        <w:t>,-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173927">
        <w:rPr>
          <w:rFonts w:ascii="Arial CE" w:hAnsi="Arial CE" w:cs="Arial"/>
          <w:b/>
          <w:szCs w:val="22"/>
        </w:rPr>
        <w:t>134 500</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rsidR="00173927" w:rsidRDefault="00173927" w:rsidP="00173927">
      <w:pPr>
        <w:suppressAutoHyphens/>
        <w:contextualSpacing/>
        <w:rPr>
          <w:rFonts w:ascii="Arial CE" w:hAnsi="Arial CE" w:cs="Arial"/>
          <w:b/>
          <w:szCs w:val="22"/>
        </w:rPr>
      </w:pPr>
    </w:p>
    <w:p w:rsidR="00173927" w:rsidRDefault="00173927" w:rsidP="00173927">
      <w:pPr>
        <w:numPr>
          <w:ilvl w:val="0"/>
          <w:numId w:val="28"/>
        </w:numPr>
        <w:suppressAutoHyphens/>
        <w:ind w:left="720"/>
        <w:contextualSpacing/>
        <w:rPr>
          <w:rFonts w:ascii="Arial CE" w:hAnsi="Arial CE" w:cs="Arial"/>
          <w:b/>
          <w:szCs w:val="22"/>
        </w:rPr>
      </w:pPr>
      <w:r w:rsidRPr="009D1181">
        <w:rPr>
          <w:rFonts w:ascii="Arial CE" w:hAnsi="Arial CE" w:cs="Arial"/>
          <w:szCs w:val="22"/>
        </w:rPr>
        <w:t xml:space="preserve">V případě </w:t>
      </w:r>
      <w:r>
        <w:rPr>
          <w:rFonts w:ascii="Arial CE" w:hAnsi="Arial CE" w:cs="Arial"/>
          <w:szCs w:val="22"/>
        </w:rPr>
        <w:t xml:space="preserve">druhého </w:t>
      </w:r>
      <w:r w:rsidRPr="009D1181">
        <w:rPr>
          <w:rFonts w:ascii="Arial CE" w:hAnsi="Arial CE" w:cs="Arial"/>
          <w:szCs w:val="22"/>
        </w:rPr>
        <w:t xml:space="preserve">dílčího plnění dnem protokolárního předání a převzetí kompletní PD </w:t>
      </w:r>
      <w:r>
        <w:rPr>
          <w:rFonts w:ascii="Arial CE" w:hAnsi="Arial CE" w:cs="Arial"/>
          <w:szCs w:val="22"/>
        </w:rPr>
        <w:t xml:space="preserve">DPS </w:t>
      </w:r>
      <w:r w:rsidRPr="009D1181">
        <w:rPr>
          <w:rFonts w:ascii="Arial CE" w:hAnsi="Arial CE" w:cs="Arial"/>
          <w:szCs w:val="22"/>
        </w:rPr>
        <w:t xml:space="preserve">ve výši </w:t>
      </w:r>
      <w:r>
        <w:rPr>
          <w:rFonts w:ascii="Arial CE" w:hAnsi="Arial CE" w:cs="Arial"/>
          <w:szCs w:val="22"/>
        </w:rPr>
        <w:t>3</w:t>
      </w:r>
      <w:r w:rsidRPr="009D1181">
        <w:rPr>
          <w:rFonts w:ascii="Arial CE" w:hAnsi="Arial CE" w:cs="Arial"/>
          <w:szCs w:val="22"/>
        </w:rPr>
        <w:t>0</w:t>
      </w:r>
      <w:r>
        <w:rPr>
          <w:rFonts w:ascii="Arial CE" w:hAnsi="Arial CE" w:cs="Arial"/>
          <w:szCs w:val="22"/>
        </w:rPr>
        <w:t xml:space="preserve"> </w:t>
      </w:r>
      <w:r w:rsidRPr="009D1181">
        <w:rPr>
          <w:rFonts w:ascii="Arial CE" w:hAnsi="Arial CE" w:cs="Arial"/>
          <w:szCs w:val="22"/>
        </w:rPr>
        <w:t xml:space="preserve">% </w:t>
      </w:r>
      <w:r>
        <w:rPr>
          <w:rFonts w:ascii="Arial CE" w:hAnsi="Arial CE" w:cs="Arial"/>
          <w:szCs w:val="22"/>
        </w:rPr>
        <w:t>z částky 269 000,-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Pr>
          <w:rFonts w:ascii="Arial CE" w:hAnsi="Arial CE" w:cs="Arial"/>
          <w:b/>
          <w:szCs w:val="22"/>
        </w:rPr>
        <w:t>80 700</w:t>
      </w:r>
      <w:r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rsidR="006C3692" w:rsidRDefault="006C3692" w:rsidP="006C3692">
      <w:pPr>
        <w:pStyle w:val="Odstavecseseznamem"/>
        <w:rPr>
          <w:rFonts w:ascii="Arial CE" w:hAnsi="Arial CE" w:cs="Arial"/>
          <w:b/>
          <w:szCs w:val="22"/>
        </w:rPr>
      </w:pPr>
    </w:p>
    <w:p w:rsidR="009D1181" w:rsidRPr="001F1AF6" w:rsidRDefault="009D1181" w:rsidP="009D1181">
      <w:pPr>
        <w:numPr>
          <w:ilvl w:val="0"/>
          <w:numId w:val="28"/>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2</w:t>
      </w:r>
      <w:r w:rsidR="00173927">
        <w:rPr>
          <w:rFonts w:ascii="Arial CE" w:eastAsia="Arial CE" w:hAnsi="Arial CE" w:cs="Arial CE"/>
          <w:szCs w:val="22"/>
        </w:rPr>
        <w:t>69</w:t>
      </w:r>
      <w:r w:rsidR="00414DA0">
        <w:rPr>
          <w:rFonts w:ascii="Arial CE" w:eastAsia="Arial CE" w:hAnsi="Arial CE" w:cs="Arial CE"/>
          <w:szCs w:val="22"/>
        </w:rPr>
        <w:t xml:space="preserve"> 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C12B6A">
        <w:rPr>
          <w:rFonts w:ascii="Arial CE" w:eastAsia="Arial CE" w:hAnsi="Arial CE" w:cs="Arial CE"/>
          <w:b/>
          <w:szCs w:val="22"/>
        </w:rPr>
        <w:t>5</w:t>
      </w:r>
      <w:r w:rsidR="00173927">
        <w:rPr>
          <w:rFonts w:ascii="Arial CE" w:eastAsia="Arial CE" w:hAnsi="Arial CE" w:cs="Arial CE"/>
          <w:b/>
          <w:szCs w:val="22"/>
        </w:rPr>
        <w:t>3 800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rsidR="009D1181" w:rsidRDefault="009D1181" w:rsidP="009D1181">
      <w:pPr>
        <w:suppressAutoHyphens/>
        <w:contextualSpacing/>
        <w:rPr>
          <w:rFonts w:ascii="Arial CE" w:eastAsia="Arial CE" w:hAnsi="Arial CE" w:cs="Arial CE"/>
        </w:rPr>
      </w:pPr>
    </w:p>
    <w:p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0112BD">
        <w:rPr>
          <w:rFonts w:ascii="Arial CE" w:eastAsia="Arial CE" w:hAnsi="Arial CE" w:cs="Arial CE"/>
          <w:b/>
        </w:rPr>
        <w:t>50</w:t>
      </w:r>
      <w:r w:rsidR="00527558">
        <w:rPr>
          <w:rFonts w:ascii="Arial CE" w:eastAsia="Arial CE" w:hAnsi="Arial CE" w:cs="Arial CE"/>
          <w:b/>
        </w:rPr>
        <w:t>2</w:t>
      </w:r>
      <w:r w:rsidR="00414DA0">
        <w:rPr>
          <w:rFonts w:ascii="Arial CE" w:eastAsia="Arial CE" w:hAnsi="Arial CE" w:cs="Arial CE"/>
          <w:b/>
        </w:rPr>
        <w:t> </w:t>
      </w:r>
      <w:r w:rsidR="00173927">
        <w:rPr>
          <w:rFonts w:ascii="Arial CE" w:eastAsia="Arial CE" w:hAnsi="Arial CE" w:cs="Arial CE"/>
          <w:b/>
        </w:rPr>
        <w:t>470</w:t>
      </w:r>
      <w:r w:rsidR="007F2D48">
        <w:rPr>
          <w:rFonts w:ascii="Arial CE" w:eastAsia="Arial CE" w:hAnsi="Arial CE" w:cs="Arial CE"/>
          <w:b/>
        </w:rPr>
        <w:t>.</w:t>
      </w:r>
    </w:p>
    <w:bookmarkEnd w:id="0"/>
    <w:p w:rsidR="006C3692" w:rsidRDefault="006C3692" w:rsidP="009D1181">
      <w:pPr>
        <w:suppressAutoHyphens/>
        <w:contextualSpacing/>
        <w:rPr>
          <w:rFonts w:ascii="Arial CE" w:eastAsia="Arial CE" w:hAnsi="Arial CE" w:cs="Arial CE"/>
        </w:rPr>
      </w:pPr>
    </w:p>
    <w:p w:rsidR="006C3692" w:rsidRPr="009D1181" w:rsidRDefault="006C3692" w:rsidP="009D1181">
      <w:pPr>
        <w:suppressAutoHyphens/>
        <w:contextualSpacing/>
        <w:rPr>
          <w:rFonts w:ascii="Arial CE" w:eastAsia="Arial CE" w:hAnsi="Arial CE" w:cs="Arial CE"/>
        </w:rPr>
      </w:pPr>
    </w:p>
    <w:p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rsidR="009D1181" w:rsidRPr="009D1181" w:rsidRDefault="009D1181" w:rsidP="009D1181">
      <w:pPr>
        <w:autoSpaceDE w:val="0"/>
        <w:autoSpaceDN w:val="0"/>
        <w:adjustRightInd w:val="0"/>
        <w:ind w:left="360"/>
        <w:rPr>
          <w:rFonts w:ascii="Arial CE" w:hAnsi="Arial CE" w:cs="Arial"/>
          <w:szCs w:val="22"/>
        </w:rPr>
      </w:pPr>
    </w:p>
    <w:p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lastRenderedPageBreak/>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rsidR="009D1181" w:rsidRPr="009D1181" w:rsidRDefault="009D1181" w:rsidP="009D1181">
      <w:pPr>
        <w:autoSpaceDE w:val="0"/>
        <w:autoSpaceDN w:val="0"/>
        <w:adjustRightInd w:val="0"/>
        <w:ind w:left="360"/>
        <w:rPr>
          <w:rFonts w:ascii="Arial CE" w:hAnsi="Arial CE" w:cs="Arial"/>
          <w:szCs w:val="22"/>
        </w:rPr>
      </w:pPr>
    </w:p>
    <w:p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rsidR="009D1181" w:rsidRPr="009D1181" w:rsidRDefault="009D1181" w:rsidP="00D72B6A">
      <w:pPr>
        <w:autoSpaceDE w:val="0"/>
        <w:autoSpaceDN w:val="0"/>
        <w:adjustRightInd w:val="0"/>
        <w:ind w:left="426" w:hanging="426"/>
        <w:rPr>
          <w:rFonts w:ascii="Arial CE" w:hAnsi="Arial CE" w:cs="Arial"/>
          <w:szCs w:val="22"/>
        </w:rPr>
      </w:pPr>
    </w:p>
    <w:p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rsidR="009D1181" w:rsidRPr="009D1181" w:rsidRDefault="009D1181" w:rsidP="009D1181">
      <w:pPr>
        <w:autoSpaceDE w:val="0"/>
        <w:autoSpaceDN w:val="0"/>
        <w:adjustRightInd w:val="0"/>
        <w:rPr>
          <w:rFonts w:ascii="Arial CE" w:hAnsi="Arial CE" w:cs="Arial"/>
          <w:szCs w:val="22"/>
        </w:rPr>
      </w:pPr>
    </w:p>
    <w:p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rsidR="00744967" w:rsidRDefault="00744967" w:rsidP="009D1968">
      <w:pPr>
        <w:autoSpaceDE w:val="0"/>
        <w:autoSpaceDN w:val="0"/>
        <w:adjustRightInd w:val="0"/>
        <w:ind w:left="426" w:hanging="426"/>
        <w:rPr>
          <w:rFonts w:cs="Arial"/>
          <w:szCs w:val="22"/>
        </w:rPr>
      </w:pPr>
    </w:p>
    <w:p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rsidR="00BA6A71" w:rsidRPr="00DD4362" w:rsidRDefault="00BA6A71" w:rsidP="00BA6A71">
      <w:pPr>
        <w:pStyle w:val="A-odstavecodsazensodrkami"/>
        <w:numPr>
          <w:ilvl w:val="0"/>
          <w:numId w:val="0"/>
        </w:numPr>
        <w:ind w:left="502"/>
        <w:rPr>
          <w:rFonts w:ascii="Arial CE" w:hAnsi="Arial CE"/>
          <w:strike/>
          <w:color w:val="FF0000"/>
        </w:rPr>
      </w:pPr>
    </w:p>
    <w:p w:rsidR="00BA6A71" w:rsidRDefault="00BA6A71" w:rsidP="00D72B6A">
      <w:pPr>
        <w:pStyle w:val="A-odstavecodsazensodrkami"/>
        <w:numPr>
          <w:ilvl w:val="0"/>
          <w:numId w:val="33"/>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rsidR="00BA6A71" w:rsidRDefault="00BA6A71" w:rsidP="00BA6A71">
      <w:pPr>
        <w:pStyle w:val="A-odstavecodsazensodrkami"/>
        <w:numPr>
          <w:ilvl w:val="0"/>
          <w:numId w:val="0"/>
        </w:numPr>
        <w:ind w:left="502"/>
        <w:rPr>
          <w:rFonts w:ascii="Arial CE" w:hAnsi="Arial CE"/>
        </w:rPr>
      </w:pPr>
    </w:p>
    <w:p w:rsidR="00BA6A71" w:rsidRPr="00BB6A12" w:rsidRDefault="00BA6A71" w:rsidP="00D72B6A">
      <w:pPr>
        <w:pStyle w:val="A-odstavecodsazensodrkami"/>
        <w:numPr>
          <w:ilvl w:val="0"/>
          <w:numId w:val="33"/>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rsidR="00BA6A71" w:rsidRPr="00C33382" w:rsidRDefault="00BA6A71" w:rsidP="00BA6A71">
      <w:pPr>
        <w:rPr>
          <w:rFonts w:ascii="Arial CE" w:hAnsi="Arial CE" w:cs="Arial"/>
          <w:bCs/>
          <w:color w:val="000000"/>
          <w:szCs w:val="22"/>
        </w:rPr>
      </w:pPr>
    </w:p>
    <w:p w:rsidR="00BA6A71" w:rsidRPr="00D72B6A" w:rsidRDefault="00BA6A71" w:rsidP="00D72B6A">
      <w:pPr>
        <w:pStyle w:val="A-odstavecodsazensodrkami"/>
        <w:numPr>
          <w:ilvl w:val="0"/>
          <w:numId w:val="33"/>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BA6A71" w:rsidRPr="001D7A19" w:rsidRDefault="00BA6A71" w:rsidP="00BA6A71">
      <w:pPr>
        <w:pStyle w:val="Odstavecseseznamem"/>
        <w:ind w:left="426" w:hanging="426"/>
        <w:rPr>
          <w:rFonts w:ascii="Arial CE" w:hAnsi="Arial CE" w:cs="Arial"/>
          <w:bCs/>
          <w:color w:val="000000"/>
          <w:szCs w:val="22"/>
        </w:rPr>
      </w:pPr>
    </w:p>
    <w:p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BA6A71" w:rsidRPr="001D7A19" w:rsidRDefault="00BA6A71" w:rsidP="00BA6A71">
      <w:pPr>
        <w:pStyle w:val="Odstavecseseznamem"/>
        <w:rPr>
          <w:rFonts w:ascii="Arial CE" w:hAnsi="Arial CE"/>
        </w:rPr>
      </w:pPr>
    </w:p>
    <w:p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rsidR="00BA6A71" w:rsidRDefault="00BA6A71" w:rsidP="00BA6A71">
      <w:pPr>
        <w:pStyle w:val="Odstavecseseznamem"/>
        <w:rPr>
          <w:rFonts w:ascii="Arial CE" w:hAnsi="Arial CE"/>
        </w:rPr>
      </w:pPr>
    </w:p>
    <w:p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rsidR="00BA6A71" w:rsidRPr="001D7A19" w:rsidRDefault="00BA6A71" w:rsidP="00BA6A71">
      <w:pPr>
        <w:pStyle w:val="A-odstavecodsazensodrkami"/>
        <w:numPr>
          <w:ilvl w:val="0"/>
          <w:numId w:val="0"/>
        </w:numPr>
        <w:ind w:left="360" w:hanging="360"/>
        <w:rPr>
          <w:rFonts w:ascii="Arial CE" w:hAnsi="Arial CE"/>
        </w:rPr>
      </w:pPr>
    </w:p>
    <w:p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DB092D" w:rsidRDefault="00DB092D" w:rsidP="00DB092D">
      <w:pPr>
        <w:pStyle w:val="Odstavecseseznamem"/>
        <w:rPr>
          <w:rFonts w:ascii="Arial CE" w:hAnsi="Arial CE"/>
        </w:rPr>
      </w:pPr>
    </w:p>
    <w:p w:rsidR="00DB092D" w:rsidRDefault="00DB092D" w:rsidP="00DB092D">
      <w:pPr>
        <w:pStyle w:val="A-odstavecodsazensodrkami"/>
        <w:numPr>
          <w:ilvl w:val="0"/>
          <w:numId w:val="0"/>
        </w:numPr>
        <w:ind w:left="1287" w:hanging="567"/>
        <w:rPr>
          <w:rFonts w:ascii="Arial CE" w:hAnsi="Arial CE"/>
        </w:rPr>
      </w:pPr>
    </w:p>
    <w:p w:rsidR="00DB092D" w:rsidRDefault="00DB092D" w:rsidP="00DB092D">
      <w:pPr>
        <w:pStyle w:val="A-odstavecodsazensodrkami"/>
        <w:numPr>
          <w:ilvl w:val="0"/>
          <w:numId w:val="0"/>
        </w:numPr>
        <w:ind w:left="1287" w:hanging="567"/>
        <w:rPr>
          <w:rFonts w:ascii="Arial CE" w:hAnsi="Arial CE"/>
        </w:rPr>
      </w:pPr>
    </w:p>
    <w:p w:rsidR="007F2D48" w:rsidRDefault="007F2D48" w:rsidP="007F2D48">
      <w:pPr>
        <w:pStyle w:val="Odstavecseseznamem"/>
        <w:rPr>
          <w:rFonts w:ascii="Arial CE" w:hAnsi="Arial CE"/>
        </w:rPr>
      </w:pPr>
    </w:p>
    <w:p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rsidR="00BA6A71" w:rsidRPr="001D42DD" w:rsidRDefault="00BA6A71" w:rsidP="00BA6A71">
      <w:pPr>
        <w:rPr>
          <w:rFonts w:ascii="Arial CE" w:eastAsia="Arial CE" w:hAnsi="Arial CE" w:cs="Arial CE"/>
          <w:b/>
          <w:color w:val="000000"/>
          <w:szCs w:val="22"/>
        </w:rPr>
      </w:pPr>
    </w:p>
    <w:p w:rsidR="00BA6A71" w:rsidRPr="001D42DD" w:rsidRDefault="00BA6A71" w:rsidP="00D72B6A">
      <w:pPr>
        <w:pStyle w:val="Odstavecseseznamem"/>
        <w:numPr>
          <w:ilvl w:val="0"/>
          <w:numId w:val="38"/>
        </w:numPr>
        <w:ind w:left="426" w:hanging="426"/>
        <w:rPr>
          <w:rFonts w:ascii="Arial CE" w:eastAsia="Arial CE" w:hAnsi="Arial CE" w:cs="Arial CE"/>
          <w:color w:val="FF0000"/>
          <w:szCs w:val="22"/>
        </w:rPr>
      </w:pPr>
      <w:r w:rsidRPr="001D42DD">
        <w:rPr>
          <w:rFonts w:ascii="Arial CE" w:eastAsia="Arial CE" w:hAnsi="Arial CE" w:cs="Arial CE"/>
          <w:szCs w:val="22"/>
        </w:rPr>
        <w:lastRenderedPageBreak/>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BA6A71" w:rsidRPr="001D42DD" w:rsidRDefault="00BA6A71" w:rsidP="00BA6A71">
      <w:pPr>
        <w:ind w:left="567" w:hanging="567"/>
        <w:rPr>
          <w:rFonts w:ascii="Arial CE" w:eastAsia="Arial CE" w:hAnsi="Arial CE" w:cs="Arial CE"/>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BA6A71" w:rsidRPr="001D42DD" w:rsidRDefault="00BA6A71" w:rsidP="00BA6A71">
      <w:pPr>
        <w:ind w:left="567" w:hanging="567"/>
        <w:rPr>
          <w:rFonts w:ascii="Arial CE" w:eastAsia="Arial CE" w:hAnsi="Arial CE" w:cs="Arial CE"/>
          <w:b/>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BA6A71" w:rsidRPr="00EB7EEF" w:rsidRDefault="00BA6A71" w:rsidP="00D72B6A">
      <w:pPr>
        <w:pStyle w:val="Odstavecseseznamem"/>
        <w:ind w:left="426"/>
        <w:rPr>
          <w:rFonts w:ascii="Arial CE" w:eastAsia="Arial CE" w:hAnsi="Arial CE" w:cs="Arial CE"/>
          <w:szCs w:val="22"/>
        </w:rPr>
      </w:pPr>
    </w:p>
    <w:p w:rsidR="00BA6A71" w:rsidRPr="00EB7EEF" w:rsidRDefault="00BA6A71" w:rsidP="00D72B6A">
      <w:pPr>
        <w:pStyle w:val="Odstavecseseznamem"/>
        <w:numPr>
          <w:ilvl w:val="0"/>
          <w:numId w:val="38"/>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rsidR="00BA6A71" w:rsidRPr="00D72B6A" w:rsidRDefault="00BA6A71" w:rsidP="00D72B6A">
      <w:pPr>
        <w:pStyle w:val="Odstavecseseznamem"/>
        <w:ind w:left="426"/>
        <w:rPr>
          <w:rFonts w:ascii="Arial CE" w:eastAsia="Arial CE" w:hAnsi="Arial CE" w:cs="Arial CE"/>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rsidR="00BA6A71" w:rsidRPr="001D42DD" w:rsidRDefault="00BA6A71" w:rsidP="00BA6A71">
      <w:pPr>
        <w:ind w:left="567" w:hanging="567"/>
        <w:rPr>
          <w:rFonts w:ascii="Arial CE" w:eastAsia="Arial CE" w:hAnsi="Arial CE" w:cs="Arial CE"/>
          <w:color w:val="000000"/>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BA6A71" w:rsidRPr="001D42DD" w:rsidRDefault="00BA6A71" w:rsidP="00BA6A71">
      <w:pPr>
        <w:ind w:left="567" w:hanging="567"/>
        <w:rPr>
          <w:rFonts w:ascii="Arial CE" w:eastAsia="Arial CE" w:hAnsi="Arial CE" w:cs="Arial CE"/>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BA6A71" w:rsidRPr="001D42DD" w:rsidRDefault="00BA6A71" w:rsidP="00BA6A71">
      <w:pPr>
        <w:ind w:left="567" w:hanging="567"/>
        <w:rPr>
          <w:rFonts w:ascii="Arial CE" w:eastAsia="Arial CE" w:hAnsi="Arial CE" w:cs="Arial CE"/>
          <w:szCs w:val="22"/>
        </w:rPr>
      </w:pPr>
    </w:p>
    <w:p w:rsidR="00BA6A71"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6469F2" w:rsidRDefault="006469F2" w:rsidP="006469F2">
      <w:pPr>
        <w:rPr>
          <w:rFonts w:ascii="Arial CE" w:eastAsia="Arial CE" w:hAnsi="Arial CE" w:cs="Arial CE"/>
          <w:szCs w:val="22"/>
        </w:rPr>
      </w:pPr>
    </w:p>
    <w:p w:rsidR="006469F2" w:rsidRPr="006469F2" w:rsidRDefault="006469F2" w:rsidP="006469F2">
      <w:pPr>
        <w:rPr>
          <w:rFonts w:ascii="Arial CE" w:eastAsia="Arial CE" w:hAnsi="Arial CE" w:cs="Arial CE"/>
          <w:szCs w:val="22"/>
        </w:rPr>
      </w:pPr>
    </w:p>
    <w:p w:rsidR="00CF240D" w:rsidRDefault="00CF240D" w:rsidP="001251EF"/>
    <w:p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rsidR="00C979C5" w:rsidRDefault="00C979C5" w:rsidP="00C979C5">
      <w:pPr>
        <w:autoSpaceDE w:val="0"/>
        <w:autoSpaceDN w:val="0"/>
        <w:adjustRightInd w:val="0"/>
        <w:jc w:val="left"/>
        <w:rPr>
          <w:rFonts w:cs="Arial"/>
          <w:b/>
          <w:bCs/>
          <w:color w:val="000000"/>
          <w:szCs w:val="22"/>
          <w:u w:val="single"/>
        </w:rPr>
      </w:pPr>
    </w:p>
    <w:p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rsidR="00C979C5" w:rsidRDefault="00C979C5" w:rsidP="001251EF"/>
    <w:p w:rsidR="00CA4D5D" w:rsidRDefault="00CA4D5D" w:rsidP="001251EF"/>
    <w:p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lastRenderedPageBreak/>
        <w:t xml:space="preserve">Čl. </w:t>
      </w:r>
      <w:r w:rsidR="00C979C5" w:rsidRPr="00D72B6A">
        <w:rPr>
          <w:rFonts w:ascii="Arial CE" w:hAnsi="Arial CE"/>
          <w:b/>
          <w:color w:val="000000"/>
        </w:rPr>
        <w:t>IX</w:t>
      </w:r>
      <w:r w:rsidRPr="00D72B6A">
        <w:rPr>
          <w:rFonts w:ascii="Arial CE" w:hAnsi="Arial CE"/>
          <w:b/>
          <w:color w:val="000000"/>
        </w:rPr>
        <w:t>. NÁHRADA ŠKODY</w:t>
      </w:r>
    </w:p>
    <w:p w:rsidR="00BA6A71" w:rsidRPr="001D7A19" w:rsidRDefault="00BA6A71" w:rsidP="00BA6A71">
      <w:pPr>
        <w:autoSpaceDE w:val="0"/>
        <w:autoSpaceDN w:val="0"/>
        <w:adjustRightInd w:val="0"/>
        <w:rPr>
          <w:rFonts w:ascii="Arial CE" w:hAnsi="Arial CE" w:cs="Arial"/>
          <w:bCs/>
          <w:color w:val="000000"/>
          <w:szCs w:val="22"/>
        </w:rPr>
      </w:pPr>
    </w:p>
    <w:p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rsidR="00576944" w:rsidRDefault="00576944" w:rsidP="000112BD">
      <w:pPr>
        <w:pStyle w:val="Odstavecseseznamem"/>
        <w:autoSpaceDE w:val="0"/>
        <w:autoSpaceDN w:val="0"/>
        <w:adjustRightInd w:val="0"/>
        <w:ind w:left="0"/>
        <w:rPr>
          <w:rFonts w:ascii="Arial CE" w:hAnsi="Arial CE" w:cs="Arial"/>
          <w:bCs/>
          <w:color w:val="000000"/>
          <w:szCs w:val="22"/>
        </w:rPr>
      </w:pPr>
    </w:p>
    <w:p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rsidR="00BA6A71" w:rsidRPr="001D7A19" w:rsidRDefault="00BA6A71" w:rsidP="00BA6A71">
      <w:pPr>
        <w:autoSpaceDE w:val="0"/>
        <w:autoSpaceDN w:val="0"/>
        <w:adjustRightInd w:val="0"/>
        <w:rPr>
          <w:rFonts w:ascii="Arial CE" w:hAnsi="Arial CE" w:cs="Arial"/>
          <w:b/>
          <w:bCs/>
          <w:color w:val="000000"/>
        </w:rPr>
      </w:pPr>
    </w:p>
    <w:p w:rsidR="00BA6A71" w:rsidRPr="00067F4D"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rsidR="00BA6A71" w:rsidRPr="001D7A19" w:rsidRDefault="00BA6A71" w:rsidP="00BA6A71">
      <w:pPr>
        <w:autoSpaceDE w:val="0"/>
        <w:autoSpaceDN w:val="0"/>
        <w:adjustRightInd w:val="0"/>
        <w:ind w:left="357"/>
        <w:rPr>
          <w:rFonts w:ascii="Arial CE" w:hAnsi="Arial CE"/>
          <w:color w:val="000000"/>
          <w:szCs w:val="22"/>
        </w:rPr>
      </w:pPr>
    </w:p>
    <w:p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rsidR="00BA6A71" w:rsidRDefault="00BA6A71" w:rsidP="00BA6A71">
      <w:pPr>
        <w:autoSpaceDE w:val="0"/>
        <w:autoSpaceDN w:val="0"/>
        <w:adjustRightInd w:val="0"/>
        <w:rPr>
          <w:rFonts w:ascii="Arial CE" w:hAnsi="Arial CE" w:cs="Arial"/>
          <w:b/>
          <w:color w:val="000000"/>
          <w:szCs w:val="22"/>
          <w:u w:val="single"/>
        </w:rPr>
      </w:pPr>
    </w:p>
    <w:p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rsidR="00B7669F" w:rsidRPr="00612E8A" w:rsidRDefault="00B7669F" w:rsidP="001251EF"/>
    <w:p w:rsidR="00BA6A71"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D72B6A"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rsidR="00BA6A71" w:rsidRDefault="00BA6A71" w:rsidP="00D72B6A">
      <w:pPr>
        <w:pStyle w:val="Zkladntext"/>
        <w:numPr>
          <w:ilvl w:val="0"/>
          <w:numId w:val="36"/>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rsidR="00D72B6A" w:rsidRDefault="00D72B6A" w:rsidP="00D72B6A">
      <w:pPr>
        <w:pStyle w:val="Odstavecseseznamem"/>
        <w:rPr>
          <w:rFonts w:ascii="Arial CE" w:hAnsi="Arial CE"/>
        </w:rPr>
      </w:pPr>
    </w:p>
    <w:p w:rsidR="00BA6A71" w:rsidRDefault="00BA6A71" w:rsidP="00D72B6A">
      <w:pPr>
        <w:pStyle w:val="Zkladntext"/>
        <w:numPr>
          <w:ilvl w:val="0"/>
          <w:numId w:val="36"/>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rsidR="00F95F49" w:rsidRDefault="00F95F49" w:rsidP="00F95F49">
      <w:pPr>
        <w:pStyle w:val="Odstavecseseznamem"/>
        <w:rPr>
          <w:rFonts w:ascii="Arial CE" w:hAnsi="Arial CE"/>
        </w:rPr>
      </w:pPr>
    </w:p>
    <w:p w:rsidR="00F95F49" w:rsidRPr="00D72B6A" w:rsidRDefault="00F95F49" w:rsidP="00F95F49">
      <w:pPr>
        <w:pStyle w:val="Zkladntext"/>
        <w:tabs>
          <w:tab w:val="clear" w:pos="360"/>
        </w:tabs>
        <w:textAlignment w:val="baseline"/>
        <w:rPr>
          <w:rFonts w:ascii="Arial CE" w:hAnsi="Arial CE"/>
        </w:rPr>
      </w:pPr>
      <w:bookmarkStart w:id="1" w:name="_GoBack"/>
      <w:bookmarkEnd w:id="1"/>
    </w:p>
    <w:p w:rsidR="002830C6" w:rsidRDefault="002830C6" w:rsidP="00B7669F">
      <w:pPr>
        <w:pStyle w:val="Zkladntext"/>
        <w:tabs>
          <w:tab w:val="clear" w:pos="360"/>
        </w:tabs>
        <w:ind w:left="567" w:firstLine="0"/>
        <w:textAlignment w:val="baseline"/>
        <w:rPr>
          <w:rFonts w:ascii="Arial CE" w:hAnsi="Arial CE"/>
          <w:b/>
          <w:color w:val="000000"/>
          <w:u w:val="single"/>
        </w:rPr>
      </w:pPr>
    </w:p>
    <w:p w:rsidR="009D78F9" w:rsidRDefault="009D78F9" w:rsidP="00B7669F">
      <w:pPr>
        <w:pStyle w:val="Zkladntext"/>
        <w:tabs>
          <w:tab w:val="clear" w:pos="360"/>
        </w:tabs>
        <w:ind w:left="567" w:firstLine="0"/>
        <w:textAlignment w:val="baseline"/>
        <w:rPr>
          <w:rFonts w:ascii="Arial CE" w:hAnsi="Arial CE"/>
          <w:b/>
          <w:color w:val="000000"/>
          <w:u w:val="single"/>
        </w:rPr>
      </w:pPr>
    </w:p>
    <w:p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lastRenderedPageBreak/>
        <w:t>Čl. XI</w:t>
      </w:r>
      <w:r w:rsidR="00C979C5" w:rsidRPr="00923691">
        <w:rPr>
          <w:rFonts w:ascii="Arial CE" w:hAnsi="Arial CE"/>
          <w:b/>
          <w:color w:val="000000"/>
        </w:rPr>
        <w:t>I</w:t>
      </w:r>
      <w:r w:rsidRPr="00923691">
        <w:rPr>
          <w:rFonts w:ascii="Arial CE" w:hAnsi="Arial CE"/>
          <w:b/>
          <w:color w:val="000000"/>
        </w:rPr>
        <w:t>. ZÁVĚREČNÁ USTANOVENÍ</w:t>
      </w:r>
    </w:p>
    <w:p w:rsidR="00BA6A71" w:rsidRPr="00663814" w:rsidRDefault="00BA6A71" w:rsidP="00BA6A71">
      <w:pPr>
        <w:rPr>
          <w:rFonts w:cs="Arial"/>
          <w:b/>
          <w:bCs/>
          <w:color w:val="000000"/>
          <w:szCs w:val="22"/>
        </w:rPr>
      </w:pPr>
    </w:p>
    <w:p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rsidR="00B7669F" w:rsidRDefault="00B7669F" w:rsidP="00B7669F">
      <w:pPr>
        <w:autoSpaceDE w:val="0"/>
        <w:autoSpaceDN w:val="0"/>
        <w:adjustRightInd w:val="0"/>
        <w:ind w:left="426"/>
        <w:rPr>
          <w:rFonts w:cs="Arial"/>
          <w:color w:val="000000"/>
          <w:szCs w:val="22"/>
        </w:rPr>
      </w:pPr>
    </w:p>
    <w:p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BA6A71" w:rsidRPr="00663814" w:rsidRDefault="00BA6A71" w:rsidP="00BA6A71">
      <w:pPr>
        <w:autoSpaceDE w:val="0"/>
        <w:autoSpaceDN w:val="0"/>
        <w:adjustRightInd w:val="0"/>
        <w:ind w:left="426" w:hanging="426"/>
        <w:rPr>
          <w:rFonts w:cs="Arial"/>
          <w:bCs/>
          <w:color w:val="000000"/>
          <w:szCs w:val="22"/>
        </w:rPr>
      </w:pPr>
    </w:p>
    <w:p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BA6A71" w:rsidRPr="00663814" w:rsidRDefault="00BA6A71" w:rsidP="00BA6A71">
      <w:pPr>
        <w:pStyle w:val="Odstavecseseznamem"/>
        <w:autoSpaceDE w:val="0"/>
        <w:autoSpaceDN w:val="0"/>
        <w:adjustRightInd w:val="0"/>
        <w:ind w:left="426"/>
        <w:rPr>
          <w:rFonts w:cs="Arial"/>
          <w:szCs w:val="22"/>
        </w:rPr>
      </w:pPr>
    </w:p>
    <w:p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BA6A71" w:rsidRPr="00663814" w:rsidRDefault="00BA6A71" w:rsidP="00BA6A71">
      <w:pPr>
        <w:pStyle w:val="Odstavecseseznamem"/>
        <w:autoSpaceDE w:val="0"/>
        <w:autoSpaceDN w:val="0"/>
        <w:adjustRightInd w:val="0"/>
        <w:rPr>
          <w:rFonts w:cs="Arial"/>
          <w:szCs w:val="22"/>
        </w:rPr>
      </w:pPr>
    </w:p>
    <w:p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rsidR="00BA6A71" w:rsidRPr="00923691" w:rsidRDefault="00BA6A71" w:rsidP="00923691">
      <w:pPr>
        <w:autoSpaceDE w:val="0"/>
        <w:autoSpaceDN w:val="0"/>
        <w:adjustRightInd w:val="0"/>
        <w:ind w:left="426"/>
        <w:contextualSpacing/>
        <w:rPr>
          <w:rFonts w:cs="Arial"/>
          <w:bCs/>
          <w:color w:val="000000"/>
          <w:szCs w:val="22"/>
        </w:rPr>
      </w:pPr>
    </w:p>
    <w:p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rsidR="00BA6A71" w:rsidRDefault="00BA6A71" w:rsidP="00BA6A71">
      <w:pPr>
        <w:pStyle w:val="Zkladntext"/>
      </w:pPr>
    </w:p>
    <w:p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rsidR="00BA6A71" w:rsidRPr="00BA6A71" w:rsidRDefault="00BA6A71" w:rsidP="00BA6A71">
      <w:pPr>
        <w:pStyle w:val="Odstavecseseznamem"/>
        <w:ind w:left="426"/>
        <w:rPr>
          <w:szCs w:val="22"/>
        </w:rPr>
      </w:pPr>
    </w:p>
    <w:p w:rsidR="00923691" w:rsidRPr="00BB2C32" w:rsidRDefault="00923691" w:rsidP="00923691">
      <w:pPr>
        <w:pStyle w:val="Odstavecseseznamem"/>
        <w:numPr>
          <w:ilvl w:val="0"/>
          <w:numId w:val="37"/>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rsidR="00BA6A71" w:rsidRPr="009B416C" w:rsidRDefault="00BA6A71" w:rsidP="00BA6A71">
      <w:pPr>
        <w:rPr>
          <w:szCs w:val="22"/>
        </w:rPr>
      </w:pPr>
    </w:p>
    <w:p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rsidR="00BA6A71" w:rsidRDefault="00BA6A71" w:rsidP="00BA6A71">
      <w:pPr>
        <w:autoSpaceDE w:val="0"/>
        <w:autoSpaceDN w:val="0"/>
        <w:adjustRightInd w:val="0"/>
        <w:rPr>
          <w:rFonts w:cs="Arial"/>
          <w:bCs/>
          <w:szCs w:val="22"/>
        </w:rPr>
      </w:pPr>
    </w:p>
    <w:p w:rsid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rsidR="00576944" w:rsidRDefault="00576944" w:rsidP="00576944">
      <w:pPr>
        <w:rPr>
          <w:rFonts w:cs="Arial"/>
          <w:bCs/>
          <w:color w:val="000000"/>
          <w:szCs w:val="22"/>
        </w:rPr>
      </w:pPr>
    </w:p>
    <w:p w:rsidR="00CA4D5D" w:rsidRDefault="00CA4D5D" w:rsidP="00576944">
      <w:pPr>
        <w:rPr>
          <w:rFonts w:cs="Arial"/>
          <w:bCs/>
          <w:color w:val="000000"/>
          <w:szCs w:val="22"/>
        </w:rPr>
      </w:pPr>
    </w:p>
    <w:p w:rsidR="00CA4D5D" w:rsidRDefault="00CA4D5D" w:rsidP="00576944">
      <w:pPr>
        <w:rPr>
          <w:rFonts w:cs="Arial"/>
          <w:bCs/>
          <w:color w:val="000000"/>
          <w:szCs w:val="22"/>
        </w:rPr>
      </w:pPr>
    </w:p>
    <w:p w:rsidR="00576944" w:rsidRPr="00576944" w:rsidRDefault="00576944" w:rsidP="00576944">
      <w:pPr>
        <w:rPr>
          <w:rFonts w:cs="Arial"/>
          <w:bCs/>
          <w:color w:val="000000"/>
          <w:szCs w:val="22"/>
        </w:rPr>
      </w:pPr>
    </w:p>
    <w:p w:rsidR="005A2490" w:rsidRDefault="005A2490" w:rsidP="005A2490">
      <w:pPr>
        <w:autoSpaceDE w:val="0"/>
        <w:autoSpaceDN w:val="0"/>
        <w:adjustRightInd w:val="0"/>
        <w:jc w:val="left"/>
        <w:rPr>
          <w:szCs w:val="22"/>
        </w:rPr>
      </w:pPr>
      <w:r w:rsidRPr="00550FE6">
        <w:rPr>
          <w:rFonts w:cs="Arial"/>
          <w:color w:val="000000"/>
          <w:szCs w:val="22"/>
        </w:rPr>
        <w:t>v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sidRPr="00550FE6">
        <w:rPr>
          <w:rFonts w:cs="Arial"/>
          <w:color w:val="000000"/>
          <w:szCs w:val="22"/>
        </w:rPr>
        <w:tab/>
      </w:r>
      <w:r>
        <w:rPr>
          <w:rFonts w:cs="Arial"/>
          <w:color w:val="000000"/>
          <w:szCs w:val="22"/>
        </w:rPr>
        <w:tab/>
        <w:t xml:space="preserve">       </w:t>
      </w:r>
      <w:r w:rsidR="007E207C">
        <w:rPr>
          <w:rFonts w:cs="Arial"/>
          <w:color w:val="000000"/>
          <w:szCs w:val="22"/>
        </w:rPr>
        <w:t xml:space="preserve">     </w:t>
      </w:r>
      <w:r>
        <w:rPr>
          <w:rFonts w:cs="Arial"/>
          <w:color w:val="000000"/>
          <w:szCs w:val="22"/>
        </w:rPr>
        <w:t xml:space="preserve"> </w:t>
      </w:r>
      <w:r w:rsidRPr="00241C08">
        <w:rPr>
          <w:szCs w:val="22"/>
        </w:rPr>
        <w:t>v</w:t>
      </w:r>
      <w:r>
        <w:rPr>
          <w:szCs w:val="22"/>
        </w:rPr>
        <w:t> Karlových Varech dne:</w:t>
      </w:r>
    </w:p>
    <w:p w:rsidR="005A2490" w:rsidRDefault="005A2490" w:rsidP="005A2490">
      <w:pPr>
        <w:autoSpaceDE w:val="0"/>
        <w:autoSpaceDN w:val="0"/>
        <w:adjustRightInd w:val="0"/>
        <w:jc w:val="left"/>
        <w:rPr>
          <w:szCs w:val="22"/>
        </w:rPr>
      </w:pPr>
    </w:p>
    <w:p w:rsidR="005A2490" w:rsidRDefault="005A2490" w:rsidP="005A2490">
      <w:pPr>
        <w:autoSpaceDE w:val="0"/>
        <w:autoSpaceDN w:val="0"/>
        <w:adjustRightInd w:val="0"/>
        <w:jc w:val="left"/>
        <w:rPr>
          <w:szCs w:val="22"/>
        </w:rPr>
      </w:pPr>
    </w:p>
    <w:p w:rsidR="005A2490" w:rsidRDefault="005A2490" w:rsidP="005A2490">
      <w:pPr>
        <w:autoSpaceDE w:val="0"/>
        <w:autoSpaceDN w:val="0"/>
        <w:adjustRightInd w:val="0"/>
        <w:jc w:val="left"/>
        <w:rPr>
          <w:szCs w:val="22"/>
        </w:rPr>
      </w:pPr>
    </w:p>
    <w:p w:rsidR="005A2490" w:rsidRDefault="005A2490" w:rsidP="005A2490">
      <w:pPr>
        <w:autoSpaceDE w:val="0"/>
        <w:autoSpaceDN w:val="0"/>
        <w:adjustRightInd w:val="0"/>
        <w:jc w:val="left"/>
        <w:rPr>
          <w:szCs w:val="22"/>
        </w:rPr>
      </w:pPr>
    </w:p>
    <w:p w:rsidR="005A2490" w:rsidRDefault="005A2490" w:rsidP="005A2490">
      <w:pPr>
        <w:autoSpaceDE w:val="0"/>
        <w:autoSpaceDN w:val="0"/>
        <w:adjustRightInd w:val="0"/>
        <w:jc w:val="left"/>
        <w:rPr>
          <w:szCs w:val="22"/>
        </w:rPr>
      </w:pPr>
    </w:p>
    <w:p w:rsidR="005A2490" w:rsidRPr="00714854" w:rsidRDefault="005A2490" w:rsidP="005A2490">
      <w:pPr>
        <w:autoSpaceDE w:val="0"/>
        <w:autoSpaceDN w:val="0"/>
        <w:adjustRightInd w:val="0"/>
        <w:jc w:val="left"/>
        <w:rPr>
          <w:szCs w:val="22"/>
        </w:rPr>
      </w:pPr>
      <w:r w:rsidRPr="00714854">
        <w:rPr>
          <w:szCs w:val="22"/>
        </w:rPr>
        <w:t>……………………………………</w:t>
      </w:r>
      <w:r w:rsidRPr="00714854">
        <w:rPr>
          <w:szCs w:val="22"/>
        </w:rPr>
        <w:tab/>
      </w:r>
      <w:r w:rsidRPr="00714854">
        <w:rPr>
          <w:szCs w:val="22"/>
        </w:rPr>
        <w:tab/>
      </w:r>
      <w:r w:rsidRPr="00714854">
        <w:rPr>
          <w:szCs w:val="22"/>
        </w:rPr>
        <w:tab/>
      </w:r>
      <w:r w:rsidR="007E207C">
        <w:rPr>
          <w:szCs w:val="22"/>
        </w:rPr>
        <w:tab/>
      </w:r>
      <w:r w:rsidRPr="00714854">
        <w:rPr>
          <w:szCs w:val="22"/>
        </w:rPr>
        <w:t>…………………………………….</w:t>
      </w:r>
    </w:p>
    <w:p w:rsidR="005A2490" w:rsidRPr="00574D01" w:rsidRDefault="005A2490" w:rsidP="005A2490">
      <w:pPr>
        <w:tabs>
          <w:tab w:val="center" w:pos="7371"/>
        </w:tabs>
        <w:autoSpaceDE w:val="0"/>
        <w:autoSpaceDN w:val="0"/>
        <w:adjustRightInd w:val="0"/>
        <w:jc w:val="left"/>
        <w:rPr>
          <w:rFonts w:cs="Arial"/>
          <w:szCs w:val="22"/>
        </w:rPr>
      </w:pPr>
      <w:r w:rsidRPr="00574D01">
        <w:rPr>
          <w:rFonts w:cs="Arial"/>
          <w:szCs w:val="22"/>
        </w:rPr>
        <w:t xml:space="preserve">    </w:t>
      </w:r>
      <w:r>
        <w:rPr>
          <w:rFonts w:cs="Arial"/>
          <w:szCs w:val="22"/>
        </w:rPr>
        <w:t>I</w:t>
      </w:r>
      <w:r w:rsidRPr="00574D01">
        <w:rPr>
          <w:rFonts w:cs="Arial"/>
          <w:szCs w:val="22"/>
        </w:rPr>
        <w:t>nvestiční ředitel</w:t>
      </w:r>
      <w:r w:rsidRPr="00574D01">
        <w:rPr>
          <w:rFonts w:cs="Arial"/>
          <w:szCs w:val="22"/>
        </w:rPr>
        <w:tab/>
      </w:r>
    </w:p>
    <w:p w:rsidR="005A2490" w:rsidRPr="00235572" w:rsidRDefault="005A2490" w:rsidP="005A2490">
      <w:pPr>
        <w:tabs>
          <w:tab w:val="left" w:pos="5812"/>
        </w:tabs>
        <w:autoSpaceDE w:val="0"/>
        <w:autoSpaceDN w:val="0"/>
        <w:adjustRightInd w:val="0"/>
        <w:jc w:val="left"/>
        <w:rPr>
          <w:rFonts w:cs="Arial"/>
          <w:szCs w:val="22"/>
        </w:rPr>
      </w:pPr>
      <w:r>
        <w:rPr>
          <w:rFonts w:cs="Arial"/>
          <w:szCs w:val="22"/>
        </w:rPr>
        <w:t xml:space="preserve">    </w:t>
      </w:r>
      <w:r w:rsidRPr="00574D01">
        <w:rPr>
          <w:rFonts w:cs="Arial"/>
          <w:szCs w:val="22"/>
        </w:rPr>
        <w:t>Povodí Ohře, státní podnik</w:t>
      </w:r>
      <w:r w:rsidRPr="00574D01">
        <w:rPr>
          <w:rFonts w:cs="Arial"/>
          <w:szCs w:val="22"/>
        </w:rPr>
        <w:tab/>
      </w:r>
      <w:r w:rsidRPr="00431301">
        <w:rPr>
          <w:rFonts w:cs="Arial"/>
          <w:bCs/>
          <w:szCs w:val="22"/>
        </w:rPr>
        <w:t>VP PROJEKTING s.r.o.</w:t>
      </w:r>
    </w:p>
    <w:p w:rsidR="005A2490" w:rsidRDefault="007E207C" w:rsidP="005A2490">
      <w:pPr>
        <w:tabs>
          <w:tab w:val="left" w:pos="3960"/>
        </w:tabs>
        <w:autoSpaceDE w:val="0"/>
        <w:autoSpaceDN w:val="0"/>
        <w:adjustRightInd w:val="0"/>
        <w:rPr>
          <w:rFonts w:cs="Arial"/>
          <w:color w:val="000000"/>
          <w:szCs w:val="22"/>
        </w:rPr>
      </w:pPr>
      <w:r>
        <w:rPr>
          <w:rFonts w:cs="Arial"/>
          <w:i/>
          <w:szCs w:val="22"/>
        </w:rPr>
        <w:t xml:space="preserve">    </w:t>
      </w:r>
      <w:r w:rsidRPr="00923691">
        <w:rPr>
          <w:rFonts w:cs="Arial"/>
          <w:i/>
          <w:szCs w:val="22"/>
        </w:rPr>
        <w:t>za objednatele</w:t>
      </w:r>
      <w:r w:rsidRPr="00923691">
        <w:rPr>
          <w:rFonts w:cs="Arial"/>
          <w:i/>
          <w:szCs w:val="22"/>
        </w:rPr>
        <w:tab/>
      </w:r>
      <w:r>
        <w:rPr>
          <w:rFonts w:cs="Arial"/>
          <w:i/>
          <w:szCs w:val="22"/>
        </w:rPr>
        <w:t xml:space="preserve">                               </w:t>
      </w:r>
      <w:r w:rsidRPr="00923691">
        <w:rPr>
          <w:rFonts w:cs="Arial"/>
          <w:i/>
          <w:szCs w:val="22"/>
        </w:rPr>
        <w:t>za zhotovitele</w:t>
      </w:r>
    </w:p>
    <w:p w:rsidR="005A2490" w:rsidRPr="00C8531F" w:rsidRDefault="005A2490" w:rsidP="005A2490">
      <w:pPr>
        <w:autoSpaceDE w:val="0"/>
        <w:autoSpaceDN w:val="0"/>
        <w:adjustRightInd w:val="0"/>
        <w:rPr>
          <w:rFonts w:cs="Arial"/>
          <w:szCs w:val="22"/>
        </w:rPr>
      </w:pPr>
      <w:r w:rsidRPr="00C8531F">
        <w:rPr>
          <w:rFonts w:cs="Arial"/>
          <w:szCs w:val="22"/>
        </w:rPr>
        <w:tab/>
      </w:r>
    </w:p>
    <w:p w:rsidR="00C8531F" w:rsidRPr="00923691" w:rsidRDefault="00923691" w:rsidP="00923691">
      <w:pPr>
        <w:tabs>
          <w:tab w:val="left" w:pos="4820"/>
          <w:tab w:val="right" w:pos="9049"/>
        </w:tabs>
        <w:autoSpaceDE w:val="0"/>
        <w:autoSpaceDN w:val="0"/>
        <w:adjustRightInd w:val="0"/>
        <w:spacing w:line="300" w:lineRule="atLeast"/>
        <w:ind w:firstLine="426"/>
        <w:rPr>
          <w:rFonts w:cs="Arial"/>
          <w:i/>
          <w:szCs w:val="22"/>
        </w:rPr>
      </w:pPr>
      <w:r w:rsidRPr="00923691">
        <w:rPr>
          <w:rFonts w:cs="Arial"/>
          <w:i/>
          <w:szCs w:val="22"/>
        </w:rPr>
        <w:tab/>
      </w:r>
      <w:r w:rsidRPr="00923691">
        <w:rPr>
          <w:rFonts w:cs="Arial"/>
          <w:i/>
          <w:szCs w:val="22"/>
        </w:rPr>
        <w:tab/>
      </w:r>
      <w:r w:rsidRPr="00923691">
        <w:rPr>
          <w:rFonts w:cs="Arial"/>
          <w:i/>
          <w:szCs w:val="22"/>
        </w:rPr>
        <w:tab/>
      </w:r>
    </w:p>
    <w:p w:rsidR="009D1181" w:rsidRDefault="009D1181" w:rsidP="00C8531F">
      <w:pPr>
        <w:autoSpaceDE w:val="0"/>
        <w:autoSpaceDN w:val="0"/>
        <w:adjustRightInd w:val="0"/>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7AD" w:rsidRDefault="00A167AD">
      <w:r>
        <w:separator/>
      </w:r>
    </w:p>
  </w:endnote>
  <w:endnote w:type="continuationSeparator" w:id="0">
    <w:p w:rsidR="00A167AD" w:rsidRDefault="00A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sidR="00170A4B">
      <w:rPr>
        <w:rFonts w:cs="Arial"/>
        <w:b/>
        <w:noProof/>
        <w:sz w:val="18"/>
        <w:szCs w:val="18"/>
      </w:rPr>
      <w:t>6</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sidR="00170A4B">
      <w:rPr>
        <w:rFonts w:cs="Arial"/>
        <w:b/>
        <w:noProof/>
        <w:sz w:val="18"/>
        <w:szCs w:val="18"/>
      </w:rPr>
      <w:t>11</w:t>
    </w:r>
    <w:r w:rsidRPr="008D51A5">
      <w:rPr>
        <w:rFonts w:cs="Arial"/>
        <w:b/>
        <w:sz w:val="18"/>
        <w:szCs w:val="18"/>
      </w:rPr>
      <w:fldChar w:fldCharType="end"/>
    </w:r>
  </w:p>
  <w:p w:rsidR="00F639F1" w:rsidRPr="008D51A5" w:rsidRDefault="00F639F1" w:rsidP="00476A4A">
    <w:pPr>
      <w:pStyle w:val="Zpat"/>
      <w:jc w:val="right"/>
      <w:rPr>
        <w:rFonts w:cs="Arial"/>
        <w:sz w:val="18"/>
        <w:szCs w:val="18"/>
      </w:rPr>
    </w:pPr>
  </w:p>
  <w:p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7AD" w:rsidRDefault="00A167AD">
      <w:r>
        <w:separator/>
      </w:r>
    </w:p>
  </w:footnote>
  <w:footnote w:type="continuationSeparator" w:id="0">
    <w:p w:rsidR="00A167AD" w:rsidRDefault="00A1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D21A25">
      <w:rPr>
        <w:rFonts w:cs="Arial"/>
        <w:sz w:val="18"/>
        <w:szCs w:val="18"/>
      </w:rPr>
      <w:t>558</w:t>
    </w:r>
    <w:r w:rsidR="00002566">
      <w:rPr>
        <w:rFonts w:cs="Arial"/>
        <w:sz w:val="18"/>
        <w:szCs w:val="18"/>
      </w:rPr>
      <w:t>/2021</w:t>
    </w:r>
  </w:p>
  <w:p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3"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1"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0"/>
  </w:num>
  <w:num w:numId="4">
    <w:abstractNumId w:val="25"/>
  </w:num>
  <w:num w:numId="5">
    <w:abstractNumId w:val="6"/>
  </w:num>
  <w:num w:numId="6">
    <w:abstractNumId w:val="29"/>
  </w:num>
  <w:num w:numId="7">
    <w:abstractNumId w:val="30"/>
  </w:num>
  <w:num w:numId="8">
    <w:abstractNumId w:val="2"/>
  </w:num>
  <w:num w:numId="9">
    <w:abstractNumId w:val="1"/>
  </w:num>
  <w:num w:numId="10">
    <w:abstractNumId w:val="35"/>
  </w:num>
  <w:num w:numId="11">
    <w:abstractNumId w:val="26"/>
  </w:num>
  <w:num w:numId="12">
    <w:abstractNumId w:val="31"/>
  </w:num>
  <w:num w:numId="13">
    <w:abstractNumId w:val="10"/>
  </w:num>
  <w:num w:numId="14">
    <w:abstractNumId w:val="27"/>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8"/>
  </w:num>
  <w:num w:numId="26">
    <w:abstractNumId w:val="14"/>
  </w:num>
  <w:num w:numId="27">
    <w:abstractNumId w:val="9"/>
  </w:num>
  <w:num w:numId="28">
    <w:abstractNumId w:val="33"/>
  </w:num>
  <w:num w:numId="29">
    <w:abstractNumId w:val="18"/>
  </w:num>
  <w:num w:numId="30">
    <w:abstractNumId w:val="23"/>
  </w:num>
  <w:num w:numId="31">
    <w:abstractNumId w:val="34"/>
  </w:num>
  <w:num w:numId="32">
    <w:abstractNumId w:val="32"/>
  </w:num>
  <w:num w:numId="33">
    <w:abstractNumId w:val="5"/>
  </w:num>
  <w:num w:numId="34">
    <w:abstractNumId w:val="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9"/>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732F"/>
    <w:rsid w:val="00160643"/>
    <w:rsid w:val="00161E22"/>
    <w:rsid w:val="00162FED"/>
    <w:rsid w:val="00163376"/>
    <w:rsid w:val="00166045"/>
    <w:rsid w:val="00170A4B"/>
    <w:rsid w:val="00171631"/>
    <w:rsid w:val="00173927"/>
    <w:rsid w:val="00174636"/>
    <w:rsid w:val="001749C3"/>
    <w:rsid w:val="00185265"/>
    <w:rsid w:val="00195227"/>
    <w:rsid w:val="001A1BF6"/>
    <w:rsid w:val="001A47C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1CE7"/>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B6B87"/>
    <w:rsid w:val="004C0B09"/>
    <w:rsid w:val="004C304B"/>
    <w:rsid w:val="004C396C"/>
    <w:rsid w:val="004C50D3"/>
    <w:rsid w:val="004D1CF5"/>
    <w:rsid w:val="004D29F2"/>
    <w:rsid w:val="004D3F48"/>
    <w:rsid w:val="004E0013"/>
    <w:rsid w:val="004E4E40"/>
    <w:rsid w:val="004E69FF"/>
    <w:rsid w:val="004F076C"/>
    <w:rsid w:val="004F576E"/>
    <w:rsid w:val="004F78FB"/>
    <w:rsid w:val="00501673"/>
    <w:rsid w:val="00504E42"/>
    <w:rsid w:val="0050601E"/>
    <w:rsid w:val="00522424"/>
    <w:rsid w:val="0052371F"/>
    <w:rsid w:val="0052468C"/>
    <w:rsid w:val="005257D4"/>
    <w:rsid w:val="00527558"/>
    <w:rsid w:val="00531101"/>
    <w:rsid w:val="0053391A"/>
    <w:rsid w:val="005368F8"/>
    <w:rsid w:val="0055206D"/>
    <w:rsid w:val="00561238"/>
    <w:rsid w:val="00566190"/>
    <w:rsid w:val="00570C17"/>
    <w:rsid w:val="00576944"/>
    <w:rsid w:val="0058265B"/>
    <w:rsid w:val="0058552C"/>
    <w:rsid w:val="00590B52"/>
    <w:rsid w:val="00590FCA"/>
    <w:rsid w:val="00594B1E"/>
    <w:rsid w:val="005A2490"/>
    <w:rsid w:val="005A6E12"/>
    <w:rsid w:val="005C3E55"/>
    <w:rsid w:val="005C644A"/>
    <w:rsid w:val="005D5110"/>
    <w:rsid w:val="005E2FD1"/>
    <w:rsid w:val="005F18F6"/>
    <w:rsid w:val="005F1F2B"/>
    <w:rsid w:val="00605814"/>
    <w:rsid w:val="00610BB5"/>
    <w:rsid w:val="0061213B"/>
    <w:rsid w:val="00617CEC"/>
    <w:rsid w:val="00625B22"/>
    <w:rsid w:val="00625D84"/>
    <w:rsid w:val="0062654F"/>
    <w:rsid w:val="006324A3"/>
    <w:rsid w:val="0063291C"/>
    <w:rsid w:val="00635211"/>
    <w:rsid w:val="00637062"/>
    <w:rsid w:val="00644E8C"/>
    <w:rsid w:val="006469F2"/>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454C"/>
    <w:rsid w:val="006A58B6"/>
    <w:rsid w:val="006A7E38"/>
    <w:rsid w:val="006C239C"/>
    <w:rsid w:val="006C2E78"/>
    <w:rsid w:val="006C3692"/>
    <w:rsid w:val="006C5F61"/>
    <w:rsid w:val="006C602E"/>
    <w:rsid w:val="006D0F7D"/>
    <w:rsid w:val="006D3D75"/>
    <w:rsid w:val="006E062C"/>
    <w:rsid w:val="006E0D2A"/>
    <w:rsid w:val="006E6E68"/>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07C"/>
    <w:rsid w:val="007E2B0A"/>
    <w:rsid w:val="007E2EA8"/>
    <w:rsid w:val="007E33C1"/>
    <w:rsid w:val="007F2D48"/>
    <w:rsid w:val="00800E6D"/>
    <w:rsid w:val="00801B34"/>
    <w:rsid w:val="00820923"/>
    <w:rsid w:val="00822518"/>
    <w:rsid w:val="00822F3C"/>
    <w:rsid w:val="00824A92"/>
    <w:rsid w:val="0082518C"/>
    <w:rsid w:val="008338EB"/>
    <w:rsid w:val="00837762"/>
    <w:rsid w:val="00840DA5"/>
    <w:rsid w:val="00841258"/>
    <w:rsid w:val="008432CA"/>
    <w:rsid w:val="008432E7"/>
    <w:rsid w:val="00864E08"/>
    <w:rsid w:val="0086619E"/>
    <w:rsid w:val="00867A07"/>
    <w:rsid w:val="008771EF"/>
    <w:rsid w:val="00877509"/>
    <w:rsid w:val="00877E0E"/>
    <w:rsid w:val="008850E7"/>
    <w:rsid w:val="00886472"/>
    <w:rsid w:val="00886E65"/>
    <w:rsid w:val="00887DDF"/>
    <w:rsid w:val="00891B2D"/>
    <w:rsid w:val="0089607D"/>
    <w:rsid w:val="008A0E5D"/>
    <w:rsid w:val="008A1B04"/>
    <w:rsid w:val="008A3C21"/>
    <w:rsid w:val="008A4465"/>
    <w:rsid w:val="008A646C"/>
    <w:rsid w:val="008B0740"/>
    <w:rsid w:val="008B1BF9"/>
    <w:rsid w:val="008B4073"/>
    <w:rsid w:val="008B53AF"/>
    <w:rsid w:val="008C4F45"/>
    <w:rsid w:val="008D0722"/>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2852"/>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87E51"/>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D1181"/>
    <w:rsid w:val="009D1968"/>
    <w:rsid w:val="009D3592"/>
    <w:rsid w:val="009D78F9"/>
    <w:rsid w:val="009F4251"/>
    <w:rsid w:val="009F42F0"/>
    <w:rsid w:val="009F4727"/>
    <w:rsid w:val="009F6E2C"/>
    <w:rsid w:val="00A0137D"/>
    <w:rsid w:val="00A0281B"/>
    <w:rsid w:val="00A057BF"/>
    <w:rsid w:val="00A058DF"/>
    <w:rsid w:val="00A075C1"/>
    <w:rsid w:val="00A16062"/>
    <w:rsid w:val="00A1615F"/>
    <w:rsid w:val="00A167AD"/>
    <w:rsid w:val="00A17BE4"/>
    <w:rsid w:val="00A206AE"/>
    <w:rsid w:val="00A208DC"/>
    <w:rsid w:val="00A304FA"/>
    <w:rsid w:val="00A31015"/>
    <w:rsid w:val="00A31E98"/>
    <w:rsid w:val="00A411F0"/>
    <w:rsid w:val="00A415F1"/>
    <w:rsid w:val="00A451E8"/>
    <w:rsid w:val="00A46384"/>
    <w:rsid w:val="00A53B62"/>
    <w:rsid w:val="00A55FD5"/>
    <w:rsid w:val="00A662F3"/>
    <w:rsid w:val="00A66516"/>
    <w:rsid w:val="00A71BE1"/>
    <w:rsid w:val="00A74BEE"/>
    <w:rsid w:val="00A755E3"/>
    <w:rsid w:val="00A75EA7"/>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729"/>
    <w:rsid w:val="00B92C56"/>
    <w:rsid w:val="00B94105"/>
    <w:rsid w:val="00BA1A8B"/>
    <w:rsid w:val="00BA5122"/>
    <w:rsid w:val="00BA51FB"/>
    <w:rsid w:val="00BA6366"/>
    <w:rsid w:val="00BA6A71"/>
    <w:rsid w:val="00BB2DAF"/>
    <w:rsid w:val="00BB4447"/>
    <w:rsid w:val="00BB4CC3"/>
    <w:rsid w:val="00BC3C71"/>
    <w:rsid w:val="00BD1509"/>
    <w:rsid w:val="00BD7651"/>
    <w:rsid w:val="00BE42F1"/>
    <w:rsid w:val="00BE6ACC"/>
    <w:rsid w:val="00BF4A4D"/>
    <w:rsid w:val="00BF5B97"/>
    <w:rsid w:val="00BF7072"/>
    <w:rsid w:val="00C01BBA"/>
    <w:rsid w:val="00C0542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C0D"/>
    <w:rsid w:val="00C96652"/>
    <w:rsid w:val="00C9756F"/>
    <w:rsid w:val="00C979C5"/>
    <w:rsid w:val="00C97F02"/>
    <w:rsid w:val="00CA30D6"/>
    <w:rsid w:val="00CA4D5D"/>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1A25"/>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092D"/>
    <w:rsid w:val="00DB3F13"/>
    <w:rsid w:val="00DB6FF5"/>
    <w:rsid w:val="00DC0D56"/>
    <w:rsid w:val="00DC238C"/>
    <w:rsid w:val="00DD24EE"/>
    <w:rsid w:val="00DD381C"/>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1194"/>
    <w:rsid w:val="00E83007"/>
    <w:rsid w:val="00EA2209"/>
    <w:rsid w:val="00EA36D5"/>
    <w:rsid w:val="00EA48DF"/>
    <w:rsid w:val="00EA6C7C"/>
    <w:rsid w:val="00EB3C5B"/>
    <w:rsid w:val="00EB40F3"/>
    <w:rsid w:val="00EC5B72"/>
    <w:rsid w:val="00EC62BB"/>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47650"/>
    <w:rsid w:val="00F53267"/>
    <w:rsid w:val="00F639F1"/>
    <w:rsid w:val="00F746C6"/>
    <w:rsid w:val="00F755FC"/>
    <w:rsid w:val="00F757DA"/>
    <w:rsid w:val="00F860CB"/>
    <w:rsid w:val="00F92EAC"/>
    <w:rsid w:val="00F93FDB"/>
    <w:rsid w:val="00F95F49"/>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C67A"/>
  <w15:docId w15:val="{E5DE0063-5616-4E56-92EB-8D72D1F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customStyle="1" w:styleId="Nevyeenzmnka1">
    <w:name w:val="Nevyřešená zmínka1"/>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4392</Words>
  <Characters>25916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2021-05-14T08:28:00Z</dcterms:created>
  <dcterms:modified xsi:type="dcterms:W3CDTF">2021-05-14T08:29:00Z</dcterms:modified>
</cp:coreProperties>
</file>