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p>
      <w:pPr>
        <w:pStyle w:val="Style2"/>
        <w:keepNext w:val="0"/>
        <w:keepLines w:val="0"/>
        <w:widowControl w:val="0"/>
        <w:shd w:val="clear" w:color="auto" w:fill="auto"/>
        <w:bidi w:val="0"/>
        <w:spacing w:before="0" w:after="1100" w:line="240" w:lineRule="auto"/>
        <w:ind w:left="0" w:right="0" w:firstLine="0"/>
        <w:jc w:val="center"/>
      </w:pPr>
      <w:r>
        <w:rPr>
          <w:b/>
          <w:bCs/>
          <w:color w:val="000000"/>
          <w:spacing w:val="0"/>
          <w:w w:val="100"/>
          <w:position w:val="0"/>
          <w:shd w:val="clear" w:color="auto" w:fill="auto"/>
          <w:lang w:val="cs-CZ" w:eastAsia="cs-CZ" w:bidi="cs-CZ"/>
        </w:rPr>
        <w:t>Část 5 - Rámcová dohoda pro okres Žďár nad Sázavou</w:t>
      </w:r>
    </w:p>
    <w:tbl>
      <w:tblPr>
        <w:tblOverlap w:val="never"/>
        <w:jc w:val="left"/>
        <w:tblLayout w:type="fixed"/>
      </w:tblPr>
      <w:tblGrid>
        <w:gridCol w:w="1963"/>
        <w:gridCol w:w="6538"/>
      </w:tblGrid>
      <w:tr>
        <w:trPr>
          <w:trHeight w:val="30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Radovanem Necidem, ředitelem organizace</w:t>
            </w:r>
          </w:p>
        </w:tc>
      </w:tr>
      <w:tr>
        <w:trPr>
          <w:trHeight w:val="32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00090450</w:t>
            </w:r>
          </w:p>
        </w:tc>
      </w:tr>
      <w:tr>
        <w:trPr>
          <w:trHeight w:val="331"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CZ00090450</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Kraj Vysočina</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959" w:line="1" w:lineRule="exact"/>
      </w:pPr>
    </w:p>
    <w:p>
      <w:pPr>
        <w:widowControl w:val="0"/>
        <w:spacing w:line="1" w:lineRule="exact"/>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left"/>
        <w:tblLayout w:type="fixed"/>
      </w:tblPr>
      <w:tblGrid>
        <w:gridCol w:w="1790"/>
        <w:gridCol w:w="3715"/>
      </w:tblGrid>
      <w:tr>
        <w:trPr>
          <w:trHeight w:val="3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SILNICE ČÁSLAV, s.r.o.</w:t>
            </w:r>
          </w:p>
        </w:tc>
      </w:tr>
      <w:tr>
        <w:trPr>
          <w:trHeight w:val="33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Zbraslavice 2, 285 21 Zbraslavice</w:t>
            </w:r>
          </w:p>
        </w:tc>
      </w:tr>
      <w:tr>
        <w:trPr>
          <w:trHeight w:val="35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Michalem Holíkem, jednatelem</w:t>
            </w:r>
          </w:p>
        </w:tc>
      </w:tr>
      <w:tr>
        <w:trPr>
          <w:trHeight w:val="32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28447085</w:t>
            </w:r>
          </w:p>
        </w:tc>
      </w:tr>
      <w:tr>
        <w:trPr>
          <w:trHeight w:val="27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CZ28447085</w:t>
            </w:r>
          </w:p>
        </w:tc>
      </w:tr>
    </w:tbl>
    <w:p>
      <w:pPr>
        <w:widowControl w:val="0"/>
        <w:spacing w:after="99" w:line="1" w:lineRule="exact"/>
      </w:pP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uzavřeli níže psaného dne, měsíce a roku ve smyslu </w:t>
      </w:r>
      <w:r>
        <w:rPr>
          <w:b/>
          <w:bCs/>
          <w:color w:val="000000"/>
          <w:spacing w:val="0"/>
          <w:w w:val="100"/>
          <w:position w:val="0"/>
          <w:shd w:val="clear" w:color="auto" w:fill="auto"/>
          <w:lang w:val="cs-CZ" w:eastAsia="cs-CZ" w:bidi="cs-CZ"/>
        </w:rPr>
        <w:t>ustanovení § 1746 odst. 2 a násl. zák. č. 89/2012 Sb., občanského zákoníku, ve znění pozdějších právních předpisů (ObčZ) a § 131 a násl. zákona č. 134/2016 Sb., o zadávání veřejných zakázek, ve znění pozdějších předpisů (dále jen „ZZVZ“)</w:t>
      </w:r>
      <w:r>
        <w:rPr>
          <w:color w:val="000000"/>
          <w:spacing w:val="0"/>
          <w:w w:val="100"/>
          <w:position w:val="0"/>
          <w:shd w:val="clear" w:color="auto" w:fill="auto"/>
          <w:lang w:val="cs-CZ" w:eastAsia="cs-CZ" w:bidi="cs-CZ"/>
        </w:rPr>
        <w:t>, tuto</w:t>
      </w:r>
    </w:p>
    <w:p>
      <w:pPr>
        <w:pStyle w:val="Style2"/>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hd w:val="clear" w:color="auto" w:fill="auto"/>
          <w:lang w:val="cs-CZ" w:eastAsia="cs-CZ" w:bidi="cs-CZ"/>
        </w:rPr>
        <w:t>DOHODU O DODÁVKÁCH ZBOŽÍ</w:t>
      </w:r>
    </w:p>
    <w:p>
      <w:pPr>
        <w:pStyle w:val="Style17"/>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Úvodní ustanovení</w:t>
      </w:r>
      <w:bookmarkEnd w:id="2"/>
      <w:bookmarkEnd w:id="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hd w:val="clear" w:color="auto" w:fill="auto"/>
          <w:lang w:val="cs-CZ" w:eastAsia="cs-CZ" w:bidi="cs-CZ"/>
        </w:rPr>
        <w:t xml:space="preserve">Rámcové dohody na dodávku kationaktivní asfaltové emulze v roce 2021 </w:t>
      </w:r>
      <w:r>
        <w:rPr>
          <w:color w:val="000000"/>
          <w:spacing w:val="0"/>
          <w:w w:val="100"/>
          <w:position w:val="0"/>
          <w:shd w:val="clear" w:color="auto" w:fill="auto"/>
          <w:lang w:val="cs-CZ" w:eastAsia="cs-CZ" w:bidi="cs-CZ"/>
        </w:rPr>
        <w:t>(dále zboží), a to s cílem vymezit základní a obecné podmínky jejich obchodního styku, včetně vymezení jejich základních práv a povinností vyplývajících z tohoto závazkového vztahu.</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w:t>
      </w:r>
    </w:p>
    <w:p>
      <w:pPr>
        <w:pStyle w:val="Style17"/>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dohody</w:t>
      </w:r>
      <w:bookmarkEnd w:id="4"/>
      <w:bookmarkEnd w:id="5"/>
    </w:p>
    <w:p>
      <w:pPr>
        <w:pStyle w:val="Style2"/>
        <w:keepNext w:val="0"/>
        <w:keepLines w:val="0"/>
        <w:widowControl w:val="0"/>
        <w:numPr>
          <w:ilvl w:val="0"/>
          <w:numId w:val="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hd w:val="clear" w:color="auto" w:fill="auto"/>
          <w:lang w:val="cs-CZ" w:eastAsia="cs-CZ" w:bidi="cs-CZ"/>
        </w:rPr>
        <w:t>kationaktivní asfaltovou emulzi, jak je uvedeno v následující tabulce:</w:t>
      </w:r>
    </w:p>
    <w:tbl>
      <w:tblPr>
        <w:tblOverlap w:val="never"/>
        <w:jc w:val="center"/>
        <w:tblLayout w:type="fixed"/>
      </w:tblPr>
      <w:tblGrid>
        <w:gridCol w:w="3269"/>
        <w:gridCol w:w="2621"/>
        <w:gridCol w:w="2630"/>
      </w:tblGrid>
      <w:tr>
        <w:trPr>
          <w:trHeight w:val="72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Použití</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Označení emulze podle ČSN EN 13808</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Obchodní označení prodávajícího</w:t>
            </w:r>
          </w:p>
        </w:tc>
      </w:tr>
      <w:tr>
        <w:trPr>
          <w:trHeight w:val="42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C60 B4</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60 B4 (PS)</w:t>
            </w:r>
          </w:p>
        </w:tc>
      </w:tr>
      <w:tr>
        <w:trPr>
          <w:trHeight w:val="42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C65 B3</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65 B3 (N)</w:t>
            </w:r>
          </w:p>
        </w:tc>
      </w:tr>
      <w:tr>
        <w:trPr>
          <w:trHeight w:val="432"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Výspravy tryskovou metodou</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C65 B3</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65 B3 (TN)</w:t>
            </w:r>
          </w:p>
        </w:tc>
      </w:tr>
    </w:tbl>
    <w:p>
      <w:pPr>
        <w:widowControl w:val="0"/>
        <w:spacing w:after="99" w:line="1" w:lineRule="exact"/>
      </w:pP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dále také emulze nebo zboží splňující technické podmínky uvedené v přílohách B1 a B2 Dohody.</w:t>
      </w:r>
    </w:p>
    <w:p>
      <w:pPr>
        <w:pStyle w:val="Style2"/>
        <w:keepNext w:val="0"/>
        <w:keepLines w:val="0"/>
        <w:widowControl w:val="0"/>
        <w:numPr>
          <w:ilvl w:val="0"/>
          <w:numId w:val="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u emulze určené pro nátěry a výspravy tryskovou metodou garantuje </w:t>
      </w:r>
      <w:r>
        <w:rPr>
          <w:b/>
          <w:bCs/>
          <w:color w:val="000000"/>
          <w:spacing w:val="0"/>
          <w:w w:val="100"/>
          <w:position w:val="0"/>
          <w:shd w:val="clear" w:color="auto" w:fill="auto"/>
          <w:lang w:val="cs-CZ" w:eastAsia="cs-CZ" w:bidi="cs-CZ"/>
        </w:rPr>
        <w:t xml:space="preserve">přilnavost emulze ke kamenivu </w:t>
      </w:r>
      <w:r>
        <w:rPr>
          <w:color w:val="000000"/>
          <w:spacing w:val="0"/>
          <w:w w:val="100"/>
          <w:position w:val="0"/>
          <w:shd w:val="clear" w:color="auto" w:fill="auto"/>
          <w:lang w:val="cs-CZ" w:eastAsia="cs-CZ" w:bidi="cs-CZ"/>
        </w:rPr>
        <w:t>z určeného kamenolomu, jak uvedl v nabídce na veřejnou zakázku, minimálně 90 %.</w:t>
      </w:r>
    </w:p>
    <w:p>
      <w:pPr>
        <w:pStyle w:val="Style2"/>
        <w:keepNext w:val="0"/>
        <w:keepLines w:val="0"/>
        <w:widowControl w:val="0"/>
        <w:numPr>
          <w:ilvl w:val="0"/>
          <w:numId w:val="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Prodávající u zboží garantuje </w:t>
      </w:r>
      <w:r>
        <w:rPr>
          <w:b/>
          <w:bCs/>
          <w:color w:val="000000"/>
          <w:spacing w:val="0"/>
          <w:w w:val="100"/>
          <w:position w:val="0"/>
          <w:shd w:val="clear" w:color="auto" w:fill="auto"/>
          <w:lang w:val="cs-CZ" w:eastAsia="cs-CZ" w:bidi="cs-CZ"/>
        </w:rPr>
        <w:t xml:space="preserve">skladovatelnost </w:t>
      </w:r>
      <w:r>
        <w:rPr>
          <w:color w:val="000000"/>
          <w:spacing w:val="0"/>
          <w:w w:val="100"/>
          <w:position w:val="0"/>
          <w:shd w:val="clear" w:color="auto" w:fill="auto"/>
          <w:lang w:val="cs-CZ" w:eastAsia="cs-CZ" w:bidi="cs-CZ"/>
        </w:rPr>
        <w:t>minimálně 6 týdnů.</w:t>
      </w:r>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1.4. </w:t>
      </w:r>
      <w:r>
        <w:rPr>
          <w:color w:val="000000"/>
          <w:spacing w:val="0"/>
          <w:w w:val="100"/>
          <w:position w:val="0"/>
          <w:shd w:val="clear" w:color="auto" w:fill="auto"/>
          <w:lang w:val="cs-CZ" w:eastAsia="cs-CZ" w:bidi="cs-CZ"/>
        </w:rPr>
        <w:t xml:space="preserve">Prodávající prohlašuje, že dodané zboží, </w:t>
      </w:r>
      <w:r>
        <w:rPr>
          <w:b/>
          <w:bCs/>
          <w:color w:val="000000"/>
          <w:spacing w:val="0"/>
          <w:w w:val="100"/>
          <w:position w:val="0"/>
          <w:shd w:val="clear" w:color="auto" w:fill="auto"/>
          <w:lang w:val="cs-CZ" w:eastAsia="cs-CZ" w:bidi="cs-CZ"/>
        </w:rPr>
        <w:t>odpovídá platným předpisům a technickým normám</w:t>
      </w:r>
      <w:r>
        <w:rPr>
          <w:color w:val="000000"/>
          <w:spacing w:val="0"/>
          <w:w w:val="100"/>
          <w:position w:val="0"/>
          <w:shd w:val="clear" w:color="auto" w:fill="auto"/>
          <w:lang w:val="cs-CZ" w:eastAsia="cs-CZ" w:bidi="cs-CZ"/>
        </w:rPr>
        <w:t>, zejména ČSN EN 13808, ČSN 73 6132 a atestu kvality, jak dokládá při první dodávce a na požádání zástupce kupujícího i při dalších dodávkách Bezpečnostním listem zboží v souladu s Nařízením Evropského parlamentu a Rady (ES) č. 1907/2006 a Prohlášením o vlastnostech nabízeného výrobku v souladu s Nařízením Evropského parlamentu a Rady (EU) č. 305/2011, ve znění pozdějších předpisů.</w:t>
      </w:r>
    </w:p>
    <w:p>
      <w:pPr>
        <w:pStyle w:val="Style2"/>
        <w:keepNext w:val="0"/>
        <w:keepLines w:val="0"/>
        <w:widowControl w:val="0"/>
        <w:numPr>
          <w:ilvl w:val="0"/>
          <w:numId w:val="3"/>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2"/>
        <w:keepNext w:val="0"/>
        <w:keepLines w:val="0"/>
        <w:widowControl w:val="0"/>
        <w:numPr>
          <w:ilvl w:val="0"/>
          <w:numId w:val="3"/>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si vyhrazuje právo použít i vlastní dopravu.</w:t>
      </w:r>
    </w:p>
    <w:p>
      <w:pPr>
        <w:pStyle w:val="Style2"/>
        <w:keepNext w:val="0"/>
        <w:keepLines w:val="0"/>
        <w:widowControl w:val="0"/>
        <w:numPr>
          <w:ilvl w:val="0"/>
          <w:numId w:val="3"/>
        </w:numPr>
        <w:shd w:val="clear" w:color="auto" w:fill="auto"/>
        <w:tabs>
          <w:tab w:pos="57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Předmětem této Dohody je též doprava zboží do místa plnění, není-li dále stanoveno jinak.</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17"/>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Dílčí kupní smlouvy</w:t>
      </w:r>
      <w:bookmarkEnd w:id="6"/>
      <w:bookmarkEnd w:id="7"/>
    </w:p>
    <w:p>
      <w:pPr>
        <w:pStyle w:val="Style2"/>
        <w:keepNext w:val="0"/>
        <w:keepLines w:val="0"/>
        <w:widowControl w:val="0"/>
        <w:numPr>
          <w:ilvl w:val="0"/>
          <w:numId w:val="5"/>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dohodly, že ve vztahu k uzavírání dílčích kupních smluv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bez zbytečného odkladu kupující.</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odešle e-mailem prodávajícímu předběžnou objednávku s předpokládaným množstvím odběru na následující kalendářní měsíc. Prodávající se zavazuje potvrdit měsíční objednávku do 3 pracovních dnů od doručení.</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požaduje realizaci dílčí dodávky zboží nejpozději do 18 hodin od odeslání e</w:t>
        <w:softHyphen/>
        <w:t>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Kupující si vyhrazuje právo změnit nebo zrušit objem dílčí dodávky zboží v závislosti na klimatických podmínkách.</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hd w:val="clear" w:color="auto" w:fill="auto"/>
          <w:lang w:val="cs-CZ" w:eastAsia="cs-CZ" w:bidi="cs-CZ"/>
        </w:rPr>
        <w:t xml:space="preserve">čl. 2.5. </w:t>
      </w:r>
      <w:r>
        <w:rPr>
          <w:color w:val="000000"/>
          <w:spacing w:val="0"/>
          <w:w w:val="100"/>
          <w:position w:val="0"/>
          <w:shd w:val="clear" w:color="auto" w:fill="auto"/>
          <w:lang w:val="cs-CZ" w:eastAsia="cs-CZ" w:bidi="cs-CZ"/>
        </w:rPr>
        <w:t>této Dohody. Návrh na uzavření objednávky bude realizován formou e</w:t>
        <w:softHyphen/>
        <w:t xml:space="preserve">mailové zprávy. Potvrzení objednávky učiní prodávající formou e-mailové zprávy. Kontaktní údaje pro odeslání objednávky kupujícím a potvrzení objednávky prodávajícím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 dodací lhůtu, místo plnění a zda si vyhrazuje vlastní dopravu, případně další nezbytné údaje.</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2"/>
        <w:keepNext w:val="0"/>
        <w:keepLines w:val="0"/>
        <w:widowControl w:val="0"/>
        <w:numPr>
          <w:ilvl w:val="0"/>
          <w:numId w:val="5"/>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Objednávky a jejich potvrzování ze strany prodávajícího jsou činěny pouze v pracovní dny; lhůty v tomto článku se počítají v pracovních dnech a v sobotu, neděli nebo ve svátek neběží.</w:t>
      </w:r>
    </w:p>
    <w:p>
      <w:pPr>
        <w:pStyle w:val="Style2"/>
        <w:keepNext w:val="0"/>
        <w:keepLines w:val="0"/>
        <w:widowControl w:val="0"/>
        <w:numPr>
          <w:ilvl w:val="0"/>
          <w:numId w:val="5"/>
        </w:numPr>
        <w:shd w:val="clear" w:color="auto" w:fill="auto"/>
        <w:tabs>
          <w:tab w:pos="630"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Jednotlivé dílčí smlouvy budou vždy minimálně na množství 3 tuny zboží, nebude-li konkrétně dohodnuto jinak.</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17"/>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w:t>
      </w:r>
      <w:bookmarkEnd w:id="8"/>
      <w:bookmarkEnd w:id="9"/>
    </w:p>
    <w:p>
      <w:pPr>
        <w:pStyle w:val="Style2"/>
        <w:keepNext w:val="0"/>
        <w:keepLines w:val="0"/>
        <w:widowControl w:val="0"/>
        <w:numPr>
          <w:ilvl w:val="0"/>
          <w:numId w:val="7"/>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Místem plnění je místo uvedené v objednávce nebo jednotlivá cestmistrovství kupujícího: Jihlavská 841/1, 591 01 Žďár nad Sázavou</w:t>
      </w:r>
    </w:p>
    <w:p>
      <w:pPr>
        <w:pStyle w:val="Style2"/>
        <w:keepNext w:val="0"/>
        <w:keepLines w:val="0"/>
        <w:widowControl w:val="0"/>
        <w:numPr>
          <w:ilvl w:val="0"/>
          <w:numId w:val="7"/>
        </w:numPr>
        <w:shd w:val="clear" w:color="auto" w:fill="auto"/>
        <w:tabs>
          <w:tab w:pos="569"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V případě využití podmínek dle </w:t>
      </w:r>
      <w:r>
        <w:rPr>
          <w:b/>
          <w:bCs/>
          <w:color w:val="000000"/>
          <w:spacing w:val="0"/>
          <w:w w:val="100"/>
          <w:position w:val="0"/>
          <w:shd w:val="clear" w:color="auto" w:fill="auto"/>
          <w:lang w:val="cs-CZ" w:eastAsia="cs-CZ" w:bidi="cs-CZ"/>
        </w:rPr>
        <w:t xml:space="preserve">čl. 1.4. </w:t>
      </w:r>
      <w:r>
        <w:rPr>
          <w:color w:val="000000"/>
          <w:spacing w:val="0"/>
          <w:w w:val="100"/>
          <w:position w:val="0"/>
          <w:shd w:val="clear" w:color="auto" w:fill="auto"/>
          <w:lang w:val="cs-CZ" w:eastAsia="cs-CZ" w:bidi="cs-CZ"/>
        </w:rPr>
        <w:t>je místem plnění místo expedice prodávajícího: Ostrov nad Oslavou 255, 594 45 Ostrov nad Oslavou</w:t>
      </w:r>
    </w:p>
    <w:p>
      <w:pPr>
        <w:pStyle w:val="Style2"/>
        <w:keepNext w:val="0"/>
        <w:keepLines w:val="0"/>
        <w:widowControl w:val="0"/>
        <w:numPr>
          <w:ilvl w:val="0"/>
          <w:numId w:val="7"/>
        </w:numPr>
        <w:shd w:val="clear" w:color="auto" w:fill="auto"/>
        <w:tabs>
          <w:tab w:pos="568"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Osoby pověřené jednat jménem kupujícího ve věcech zpracování dílčí objednávky a k určení osob k převzetí zboží, jakož i osoby pověřené jednat jménem prodávajícího ve věcech přijetí objednávky a k předání zboží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 Uvedené osoby jsou oprávněny za sebe určit své zástupce.</w:t>
      </w:r>
    </w:p>
    <w:p>
      <w:pPr>
        <w:pStyle w:val="Style2"/>
        <w:keepNext w:val="0"/>
        <w:keepLines w:val="0"/>
        <w:widowControl w:val="0"/>
        <w:numPr>
          <w:ilvl w:val="0"/>
          <w:numId w:val="7"/>
        </w:numPr>
        <w:shd w:val="clear" w:color="auto" w:fill="auto"/>
        <w:tabs>
          <w:tab w:pos="568"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Účastnící dohody se vzájemně dohodly, že změna uvedených osob oprávněných jednat ve věcech plnění bude oznamována jednostranným písemným sdělením a není potřeba na jejich změnu uzavřít dodatek k Dohodě.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17"/>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Kupní cena, platební podmínky</w:t>
      </w:r>
      <w:bookmarkEnd w:id="10"/>
      <w:bookmarkEnd w:id="11"/>
    </w:p>
    <w:p>
      <w:pPr>
        <w:pStyle w:val="Style2"/>
        <w:keepNext w:val="0"/>
        <w:keepLines w:val="0"/>
        <w:widowControl w:val="0"/>
        <w:numPr>
          <w:ilvl w:val="0"/>
          <w:numId w:val="9"/>
        </w:numPr>
        <w:shd w:val="clear" w:color="auto" w:fill="auto"/>
        <w:tabs>
          <w:tab w:pos="568" w:val="left"/>
        </w:tabs>
        <w:bidi w:val="0"/>
        <w:spacing w:before="0" w:line="240" w:lineRule="auto"/>
        <w:ind w:left="0" w:right="0" w:firstLine="0"/>
        <w:jc w:val="left"/>
      </w:pPr>
      <w:r>
        <w:rPr>
          <w:color w:val="000000"/>
          <w:spacing w:val="0"/>
          <w:w w:val="100"/>
          <w:position w:val="0"/>
          <w:shd w:val="clear" w:color="auto" w:fill="auto"/>
          <w:lang w:val="cs-CZ" w:eastAsia="cs-CZ" w:bidi="cs-CZ"/>
        </w:rPr>
        <w:t>Jednotková kupní cena zboží je sjednána následovně:</w:t>
      </w:r>
    </w:p>
    <w:tbl>
      <w:tblPr>
        <w:tblOverlap w:val="never"/>
        <w:jc w:val="center"/>
        <w:tblLayout w:type="fixed"/>
      </w:tblPr>
      <w:tblGrid>
        <w:gridCol w:w="2136"/>
        <w:gridCol w:w="1838"/>
        <w:gridCol w:w="1987"/>
        <w:gridCol w:w="1416"/>
        <w:gridCol w:w="1286"/>
      </w:tblGrid>
      <w:tr>
        <w:trPr>
          <w:trHeight w:val="720"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Použití</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Označení emulze podle ČSN EN 13808</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Obchodní označení prodávajícího</w:t>
            </w:r>
          </w:p>
        </w:tc>
        <w:tc>
          <w:tcPr>
            <w:gridSpan w:val="2"/>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Cena za 1 tunu v Kč bez DPH</w:t>
            </w:r>
          </w:p>
        </w:tc>
      </w:tr>
      <w:tr>
        <w:trPr>
          <w:trHeight w:val="71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bez dopravy</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včetně dopravy</w:t>
            </w:r>
          </w:p>
        </w:tc>
      </w:tr>
      <w:tr>
        <w:trPr>
          <w:trHeight w:val="100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Spojovací postřik</w:t>
            </w:r>
          </w:p>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(C 60 B3, C 60 B4)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C 60 B4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60 B4 (PS)</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6 800,00</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6 870,00</w:t>
            </w:r>
          </w:p>
        </w:tc>
      </w:tr>
      <w:tr>
        <w:trPr>
          <w:trHeight w:val="1205"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Nátěr</w:t>
            </w:r>
          </w:p>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(65 B3, C65 B4, C65</w:t>
            </w:r>
          </w:p>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B5)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65 B3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65 B3 (N)</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7 125,00</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7 195,00</w:t>
            </w:r>
          </w:p>
        </w:tc>
      </w:tr>
      <w:tr>
        <w:trPr>
          <w:trHeight w:val="1502"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Výspravy tryskovou metodou</w:t>
            </w:r>
          </w:p>
          <w:p>
            <w:pPr>
              <w:pStyle w:val="Style14"/>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(65 B3, C65 B4, C65 B5)</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C 65 B3</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 65 B3 (TM)</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7 125,00</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7 195,00</w:t>
            </w:r>
          </w:p>
        </w:tc>
      </w:tr>
    </w:tbl>
    <w:p>
      <w:pPr>
        <w:widowControl w:val="0"/>
        <w:spacing w:after="99" w:line="1" w:lineRule="exact"/>
      </w:pPr>
    </w:p>
    <w:p>
      <w:pPr>
        <w:pStyle w:val="Style2"/>
        <w:keepNext w:val="0"/>
        <w:keepLines w:val="0"/>
        <w:widowControl w:val="0"/>
        <w:numPr>
          <w:ilvl w:val="0"/>
          <w:numId w:val="9"/>
        </w:numPr>
        <w:shd w:val="clear" w:color="auto" w:fill="auto"/>
        <w:tabs>
          <w:tab w:pos="568" w:val="left"/>
        </w:tabs>
        <w:bidi w:val="0"/>
        <w:spacing w:before="0" w:line="240" w:lineRule="auto"/>
        <w:ind w:left="0" w:right="0" w:firstLine="0"/>
        <w:jc w:val="left"/>
      </w:pPr>
      <w:r>
        <w:rPr>
          <w:color w:val="000000"/>
          <w:spacing w:val="0"/>
          <w:w w:val="100"/>
          <w:position w:val="0"/>
          <w:shd w:val="clear" w:color="auto" w:fill="auto"/>
          <w:lang w:val="cs-CZ" w:eastAsia="cs-CZ" w:bidi="cs-CZ"/>
        </w:rPr>
        <w:t>Uvedené jednotkové ceny jsou konečné, nepřekročitelné pro daný předmět dohody.</w:t>
      </w:r>
    </w:p>
    <w:p>
      <w:pPr>
        <w:pStyle w:val="Style2"/>
        <w:keepNext w:val="0"/>
        <w:keepLines w:val="0"/>
        <w:widowControl w:val="0"/>
        <w:numPr>
          <w:ilvl w:val="0"/>
          <w:numId w:val="9"/>
        </w:numPr>
        <w:shd w:val="clear" w:color="auto" w:fill="auto"/>
        <w:tabs>
          <w:tab w:pos="568" w:val="left"/>
        </w:tabs>
        <w:bidi w:val="0"/>
        <w:spacing w:before="0" w:line="240" w:lineRule="auto"/>
        <w:ind w:left="600" w:right="0" w:hanging="600"/>
        <w:jc w:val="both"/>
      </w:pPr>
      <w:r>
        <w:rPr>
          <w:color w:val="000000"/>
          <w:spacing w:val="0"/>
          <w:w w:val="100"/>
          <w:position w:val="0"/>
          <w:shd w:val="clear" w:color="auto" w:fill="auto"/>
          <w:lang w:val="cs-CZ" w:eastAsia="cs-CZ" w:bidi="cs-CZ"/>
        </w:rPr>
        <w:t>Cena včetně dopravy zahrnuje veškeré náklady spojené s předmětem dohody, a dalších souvisejících nákladů.</w:t>
      </w:r>
    </w:p>
    <w:p>
      <w:pPr>
        <w:pStyle w:val="Style2"/>
        <w:keepNext w:val="0"/>
        <w:keepLines w:val="0"/>
        <w:widowControl w:val="0"/>
        <w:numPr>
          <w:ilvl w:val="0"/>
          <w:numId w:val="9"/>
        </w:numPr>
        <w:shd w:val="clear" w:color="auto" w:fill="auto"/>
        <w:tabs>
          <w:tab w:pos="568"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V případě využití podmínek dle </w:t>
      </w:r>
      <w:r>
        <w:rPr>
          <w:b/>
          <w:bCs/>
          <w:color w:val="000000"/>
          <w:spacing w:val="0"/>
          <w:w w:val="100"/>
          <w:position w:val="0"/>
          <w:shd w:val="clear" w:color="auto" w:fill="auto"/>
          <w:lang w:val="cs-CZ" w:eastAsia="cs-CZ" w:bidi="cs-CZ"/>
        </w:rPr>
        <w:t>čl. 1.6.</w:t>
      </w:r>
      <w:r>
        <w:rPr>
          <w:color w:val="000000"/>
          <w:spacing w:val="0"/>
          <w:w w:val="100"/>
          <w:position w:val="0"/>
          <w:shd w:val="clear" w:color="auto" w:fill="auto"/>
          <w:lang w:val="cs-CZ" w:eastAsia="cs-CZ" w:bidi="cs-CZ"/>
        </w:rPr>
        <w:t xml:space="preserve">, cena za plnění bez dopravy zahrnuje veškeré náklady spojené s předmětem dohody, a dalších souvisejících nákladů a </w:t>
      </w:r>
      <w:r>
        <w:rPr>
          <w:b/>
          <w:bCs/>
          <w:color w:val="000000"/>
          <w:spacing w:val="0"/>
          <w:w w:val="100"/>
          <w:position w:val="0"/>
          <w:shd w:val="clear" w:color="auto" w:fill="auto"/>
          <w:lang w:val="cs-CZ" w:eastAsia="cs-CZ" w:bidi="cs-CZ"/>
        </w:rPr>
        <w:t xml:space="preserve">čl. 4.3. </w:t>
      </w:r>
      <w:r>
        <w:rPr>
          <w:color w:val="000000"/>
          <w:spacing w:val="0"/>
          <w:w w:val="100"/>
          <w:position w:val="0"/>
          <w:shd w:val="clear" w:color="auto" w:fill="auto"/>
          <w:lang w:val="cs-CZ" w:eastAsia="cs-CZ" w:bidi="cs-CZ"/>
        </w:rPr>
        <w:t>se nepoužije.</w:t>
      </w:r>
    </w:p>
    <w:p>
      <w:pPr>
        <w:pStyle w:val="Style2"/>
        <w:keepNext w:val="0"/>
        <w:keepLines w:val="0"/>
        <w:widowControl w:val="0"/>
        <w:numPr>
          <w:ilvl w:val="0"/>
          <w:numId w:val="9"/>
        </w:numPr>
        <w:shd w:val="clear" w:color="auto" w:fill="auto"/>
        <w:tabs>
          <w:tab w:pos="568"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hd w:val="clear" w:color="auto" w:fill="auto"/>
          <w:lang w:val="cs-CZ" w:eastAsia="cs-CZ" w:bidi="cs-CZ"/>
        </w:rPr>
        <w:t xml:space="preserve">čl. 4.1.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2"/>
        <w:keepNext w:val="0"/>
        <w:keepLines w:val="0"/>
        <w:widowControl w:val="0"/>
        <w:numPr>
          <w:ilvl w:val="0"/>
          <w:numId w:val="9"/>
        </w:numPr>
        <w:shd w:val="clear" w:color="auto" w:fill="auto"/>
        <w:tabs>
          <w:tab w:pos="568" w:val="left"/>
        </w:tabs>
        <w:bidi w:val="0"/>
        <w:spacing w:before="0" w:line="240" w:lineRule="auto"/>
        <w:ind w:left="600" w:right="0" w:hanging="600"/>
        <w:jc w:val="both"/>
      </w:pPr>
      <w:r>
        <w:rPr>
          <w:color w:val="000000"/>
          <w:spacing w:val="0"/>
          <w:w w:val="100"/>
          <w:position w:val="0"/>
          <w:shd w:val="clear" w:color="auto" w:fill="auto"/>
          <w:lang w:val="cs-CZ" w:eastAsia="cs-CZ" w:bidi="cs-CZ"/>
        </w:rPr>
        <w:t>K sjednané ceně bez DPH bude účtována daň z přidané hodnoty v zákonné výši; prodávající odpovídá za to, že sazba daně z přidané hodnoty je stanovena k aktuálnímu datu v souladu s platnými právními předpisy.</w:t>
      </w:r>
    </w:p>
    <w:p>
      <w:pPr>
        <w:pStyle w:val="Style2"/>
        <w:keepNext w:val="0"/>
        <w:keepLines w:val="0"/>
        <w:widowControl w:val="0"/>
        <w:numPr>
          <w:ilvl w:val="0"/>
          <w:numId w:val="9"/>
        </w:numPr>
        <w:shd w:val="clear" w:color="auto" w:fill="auto"/>
        <w:tabs>
          <w:tab w:pos="568" w:val="left"/>
        </w:tabs>
        <w:bidi w:val="0"/>
        <w:spacing w:before="0" w:line="240" w:lineRule="auto"/>
        <w:ind w:left="0" w:right="0" w:firstLine="0"/>
        <w:jc w:val="left"/>
      </w:pPr>
      <w:r>
        <w:rPr>
          <w:color w:val="000000"/>
          <w:spacing w:val="0"/>
          <w:w w:val="100"/>
          <w:position w:val="0"/>
          <w:shd w:val="clear" w:color="auto" w:fill="auto"/>
          <w:lang w:val="cs-CZ" w:eastAsia="cs-CZ" w:bidi="cs-CZ"/>
        </w:rPr>
        <w:t>Kupní cena bude stanovena a fakturována v souladu s platnými právními předpisy.</w:t>
      </w:r>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4.8. </w:t>
      </w:r>
      <w:r>
        <w:rPr>
          <w:color w:val="000000"/>
          <w:spacing w:val="0"/>
          <w:w w:val="100"/>
          <w:position w:val="0"/>
          <w:shd w:val="clear" w:color="auto" w:fill="auto"/>
          <w:lang w:val="cs-CZ" w:eastAsia="cs-CZ" w:bidi="cs-CZ"/>
        </w:rPr>
        <w:t xml:space="preserve">Faktura musí mít náležitosti daňového dokladu v souladu s </w:t>
      </w:r>
      <w:r>
        <w:rPr>
          <w:b/>
          <w:bCs/>
          <w:color w:val="000000"/>
          <w:spacing w:val="0"/>
          <w:w w:val="100"/>
          <w:position w:val="0"/>
          <w:shd w:val="clear" w:color="auto" w:fill="auto"/>
          <w:lang w:val="cs-CZ" w:eastAsia="cs-CZ" w:bidi="cs-CZ"/>
        </w:rPr>
        <w:t>§ 28 zákona č. 235/2004 Sb., o dani z přidané hodnoty, ve znění pozdějších předpisů (dále zákon o DPH)</w:t>
      </w:r>
      <w:r>
        <w:rPr>
          <w:color w:val="000000"/>
          <w:spacing w:val="0"/>
          <w:w w:val="100"/>
          <w:position w:val="0"/>
          <w:shd w:val="clear" w:color="auto" w:fill="auto"/>
          <w:lang w:val="cs-CZ" w:eastAsia="cs-CZ" w:bidi="cs-CZ"/>
        </w:rPr>
        <w:t>. Fakturovaná částka je uhrazena dnem připsání dané částky na účet prodávajícího.</w:t>
      </w:r>
    </w:p>
    <w:p>
      <w:pPr>
        <w:pStyle w:val="Style2"/>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4.9. </w:t>
      </w:r>
      <w:r>
        <w:rPr>
          <w:color w:val="000000"/>
          <w:spacing w:val="0"/>
          <w:w w:val="100"/>
          <w:position w:val="0"/>
          <w:shd w:val="clear" w:color="auto" w:fill="auto"/>
          <w:lang w:val="cs-CZ" w:eastAsia="cs-CZ" w:bidi="cs-CZ"/>
        </w:rP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2"/>
        <w:keepNext w:val="0"/>
        <w:keepLines w:val="0"/>
        <w:widowControl w:val="0"/>
        <w:numPr>
          <w:ilvl w:val="0"/>
          <w:numId w:val="11"/>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17"/>
        <w:keepNext/>
        <w:keepLines/>
        <w:widowControl w:val="0"/>
        <w:numPr>
          <w:ilvl w:val="0"/>
          <w:numId w:val="11"/>
        </w:numPr>
        <w:shd w:val="clear" w:color="auto" w:fill="auto"/>
        <w:tabs>
          <w:tab w:pos="630" w:val="left"/>
        </w:tabs>
        <w:bidi w:val="0"/>
        <w:spacing w:before="0" w:line="240" w:lineRule="auto"/>
        <w:ind w:left="580" w:right="0" w:hanging="580"/>
        <w:jc w:val="both"/>
      </w:pPr>
      <w:bookmarkStart w:id="12" w:name="bookmark12"/>
      <w:bookmarkStart w:id="13" w:name="bookmark13"/>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FF"/>
          <w:spacing w:val="0"/>
          <w:w w:val="100"/>
          <w:position w:val="0"/>
          <w:u w:val="single"/>
          <w:shd w:val="clear" w:color="auto" w:fill="auto"/>
          <w:lang w:val="en-US" w:eastAsia="en-US" w:bidi="en-US"/>
        </w:rPr>
        <w:t>ksusv@ksusv.cz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bookmarkEnd w:id="12"/>
      <w:bookmarkEnd w:id="13"/>
    </w:p>
    <w:p>
      <w:pPr>
        <w:pStyle w:val="Style2"/>
        <w:keepNext w:val="0"/>
        <w:keepLines w:val="0"/>
        <w:widowControl w:val="0"/>
        <w:numPr>
          <w:ilvl w:val="0"/>
          <w:numId w:val="11"/>
        </w:numPr>
        <w:shd w:val="clear" w:color="auto" w:fill="auto"/>
        <w:tabs>
          <w:tab w:pos="615"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2"/>
        <w:keepNext w:val="0"/>
        <w:keepLines w:val="0"/>
        <w:widowControl w:val="0"/>
        <w:numPr>
          <w:ilvl w:val="0"/>
          <w:numId w:val="11"/>
        </w:numPr>
        <w:shd w:val="clear" w:color="auto" w:fill="auto"/>
        <w:tabs>
          <w:tab w:pos="615"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2"/>
        <w:keepNext w:val="0"/>
        <w:keepLines w:val="0"/>
        <w:widowControl w:val="0"/>
        <w:numPr>
          <w:ilvl w:val="0"/>
          <w:numId w:val="11"/>
        </w:numPr>
        <w:shd w:val="clear" w:color="auto" w:fill="auto"/>
        <w:tabs>
          <w:tab w:pos="61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61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17"/>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V.</w:t>
      </w:r>
      <w:bookmarkEnd w:id="14"/>
      <w:bookmarkEnd w:id="15"/>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Dodací podmínky</w:t>
      </w:r>
      <w:bookmarkEnd w:id="16"/>
      <w:bookmarkEnd w:id="17"/>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dohodly, že zboží bude dodáno prodávajícím kupujícímu, na místo plnění uvedené v dílčí objednávce v pracovní dny v době od 06:00 do 14:30 hodin, není-li v dílčí kupní smlouvě sjednáno jinak.</w:t>
      </w:r>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0,5 % </w:t>
      </w:r>
      <w:r>
        <w:rPr>
          <w:color w:val="000000"/>
          <w:spacing w:val="0"/>
          <w:w w:val="100"/>
          <w:position w:val="0"/>
          <w:shd w:val="clear" w:color="auto" w:fill="auto"/>
          <w:lang w:val="cs-CZ" w:eastAsia="cs-CZ" w:bidi="cs-CZ"/>
        </w:rPr>
        <w:t xml:space="preserve">z hodnoty kupní ceny daného zboží uvedeného na objednávce za každý den prodlení nedodaného zboží. Bude-li </w:t>
      </w:r>
      <w:r>
        <w:rPr>
          <w:color w:val="000000"/>
          <w:spacing w:val="0"/>
          <w:w w:val="100"/>
          <w:position w:val="0"/>
          <w:shd w:val="clear" w:color="auto" w:fill="auto"/>
          <w:lang w:val="cs-CZ" w:eastAsia="cs-CZ" w:bidi="cs-CZ"/>
        </w:rPr>
        <w:t>prodávající v prodlení s předáním objednaného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ObčZ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hd w:val="clear" w:color="auto" w:fill="auto"/>
          <w:lang w:val="cs-CZ" w:eastAsia="cs-CZ" w:bidi="cs-CZ"/>
        </w:rPr>
        <w:t xml:space="preserve">§ 2050 ObčZ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čl. 5. 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čl. 5. 2</w:t>
      </w:r>
      <w:r>
        <w:rPr>
          <w:color w:val="000000"/>
          <w:spacing w:val="0"/>
          <w:w w:val="100"/>
          <w:position w:val="0"/>
          <w:shd w:val="clear" w:color="auto" w:fill="auto"/>
          <w:lang w:val="cs-CZ" w:eastAsia="cs-CZ" w:bidi="cs-CZ"/>
        </w:rPr>
        <w:t>. této Dohody.</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2"/>
        <w:keepNext w:val="0"/>
        <w:keepLines w:val="0"/>
        <w:widowControl w:val="0"/>
        <w:numPr>
          <w:ilvl w:val="0"/>
          <w:numId w:val="13"/>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2"/>
        <w:keepNext w:val="0"/>
        <w:keepLines w:val="0"/>
        <w:widowControl w:val="0"/>
        <w:numPr>
          <w:ilvl w:val="0"/>
          <w:numId w:val="13"/>
        </w:numPr>
        <w:shd w:val="clear" w:color="auto" w:fill="auto"/>
        <w:tabs>
          <w:tab w:pos="615" w:val="left"/>
        </w:tabs>
        <w:bidi w:val="0"/>
        <w:spacing w:before="0" w:line="240" w:lineRule="auto"/>
        <w:ind w:left="580" w:right="0" w:hanging="580"/>
        <w:jc w:val="both"/>
      </w:pPr>
      <w:r>
        <w:rPr>
          <w:color w:val="000000"/>
          <w:spacing w:val="0"/>
          <w:w w:val="100"/>
          <w:position w:val="0"/>
          <w:shd w:val="clear" w:color="auto" w:fill="auto"/>
          <w:lang w:val="cs-CZ" w:eastAsia="cs-CZ" w:bidi="cs-CZ"/>
        </w:rPr>
        <w:t>Cisterny musí být vybaveny vážním zařízením, aby bylo možno přesně evidovat stočené množství emulze v jednotlivých odběrných místech.</w:t>
      </w:r>
    </w:p>
    <w:p>
      <w:pPr>
        <w:pStyle w:val="Style2"/>
        <w:keepNext w:val="0"/>
        <w:keepLines w:val="0"/>
        <w:widowControl w:val="0"/>
        <w:numPr>
          <w:ilvl w:val="0"/>
          <w:numId w:val="13"/>
        </w:numPr>
        <w:shd w:val="clear" w:color="auto" w:fill="auto"/>
        <w:tabs>
          <w:tab w:pos="61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při odevzdání </w:t>
      </w:r>
      <w:r>
        <w:rPr>
          <w:color w:val="000000"/>
          <w:spacing w:val="0"/>
          <w:w w:val="100"/>
          <w:position w:val="0"/>
          <w:sz w:val="22"/>
          <w:szCs w:val="22"/>
          <w:shd w:val="clear" w:color="auto" w:fill="auto"/>
          <w:lang w:val="cs-CZ" w:eastAsia="cs-CZ" w:bidi="cs-CZ"/>
        </w:rPr>
        <w:t xml:space="preserve">zboží </w:t>
      </w:r>
      <w:r>
        <w:rPr>
          <w:color w:val="000000"/>
          <w:spacing w:val="0"/>
          <w:w w:val="100"/>
          <w:position w:val="0"/>
          <w:shd w:val="clear" w:color="auto" w:fill="auto"/>
          <w:lang w:val="cs-CZ" w:eastAsia="cs-CZ" w:bidi="cs-CZ"/>
        </w:rPr>
        <w:t>předat kupujícímu dodací (vážní) list</w:t>
      </w:r>
      <w:r>
        <w:rPr>
          <w:color w:val="000000"/>
          <w:spacing w:val="0"/>
          <w:w w:val="100"/>
          <w:position w:val="0"/>
          <w:sz w:val="22"/>
          <w:szCs w:val="22"/>
          <w:shd w:val="clear" w:color="auto" w:fill="auto"/>
          <w:lang w:val="cs-CZ" w:eastAsia="cs-CZ" w:bidi="cs-CZ"/>
        </w:rPr>
        <w:t xml:space="preserve">, který </w:t>
      </w:r>
      <w:r>
        <w:rPr>
          <w:color w:val="000000"/>
          <w:spacing w:val="0"/>
          <w:w w:val="100"/>
          <w:position w:val="0"/>
          <w:shd w:val="clear" w:color="auto" w:fill="auto"/>
          <w:lang w:val="cs-CZ" w:eastAsia="cs-CZ" w:bidi="cs-CZ"/>
        </w:rPr>
        <w:t>bude obsahovat druh a množství předmětu koupě, název místa plnění kupujícího</w:t>
      </w:r>
      <w:r>
        <w:rPr>
          <w:rFonts w:ascii="Arial" w:eastAsia="Arial" w:hAnsi="Arial" w:cs="Arial"/>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3"/>
        </w:numPr>
        <w:shd w:val="clear" w:color="auto" w:fill="auto"/>
        <w:tabs>
          <w:tab w:pos="61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Prodávající se zavazuje, že zboží bude mít v době dodání vlastnosti v přílohách B1 a B2 a této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1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Odpovědnost za vady</w:t>
      </w:r>
      <w:bookmarkEnd w:id="18"/>
      <w:bookmarkEnd w:id="19"/>
    </w:p>
    <w:p>
      <w:pPr>
        <w:pStyle w:val="Style2"/>
        <w:keepNext w:val="0"/>
        <w:keepLines w:val="0"/>
        <w:widowControl w:val="0"/>
        <w:numPr>
          <w:ilvl w:val="0"/>
          <w:numId w:val="15"/>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color w:val="000000"/>
          <w:spacing w:val="0"/>
          <w:w w:val="100"/>
          <w:position w:val="0"/>
          <w:shd w:val="clear" w:color="auto" w:fill="auto"/>
          <w:lang w:val="cs-CZ" w:eastAsia="cs-CZ" w:bidi="cs-CZ"/>
        </w:rPr>
        <w:t>§ 2099 a násl. ObčZ</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2"/>
        <w:keepNext w:val="0"/>
        <w:keepLines w:val="0"/>
        <w:widowControl w:val="0"/>
        <w:numPr>
          <w:ilvl w:val="0"/>
          <w:numId w:val="1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5"/>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Zboží má vady, nemá-li vlastnosti uvedené v přílohách B1 a B2 této Dohody. Za vadu se považují i vady v dokladech dle odst. 1.4. této rámcové dohody.</w:t>
      </w:r>
    </w:p>
    <w:p>
      <w:pPr>
        <w:pStyle w:val="Style2"/>
        <w:keepNext w:val="0"/>
        <w:keepLines w:val="0"/>
        <w:widowControl w:val="0"/>
        <w:numPr>
          <w:ilvl w:val="0"/>
          <w:numId w:val="15"/>
        </w:numPr>
        <w:shd w:val="clear" w:color="auto" w:fill="auto"/>
        <w:tabs>
          <w:tab w:pos="562"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má právo si ověřit jakost dodaného předmětu koupě v nezávislé laboratoři. Vzorek musí být odebrán při dodání a musí být zabezpečen proti následné manipulaci.</w:t>
      </w:r>
    </w:p>
    <w:p>
      <w:pPr>
        <w:pStyle w:val="Style2"/>
        <w:keepNext w:val="0"/>
        <w:keepLines w:val="0"/>
        <w:widowControl w:val="0"/>
        <w:shd w:val="clear" w:color="auto" w:fill="auto"/>
        <w:bidi w:val="0"/>
        <w:spacing w:before="0" w:after="520" w:line="240" w:lineRule="auto"/>
        <w:ind w:left="580" w:right="0" w:firstLine="0"/>
        <w:jc w:val="both"/>
      </w:pPr>
      <w:r>
        <w:rPr>
          <w:color w:val="000000"/>
          <w:spacing w:val="0"/>
          <w:w w:val="100"/>
          <w:position w:val="0"/>
          <w:shd w:val="clear" w:color="auto" w:fill="auto"/>
          <w:lang w:val="cs-CZ" w:eastAsia="cs-CZ" w:bidi="cs-CZ"/>
        </w:rPr>
        <w:t>Pokud jakost předmětu koupě nebude v souladu s touto rámcovou dohodou, zavazuje se prodávající uhradit kupujícímu náklady spojené s ověřením jakosti předmětu koupě a smluvní pokutu ve výši 10.000,- Kč za každý takový případ. Současně vznikne nárok kupujícího z titulu odpovědnosti za vady předmětu koupě.</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Zánik rámcové kupní Dohody</w:t>
      </w:r>
      <w:bookmarkEnd w:id="20"/>
      <w:bookmarkEnd w:id="21"/>
    </w:p>
    <w:p>
      <w:pPr>
        <w:pStyle w:val="Style2"/>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2"/>
        <w:keepNext w:val="0"/>
        <w:keepLines w:val="0"/>
        <w:widowControl w:val="0"/>
        <w:numPr>
          <w:ilvl w:val="0"/>
          <w:numId w:val="19"/>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2"/>
        <w:keepNext w:val="0"/>
        <w:keepLines w:val="0"/>
        <w:widowControl w:val="0"/>
        <w:numPr>
          <w:ilvl w:val="0"/>
          <w:numId w:val="19"/>
        </w:numPr>
        <w:shd w:val="clear" w:color="auto" w:fill="auto"/>
        <w:tabs>
          <w:tab w:pos="912"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2"/>
        <w:keepNext w:val="0"/>
        <w:keepLines w:val="0"/>
        <w:widowControl w:val="0"/>
        <w:numPr>
          <w:ilvl w:val="0"/>
          <w:numId w:val="19"/>
        </w:numPr>
        <w:shd w:val="clear" w:color="auto" w:fill="auto"/>
        <w:tabs>
          <w:tab w:pos="883"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2"/>
        <w:keepNext w:val="0"/>
        <w:keepLines w:val="0"/>
        <w:widowControl w:val="0"/>
        <w:numPr>
          <w:ilvl w:val="0"/>
          <w:numId w:val="17"/>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2"/>
        <w:keepNext w:val="0"/>
        <w:keepLines w:val="0"/>
        <w:widowControl w:val="0"/>
        <w:numPr>
          <w:ilvl w:val="0"/>
          <w:numId w:val="21"/>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21"/>
        </w:numPr>
        <w:shd w:val="clear" w:color="auto" w:fill="auto"/>
        <w:tabs>
          <w:tab w:pos="912"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21"/>
        </w:numPr>
        <w:shd w:val="clear" w:color="auto" w:fill="auto"/>
        <w:tabs>
          <w:tab w:pos="883"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21"/>
        </w:numPr>
        <w:shd w:val="clear" w:color="auto" w:fill="auto"/>
        <w:tabs>
          <w:tab w:pos="912"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shd w:val="clear" w:color="auto" w:fill="auto"/>
        <w:bidi w:val="0"/>
        <w:spacing w:before="0" w:line="240" w:lineRule="auto"/>
        <w:ind w:left="860" w:right="0" w:hanging="280"/>
        <w:jc w:val="both"/>
      </w:pPr>
      <w:r>
        <w:rPr>
          <w:b/>
          <w:bCs/>
          <w:color w:val="000000"/>
          <w:spacing w:val="0"/>
          <w:w w:val="100"/>
          <w:position w:val="0"/>
          <w:shd w:val="clear" w:color="auto" w:fill="auto"/>
          <w:lang w:val="cs-CZ" w:eastAsia="cs-CZ" w:bidi="cs-CZ"/>
        </w:rPr>
        <w:t xml:space="preserve">e. </w:t>
      </w: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 xml:space="preserve">zákona č. 182/2006 Sb., o úpadku a způsobech jeho řešení, v platném znění, </w:t>
      </w:r>
      <w:r>
        <w:rPr>
          <w:color w:val="000000"/>
          <w:spacing w:val="0"/>
          <w:w w:val="100"/>
          <w:position w:val="0"/>
          <w:shd w:val="clear" w:color="auto" w:fill="auto"/>
          <w:lang w:val="cs-CZ" w:eastAsia="cs-CZ" w:bidi="cs-CZ"/>
        </w:rPr>
        <w:t>jehož předmětem bude úpadek nebo hrozící úpadek prodávajícího, prodávající je povinen tuto skutečnost oznámit neprodleně kupujícímu.</w:t>
      </w:r>
    </w:p>
    <w:p>
      <w:pPr>
        <w:pStyle w:val="Style2"/>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Dojde-li k zániku této Dohody, dohodly se oba účastnící dohody na tom, že kupující odebere veškeré jím objednané zboží, tzn. zboží, které bylo objednáno písemnou objednávkou doručenou prodávajícímu přede dnem zániku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VIII.</w:t>
      </w:r>
    </w:p>
    <w:p>
      <w:pPr>
        <w:pStyle w:val="Style1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Doba trvání závazkového vztahu</w:t>
      </w:r>
      <w:bookmarkEnd w:id="22"/>
      <w:bookmarkEnd w:id="23"/>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do 31. října 2021</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IX.</w:t>
      </w:r>
    </w:p>
    <w:p>
      <w:pPr>
        <w:pStyle w:val="Style17"/>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Doručování</w:t>
      </w:r>
      <w:bookmarkEnd w:id="24"/>
      <w:bookmarkEnd w:id="25"/>
    </w:p>
    <w:p>
      <w:pPr>
        <w:pStyle w:val="Style2"/>
        <w:keepNext w:val="0"/>
        <w:keepLines w:val="0"/>
        <w:widowControl w:val="0"/>
        <w:numPr>
          <w:ilvl w:val="0"/>
          <w:numId w:val="2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pPr>
        <w:pStyle w:val="Style2"/>
        <w:keepNext w:val="0"/>
        <w:keepLines w:val="0"/>
        <w:widowControl w:val="0"/>
        <w:numPr>
          <w:ilvl w:val="0"/>
          <w:numId w:val="2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2"/>
        <w:keepNext w:val="0"/>
        <w:keepLines w:val="0"/>
        <w:widowControl w:val="0"/>
        <w:numPr>
          <w:ilvl w:val="0"/>
          <w:numId w:val="23"/>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17"/>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Zvláštní ustanovení</w:t>
      </w:r>
      <w:bookmarkEnd w:id="26"/>
      <w:bookmarkEnd w:id="27"/>
    </w:p>
    <w:p>
      <w:pPr>
        <w:pStyle w:val="Style2"/>
        <w:keepNext w:val="0"/>
        <w:keepLines w:val="0"/>
        <w:widowControl w:val="0"/>
        <w:numPr>
          <w:ilvl w:val="0"/>
          <w:numId w:val="25"/>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2"/>
        <w:keepNext w:val="0"/>
        <w:keepLines w:val="0"/>
        <w:widowControl w:val="0"/>
        <w:numPr>
          <w:ilvl w:val="0"/>
          <w:numId w:val="25"/>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bude rozhodovat věcně a místně příslušný soud v České republice. Kupující si vyhrazuje právo využít nezávislou laboratoř VIAKONTROL, spol. s r.o. pro případ sporů o kvalitě emulze. Výsledky těchto rozborů budou pro obě strany závazné.</w:t>
      </w:r>
    </w:p>
    <w:p>
      <w:pPr>
        <w:pStyle w:val="Style2"/>
        <w:keepNext w:val="0"/>
        <w:keepLines w:val="0"/>
        <w:widowControl w:val="0"/>
        <w:numPr>
          <w:ilvl w:val="0"/>
          <w:numId w:val="25"/>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2"/>
        <w:keepNext w:val="0"/>
        <w:keepLines w:val="0"/>
        <w:widowControl w:val="0"/>
        <w:numPr>
          <w:ilvl w:val="0"/>
          <w:numId w:val="25"/>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2"/>
        <w:keepNext w:val="0"/>
        <w:keepLines w:val="0"/>
        <w:widowControl w:val="0"/>
        <w:numPr>
          <w:ilvl w:val="0"/>
          <w:numId w:val="25"/>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2"/>
        <w:keepNext w:val="0"/>
        <w:keepLines w:val="0"/>
        <w:widowControl w:val="0"/>
        <w:numPr>
          <w:ilvl w:val="0"/>
          <w:numId w:val="25"/>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5 mil. Kč</w:t>
      </w:r>
      <w:r>
        <w:rPr>
          <w:color w:val="000000"/>
          <w:spacing w:val="0"/>
          <w:w w:val="100"/>
          <w:position w:val="0"/>
          <w:shd w:val="clear" w:color="auto" w:fill="auto"/>
          <w:lang w:val="cs-CZ" w:eastAsia="cs-CZ" w:bidi="cs-CZ"/>
        </w:rPr>
        <w:t>. Za účelem prokázání splnění tohoto požadavku prodávající doložil kupujícímu před uzavřením smlouvy doklad osvědčující uzavření pojistné smlouvy v požadovaném rozsahu.</w:t>
      </w:r>
    </w:p>
    <w:p>
      <w:pPr>
        <w:pStyle w:val="Style2"/>
        <w:keepNext w:val="0"/>
        <w:keepLines w:val="0"/>
        <w:widowControl w:val="0"/>
        <w:numPr>
          <w:ilvl w:val="0"/>
          <w:numId w:val="25"/>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2"/>
        <w:keepNext w:val="0"/>
        <w:keepLines w:val="0"/>
        <w:widowControl w:val="0"/>
        <w:numPr>
          <w:ilvl w:val="0"/>
          <w:numId w:val="25"/>
        </w:numPr>
        <w:shd w:val="clear" w:color="auto" w:fill="auto"/>
        <w:tabs>
          <w:tab w:pos="63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7"/>
        <w:keepNext/>
        <w:keepLines/>
        <w:widowControl w:val="0"/>
        <w:numPr>
          <w:ilvl w:val="0"/>
          <w:numId w:val="27"/>
        </w:numPr>
        <w:shd w:val="clear" w:color="auto" w:fill="auto"/>
        <w:tabs>
          <w:tab w:pos="635" w:val="left"/>
        </w:tabs>
        <w:bidi w:val="0"/>
        <w:spacing w:before="0" w:after="180" w:line="276" w:lineRule="auto"/>
        <w:ind w:left="580" w:right="0" w:hanging="580"/>
        <w:jc w:val="both"/>
      </w:pPr>
      <w:bookmarkStart w:id="28" w:name="bookmark28"/>
      <w:bookmarkStart w:id="29" w:name="bookmark29"/>
      <w:r>
        <w:rPr>
          <w:color w:val="000000"/>
          <w:spacing w:val="0"/>
          <w:w w:val="100"/>
          <w:position w:val="0"/>
          <w:shd w:val="clear" w:color="auto" w:fill="auto"/>
          <w:lang w:val="cs-CZ" w:eastAsia="cs-CZ" w:bidi="cs-CZ"/>
        </w:rPr>
        <w:t>Dohoda se vyhotovuje v elektronické podobě, přičemž obě smluvní strany obdrží její elektronický originál.</w:t>
      </w:r>
      <w:bookmarkEnd w:id="28"/>
      <w:bookmarkEnd w:id="29"/>
    </w:p>
    <w:p>
      <w:pPr>
        <w:pStyle w:val="Style2"/>
        <w:keepNext w:val="0"/>
        <w:keepLines w:val="0"/>
        <w:widowControl w:val="0"/>
        <w:numPr>
          <w:ilvl w:val="0"/>
          <w:numId w:val="27"/>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2"/>
        <w:keepNext w:val="0"/>
        <w:keepLines w:val="0"/>
        <w:widowControl w:val="0"/>
        <w:numPr>
          <w:ilvl w:val="0"/>
          <w:numId w:val="27"/>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Dohoda je platná 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Dohody a jejích jednotlivých příloh, nejsou-li součástí jediného elektronického dokumentu (tj. do všech samostatných souborů tvořících v souhrnu Dohodu, a to oběma účastníky Dohody).</w:t>
      </w:r>
    </w:p>
    <w:p>
      <w:pPr>
        <w:pStyle w:val="Style2"/>
        <w:keepNext w:val="0"/>
        <w:keepLines w:val="0"/>
        <w:widowControl w:val="0"/>
        <w:numPr>
          <w:ilvl w:val="0"/>
          <w:numId w:val="27"/>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Tato Dohoda nabývá účinnosti dnem uveřejnění v informačním systému veřejné správy - Registru smluv.</w:t>
      </w:r>
    </w:p>
    <w:p>
      <w:pPr>
        <w:pStyle w:val="Style2"/>
        <w:keepNext w:val="0"/>
        <w:keepLines w:val="0"/>
        <w:widowControl w:val="0"/>
        <w:numPr>
          <w:ilvl w:val="0"/>
          <w:numId w:val="27"/>
        </w:numPr>
        <w:shd w:val="clear" w:color="auto" w:fill="auto"/>
        <w:tabs>
          <w:tab w:pos="63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Účastnící dohody se dohodly, že zákonnou povinnost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2"/>
        <w:keepNext w:val="0"/>
        <w:keepLines w:val="0"/>
        <w:widowControl w:val="0"/>
        <w:numPr>
          <w:ilvl w:val="0"/>
          <w:numId w:val="27"/>
        </w:numPr>
        <w:shd w:val="clear" w:color="auto" w:fill="auto"/>
        <w:tabs>
          <w:tab w:pos="63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Přílohy</w:t>
      </w:r>
    </w:p>
    <w:p>
      <w:pPr>
        <w:pStyle w:val="Style2"/>
        <w:keepNext w:val="0"/>
        <w:keepLines w:val="0"/>
        <w:widowControl w:val="0"/>
        <w:numPr>
          <w:ilvl w:val="0"/>
          <w:numId w:val="29"/>
        </w:numPr>
        <w:shd w:val="clear" w:color="auto" w:fill="auto"/>
        <w:tabs>
          <w:tab w:pos="1470" w:val="left"/>
        </w:tabs>
        <w:bidi w:val="0"/>
        <w:spacing w:before="0" w:line="240" w:lineRule="auto"/>
        <w:ind w:left="1460" w:right="0" w:hanging="360"/>
        <w:jc w:val="both"/>
      </w:pP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2"/>
        <w:keepNext w:val="0"/>
        <w:keepLines w:val="0"/>
        <w:widowControl w:val="0"/>
        <w:numPr>
          <w:ilvl w:val="0"/>
          <w:numId w:val="29"/>
        </w:numPr>
        <w:shd w:val="clear" w:color="auto" w:fill="auto"/>
        <w:tabs>
          <w:tab w:pos="1470" w:val="left"/>
        </w:tabs>
        <w:bidi w:val="0"/>
        <w:spacing w:before="0" w:line="240" w:lineRule="auto"/>
        <w:ind w:left="1100" w:right="0" w:firstLine="0"/>
        <w:jc w:val="both"/>
      </w:pPr>
      <w:r>
        <w:rPr>
          <w:color w:val="000000"/>
          <w:spacing w:val="0"/>
          <w:w w:val="100"/>
          <w:position w:val="0"/>
          <w:shd w:val="clear" w:color="auto" w:fill="auto"/>
          <w:lang w:val="cs-CZ" w:eastAsia="cs-CZ" w:bidi="cs-CZ"/>
        </w:rPr>
        <w:t>Příloha B1 - Předmět koupě Spojovací postřik</w:t>
      </w:r>
    </w:p>
    <w:p>
      <w:pPr>
        <w:pStyle w:val="Style2"/>
        <w:keepNext w:val="0"/>
        <w:keepLines w:val="0"/>
        <w:widowControl w:val="0"/>
        <w:numPr>
          <w:ilvl w:val="0"/>
          <w:numId w:val="29"/>
        </w:numPr>
        <w:shd w:val="clear" w:color="auto" w:fill="auto"/>
        <w:tabs>
          <w:tab w:pos="1470" w:val="left"/>
        </w:tabs>
        <w:bidi w:val="0"/>
        <w:spacing w:before="0" w:line="240" w:lineRule="auto"/>
        <w:ind w:left="1100" w:right="0" w:firstLine="0"/>
        <w:jc w:val="both"/>
      </w:pPr>
      <w:r>
        <w:rPr>
          <w:color w:val="000000"/>
          <w:spacing w:val="0"/>
          <w:w w:val="100"/>
          <w:position w:val="0"/>
          <w:shd w:val="clear" w:color="auto" w:fill="auto"/>
          <w:lang w:val="cs-CZ" w:eastAsia="cs-CZ" w:bidi="cs-CZ"/>
        </w:rPr>
        <w:t>Příloha B2 - Předmět koupě Nátěry a Výspravy tryskovou metodou</w:t>
      </w:r>
      <w:r>
        <w:br w:type="page"/>
      </w:r>
    </w:p>
    <w:p>
      <w:pPr>
        <w:pStyle w:val="Style2"/>
        <w:keepNext w:val="0"/>
        <w:keepLines w:val="0"/>
        <w:widowControl w:val="0"/>
        <w:shd w:val="clear" w:color="auto" w:fill="auto"/>
        <w:bidi w:val="0"/>
        <w:spacing w:before="0" w:after="1020" w:line="271" w:lineRule="auto"/>
        <w:ind w:left="0" w:right="0" w:firstLine="0"/>
        <w:jc w:val="both"/>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tabs>
          <w:tab w:leader="dot" w:pos="2373" w:val="left"/>
        </w:tabs>
        <w:bidi w:val="0"/>
        <w:spacing w:before="0" w:after="0" w:line="240" w:lineRule="auto"/>
        <w:ind w:left="0" w:right="0" w:firstLine="760"/>
        <w:jc w:val="left"/>
      </w:pPr>
      <w:r>
        <mc:AlternateContent>
          <mc:Choice Requires="wps">
            <w:drawing>
              <wp:anchor distT="0" distB="0" distL="114300" distR="114300" simplePos="0" relativeHeight="125829378" behindDoc="0" locked="0" layoutInCell="1" allowOverlap="1">
                <wp:simplePos x="0" y="0"/>
                <wp:positionH relativeFrom="page">
                  <wp:posOffset>4064000</wp:posOffset>
                </wp:positionH>
                <wp:positionV relativeFrom="paragraph">
                  <wp:posOffset>12700</wp:posOffset>
                </wp:positionV>
                <wp:extent cx="570230" cy="213360"/>
                <wp:wrapSquare wrapText="left"/>
                <wp:docPr id="1" name="Shape 1"/>
                <a:graphic xmlns:a="http://schemas.openxmlformats.org/drawingml/2006/main">
                  <a:graphicData uri="http://schemas.microsoft.com/office/word/2010/wordprocessingShape">
                    <wps:wsp>
                      <wps:cNvSpPr txBox="1"/>
                      <wps:spPr>
                        <a:xfrm>
                          <a:ext cx="57023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0.pt;margin-top:1.pt;width:44.899999999999999pt;height:16.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txbxContent>
                </v:textbox>
                <w10:wrap type="square" side="left" anchorx="page"/>
              </v:shape>
            </w:pict>
          </mc:Fallback>
        </mc:AlternateContent>
      </w:r>
      <w:r>
        <w:rPr>
          <w:color w:val="000000"/>
          <w:spacing w:val="0"/>
          <w:w w:val="100"/>
          <w:position w:val="0"/>
          <w:shd w:val="clear" w:color="auto" w:fill="auto"/>
          <w:lang w:val="cs-CZ" w:eastAsia="cs-CZ" w:bidi="cs-CZ"/>
        </w:rPr>
        <w:t>V</w:t>
        <w:tab/>
      </w:r>
    </w:p>
    <w:p>
      <w:pPr>
        <w:widowControl w:val="0"/>
        <w:spacing w:line="1" w:lineRule="exact"/>
        <w:sectPr>
          <w:headerReference w:type="default" r:id="rId5"/>
          <w:footerReference w:type="default" r:id="rId6"/>
          <w:footnotePr>
            <w:pos w:val="pageBottom"/>
            <w:numFmt w:val="decimal"/>
            <w:numRestart w:val="continuous"/>
          </w:footnotePr>
          <w:pgSz w:w="11900" w:h="16840"/>
          <w:pgMar w:top="1254" w:left="1319" w:right="1303" w:bottom="1028" w:header="0" w:footer="3" w:gutter="0"/>
          <w:pgNumType w:start="1"/>
          <w:cols w:space="720"/>
          <w:noEndnote/>
          <w:rtlGutter w:val="0"/>
          <w:docGrid w:linePitch="360"/>
        </w:sectPr>
      </w:pPr>
      <w:r>
        <mc:AlternateContent>
          <mc:Choice Requires="wps">
            <w:drawing>
              <wp:anchor distT="1422400" distB="0" distL="0" distR="0" simplePos="0" relativeHeight="125829380" behindDoc="0" locked="0" layoutInCell="1" allowOverlap="1">
                <wp:simplePos x="0" y="0"/>
                <wp:positionH relativeFrom="page">
                  <wp:posOffset>2012315</wp:posOffset>
                </wp:positionH>
                <wp:positionV relativeFrom="paragraph">
                  <wp:posOffset>1422400</wp:posOffset>
                </wp:positionV>
                <wp:extent cx="1280160" cy="213360"/>
                <wp:wrapTopAndBottom/>
                <wp:docPr id="9" name="Shape 9"/>
                <a:graphic xmlns:a="http://schemas.openxmlformats.org/drawingml/2006/main">
                  <a:graphicData uri="http://schemas.microsoft.com/office/word/2010/wordprocessingShape">
                    <wps:wsp>
                      <wps:cNvSpPr txBox="1"/>
                      <wps:spPr>
                        <a:xfrm>
                          <a:ext cx="1280160"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wrap="none" lIns="0" tIns="0" rIns="0" bIns="0">
                        <a:noAutoFit/>
                      </wps:bodyPr>
                    </wps:wsp>
                  </a:graphicData>
                </a:graphic>
              </wp:anchor>
            </w:drawing>
          </mc:Choice>
          <mc:Fallback>
            <w:pict>
              <v:shape id="_x0000_s1035" type="#_x0000_t202" style="position:absolute;margin-left:158.44999999999999pt;margin-top:112.pt;width:100.8pt;height:16.800000000000001pt;z-index:-125829373;mso-wrap-distance-left:0;mso-wrap-distance-top:11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r>
        <mc:AlternateContent>
          <mc:Choice Requires="wps">
            <w:drawing>
              <wp:anchor distT="1422400" distB="0" distL="0" distR="0" simplePos="0" relativeHeight="125829382" behindDoc="0" locked="0" layoutInCell="1" allowOverlap="1">
                <wp:simplePos x="0" y="0"/>
                <wp:positionH relativeFrom="page">
                  <wp:posOffset>4798060</wp:posOffset>
                </wp:positionH>
                <wp:positionV relativeFrom="paragraph">
                  <wp:posOffset>1422400</wp:posOffset>
                </wp:positionV>
                <wp:extent cx="1146175" cy="213360"/>
                <wp:wrapTopAndBottom/>
                <wp:docPr id="11" name="Shape 11"/>
                <a:graphic xmlns:a="http://schemas.openxmlformats.org/drawingml/2006/main">
                  <a:graphicData uri="http://schemas.microsoft.com/office/word/2010/wordprocessingShape">
                    <wps:wsp>
                      <wps:cNvSpPr txBox="1"/>
                      <wps:spPr>
                        <a:xfrm>
                          <a:ext cx="1146175" cy="213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wps:txbx>
                      <wps:bodyPr wrap="none" lIns="0" tIns="0" rIns="0" bIns="0">
                        <a:noAutoFit/>
                      </wps:bodyPr>
                    </wps:wsp>
                  </a:graphicData>
                </a:graphic>
              </wp:anchor>
            </w:drawing>
          </mc:Choice>
          <mc:Fallback>
            <w:pict>
              <v:shape id="_x0000_s1037" type="#_x0000_t202" style="position:absolute;margin-left:377.80000000000001pt;margin-top:112.pt;width:90.25pt;height:16.800000000000001pt;z-index:-125829371;mso-wrap-distance-left:0;mso-wrap-distance-top:11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txbxContent>
                </v:textbox>
                <w10:wrap type="topAndBottom" anchorx="page"/>
              </v:shape>
            </w:pict>
          </mc:Fallback>
        </mc:AlternateContent>
      </w:r>
    </w:p>
    <w:p>
      <w:pPr>
        <w:pStyle w:val="Style2"/>
        <w:keepNext w:val="0"/>
        <w:keepLines w:val="0"/>
        <w:widowControl w:val="0"/>
        <w:shd w:val="clear" w:color="auto" w:fill="auto"/>
        <w:bidi w:val="0"/>
        <w:spacing w:before="0" w:after="220" w:line="257"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 Dohody</w:t>
      </w:r>
    </w:p>
    <w:p>
      <w:pPr>
        <w:pStyle w:val="Style25"/>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Údaje, které jsou součástí ujednání a nebudou zveřejněny v Registru smluv:</w:t>
      </w:r>
      <w:bookmarkEnd w:id="30"/>
      <w:bookmarkEnd w:id="31"/>
    </w:p>
    <w:p>
      <w:pPr>
        <w:pStyle w:val="Style17"/>
        <w:keepNext/>
        <w:keepLines/>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Krajská správa a údržba silnic Vysočiny, příspěvková organizace</w:t>
      </w:r>
      <w:bookmarkEnd w:id="32"/>
      <w:bookmarkEnd w:id="33"/>
    </w:p>
    <w:p>
      <w:pPr>
        <w:pStyle w:val="Style2"/>
        <w:keepNext w:val="0"/>
        <w:keepLines w:val="0"/>
        <w:widowControl w:val="0"/>
        <w:shd w:val="clear" w:color="auto" w:fill="auto"/>
        <w:tabs>
          <w:tab w:pos="213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00090450</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760" w:line="240" w:lineRule="auto"/>
        <w:ind w:left="0" w:right="0" w:firstLine="0"/>
        <w:jc w:val="left"/>
      </w:pPr>
      <w:r>
        <w:rPr>
          <w:color w:val="000000"/>
          <w:spacing w:val="0"/>
          <w:w w:val="100"/>
          <w:position w:val="0"/>
          <w:shd w:val="clear" w:color="auto" w:fill="auto"/>
          <w:lang w:val="cs-CZ" w:eastAsia="cs-CZ" w:bidi="cs-CZ"/>
        </w:rPr>
        <w:t xml:space="preserve">Osobou pověřenou jednat jménem kupujícího ve věcech zpracování objednávky a k převzetí zboží je za cestmistrovství Žďár nad Sázavou: </w:t>
      </w:r>
      <w:r>
        <w:rPr>
          <w:color w:val="000000"/>
          <w:spacing w:val="0"/>
          <w:w w:val="100"/>
          <w:position w:val="0"/>
          <w:shd w:val="clear" w:color="auto" w:fill="auto"/>
          <w:lang w:val="cs-CZ" w:eastAsia="cs-CZ" w:bidi="cs-CZ"/>
        </w:rPr>
        <w:t xml:space="preserve">za cestmistrovství Bystřice nad Pernštejnem: </w:t>
      </w:r>
      <w:r>
        <w:rPr>
          <w:color w:val="000000"/>
          <w:spacing w:val="0"/>
          <w:w w:val="100"/>
          <w:position w:val="0"/>
          <w:shd w:val="clear" w:color="auto" w:fill="auto"/>
          <w:lang w:val="cs-CZ" w:eastAsia="cs-CZ" w:bidi="cs-CZ"/>
        </w:rPr>
        <w:t>za cestmistrovství Velké Meziříčí:</w:t>
      </w:r>
    </w:p>
    <w:p>
      <w:pPr>
        <w:pStyle w:val="Style2"/>
        <w:keepNext w:val="0"/>
        <w:keepLines w:val="0"/>
        <w:widowControl w:val="0"/>
        <w:pBdr>
          <w:bottom w:val="single" w:sz="4" w:space="0" w:color="auto"/>
        </w:pBdr>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Uvedené osoby pověřené jednat jménem kupujícího jsou oprávněni k jednání za sebe pověřit zástupce.</w:t>
      </w:r>
    </w:p>
    <w:p>
      <w:pPr>
        <w:pStyle w:val="Style2"/>
        <w:keepNext w:val="0"/>
        <w:keepLines w:val="0"/>
        <w:widowControl w:val="0"/>
        <w:shd w:val="clear" w:color="auto" w:fill="auto"/>
        <w:tabs>
          <w:tab w:pos="2133" w:val="left"/>
        </w:tabs>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tab/>
        <w:t>SILNICE ČÁSLAV, s.r.o.</w:t>
      </w:r>
    </w:p>
    <w:p>
      <w:pPr>
        <w:pStyle w:val="Style2"/>
        <w:keepNext w:val="0"/>
        <w:keepLines w:val="0"/>
        <w:widowControl w:val="0"/>
        <w:shd w:val="clear" w:color="auto" w:fill="auto"/>
        <w:tabs>
          <w:tab w:pos="213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28447085</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680" w:line="240" w:lineRule="auto"/>
        <w:ind w:left="0" w:right="0" w:firstLine="0"/>
        <w:jc w:val="left"/>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w:t>
      </w:r>
      <w:r>
        <w:rPr>
          <w:i/>
          <w:iCs/>
          <w:color w:val="000000"/>
          <w:spacing w:val="0"/>
          <w:w w:val="100"/>
          <w:position w:val="0"/>
          <w:shd w:val="clear" w:color="auto" w:fill="auto"/>
          <w:lang w:val="cs-CZ" w:eastAsia="cs-CZ" w:bidi="cs-CZ"/>
        </w:rPr>
        <w:t>doplní účastník před podpisem dohody</w:t>
      </w:r>
    </w:p>
    <w:p>
      <w:pPr>
        <w:pStyle w:val="Style2"/>
        <w:keepNext w:val="0"/>
        <w:keepLines w:val="0"/>
        <w:widowControl w:val="0"/>
        <w:shd w:val="clear" w:color="auto" w:fill="auto"/>
        <w:bidi w:val="0"/>
        <w:spacing w:before="0" w:after="440" w:line="271"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p>
      <w:pPr>
        <w:pStyle w:val="Style2"/>
        <w:keepNext w:val="0"/>
        <w:keepLines w:val="0"/>
        <w:widowControl w:val="0"/>
        <w:shd w:val="clear" w:color="auto" w:fill="auto"/>
        <w:bidi w:val="0"/>
        <w:spacing w:before="0" w:after="380" w:line="295" w:lineRule="auto"/>
        <w:ind w:left="0" w:right="480" w:firstLine="0"/>
        <w:jc w:val="right"/>
        <w:rPr>
          <w:sz w:val="22"/>
          <w:szCs w:val="22"/>
        </w:rPr>
      </w:pPr>
      <w:r>
        <w:rPr>
          <w:color w:val="000000"/>
          <w:spacing w:val="0"/>
          <w:w w:val="100"/>
          <w:position w:val="0"/>
          <w:sz w:val="22"/>
          <w:szCs w:val="22"/>
          <w:shd w:val="clear" w:color="auto" w:fill="auto"/>
          <w:lang w:val="cs-CZ" w:eastAsia="cs-CZ" w:bidi="cs-CZ"/>
        </w:rPr>
        <w:t>Příloha B1 Dohody</w:t>
      </w:r>
    </w:p>
    <w:p>
      <w:pPr>
        <w:pStyle w:val="Style2"/>
        <w:keepNext w:val="0"/>
        <w:keepLines w:val="0"/>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Předmět koupě spojovací postřik C 60 B3, C 60 B4</w:t>
      </w:r>
    </w:p>
    <w:p>
      <w:pPr>
        <w:pStyle w:val="Style2"/>
        <w:keepNext w:val="0"/>
        <w:keepLines w:val="0"/>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bude splňovat následující podmínky</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both"/>
      </w:pPr>
      <w:r>
        <w:rPr>
          <w:color w:val="000000"/>
          <w:spacing w:val="0"/>
          <w:w w:val="100"/>
          <w:position w:val="0"/>
          <w:shd w:val="clear" w:color="auto" w:fill="auto"/>
          <w:lang w:val="cs-CZ" w:eastAsia="cs-CZ" w:bidi="cs-CZ"/>
        </w:rPr>
        <w:t>použitelnost na postřik spojovací;</w:t>
      </w:r>
    </w:p>
    <w:p>
      <w:pPr>
        <w:pStyle w:val="Style2"/>
        <w:keepNext w:val="0"/>
        <w:keepLines w:val="0"/>
        <w:widowControl w:val="0"/>
        <w:numPr>
          <w:ilvl w:val="0"/>
          <w:numId w:val="31"/>
        </w:numPr>
        <w:shd w:val="clear" w:color="auto" w:fill="auto"/>
        <w:tabs>
          <w:tab w:pos="782" w:val="left"/>
        </w:tabs>
        <w:bidi w:val="0"/>
        <w:spacing w:before="0" w:after="120" w:line="271" w:lineRule="auto"/>
        <w:ind w:left="740" w:right="0" w:hanging="360"/>
        <w:jc w:val="both"/>
      </w:pPr>
      <w:r>
        <w:rPr>
          <w:color w:val="000000"/>
          <w:spacing w:val="0"/>
          <w:w w:val="100"/>
          <w:position w:val="0"/>
          <w:shd w:val="clear" w:color="auto" w:fill="auto"/>
          <w:lang w:val="cs-CZ" w:eastAsia="cs-CZ" w:bidi="cs-CZ"/>
        </w:rPr>
        <w:t>musí splňovat požadavky platných TP, TKP a ČSN, zejm. ČSN EN 13808:2013 a ČSN 73 6132 a zkoušku PAV dle ČSN EN 14769, není-li v této rámcové dohodě dále stanoveno jinak;</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left"/>
      </w:pPr>
      <w:r>
        <w:rPr>
          <w:color w:val="000000"/>
          <w:spacing w:val="0"/>
          <w:w w:val="100"/>
          <w:position w:val="0"/>
          <w:shd w:val="clear" w:color="auto" w:fill="auto"/>
          <w:lang w:val="cs-CZ" w:eastAsia="cs-CZ" w:bidi="cs-CZ"/>
        </w:rPr>
        <w:t>minimální obsah asfaltu 60 %;</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left"/>
      </w:pPr>
      <w:r>
        <w:rPr>
          <w:color w:val="000000"/>
          <w:spacing w:val="0"/>
          <w:w w:val="100"/>
          <w:position w:val="0"/>
          <w:shd w:val="clear" w:color="auto" w:fill="auto"/>
          <w:lang w:val="cs-CZ" w:eastAsia="cs-CZ" w:bidi="cs-CZ"/>
        </w:rPr>
        <w:t>štěpitelnost 70 - 195 (třída 3 a 4 dle ČSN EN 13808:2013);</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left"/>
      </w:pPr>
      <w:r>
        <w:rPr>
          <w:color w:val="000000"/>
          <w:spacing w:val="0"/>
          <w:w w:val="100"/>
          <w:position w:val="0"/>
          <w:shd w:val="clear" w:color="auto" w:fill="auto"/>
          <w:lang w:val="cs-CZ" w:eastAsia="cs-CZ" w:bidi="cs-CZ"/>
        </w:rPr>
        <w:t>skladovatelnost min. 6 týdnů;</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left"/>
      </w:pPr>
      <w:r>
        <w:rPr>
          <w:color w:val="000000"/>
          <w:spacing w:val="0"/>
          <w:w w:val="100"/>
          <w:position w:val="0"/>
          <w:shd w:val="clear" w:color="auto" w:fill="auto"/>
          <w:lang w:val="cs-CZ" w:eastAsia="cs-CZ" w:bidi="cs-CZ"/>
        </w:rPr>
        <w:t>dodávka emulze na místo určení ohřáté na 60°C;</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both"/>
      </w:pPr>
      <w:r>
        <w:rPr>
          <w:color w:val="000000"/>
          <w:spacing w:val="0"/>
          <w:w w:val="100"/>
          <w:position w:val="0"/>
          <w:shd w:val="clear" w:color="auto" w:fill="auto"/>
          <w:lang w:val="cs-CZ" w:eastAsia="cs-CZ" w:bidi="cs-CZ"/>
        </w:rPr>
        <w:t>zkouška PAV dle ČSN EN 14769:</w:t>
      </w:r>
    </w:p>
    <w:p>
      <w:pPr>
        <w:pStyle w:val="Style2"/>
        <w:keepNext w:val="0"/>
        <w:keepLines w:val="0"/>
        <w:widowControl w:val="0"/>
        <w:numPr>
          <w:ilvl w:val="0"/>
          <w:numId w:val="33"/>
        </w:numPr>
        <w:shd w:val="clear" w:color="auto" w:fill="auto"/>
        <w:tabs>
          <w:tab w:pos="998" w:val="left"/>
        </w:tabs>
        <w:bidi w:val="0"/>
        <w:spacing w:before="0" w:after="60" w:line="271" w:lineRule="auto"/>
        <w:ind w:left="0" w:right="0" w:firstLine="740"/>
        <w:jc w:val="both"/>
      </w:pPr>
      <w:r>
        <w:rPr>
          <w:color w:val="000000"/>
          <w:spacing w:val="0"/>
          <w:w w:val="100"/>
          <w:position w:val="0"/>
          <w:shd w:val="clear" w:color="auto" w:fill="auto"/>
          <w:lang w:val="cs-CZ" w:eastAsia="cs-CZ" w:bidi="cs-CZ"/>
        </w:rPr>
        <w:t>penetrace při 25°C &lt; 100 (třída 3 dle ČSN EN 13808:2013),</w:t>
      </w:r>
    </w:p>
    <w:p>
      <w:pPr>
        <w:pStyle w:val="Style2"/>
        <w:keepNext w:val="0"/>
        <w:keepLines w:val="0"/>
        <w:widowControl w:val="0"/>
        <w:numPr>
          <w:ilvl w:val="0"/>
          <w:numId w:val="33"/>
        </w:numPr>
        <w:shd w:val="clear" w:color="auto" w:fill="auto"/>
        <w:tabs>
          <w:tab w:pos="998" w:val="left"/>
        </w:tabs>
        <w:bidi w:val="0"/>
        <w:spacing w:before="0" w:after="60" w:line="271" w:lineRule="auto"/>
        <w:ind w:left="0" w:right="0" w:firstLine="740"/>
        <w:jc w:val="both"/>
      </w:pPr>
      <w:r>
        <w:rPr>
          <w:color w:val="000000"/>
          <w:spacing w:val="0"/>
          <w:w w:val="100"/>
          <w:position w:val="0"/>
          <w:shd w:val="clear" w:color="auto" w:fill="auto"/>
          <w:lang w:val="cs-CZ" w:eastAsia="cs-CZ" w:bidi="cs-CZ"/>
        </w:rPr>
        <w:t>bod měknutí &gt; 55 (třída 3 dle ČSN EN 13808:2013),</w:t>
      </w:r>
    </w:p>
    <w:p>
      <w:pPr>
        <w:pStyle w:val="Style2"/>
        <w:keepNext w:val="0"/>
        <w:keepLines w:val="0"/>
        <w:widowControl w:val="0"/>
        <w:numPr>
          <w:ilvl w:val="0"/>
          <w:numId w:val="31"/>
        </w:numPr>
        <w:shd w:val="clear" w:color="auto" w:fill="auto"/>
        <w:tabs>
          <w:tab w:pos="771" w:val="left"/>
        </w:tabs>
        <w:bidi w:val="0"/>
        <w:spacing w:before="0" w:after="120" w:line="271" w:lineRule="auto"/>
        <w:ind w:left="0" w:right="0" w:firstLine="380"/>
        <w:jc w:val="both"/>
        <w:sectPr>
          <w:footnotePr>
            <w:pos w:val="pageBottom"/>
            <w:numFmt w:val="decimal"/>
            <w:numRestart w:val="continuous"/>
          </w:footnotePr>
          <w:pgSz w:w="11900" w:h="16840"/>
          <w:pgMar w:top="1258" w:left="1338" w:right="1264" w:bottom="1623" w:header="0" w:footer="3" w:gutter="0"/>
          <w:cols w:space="720"/>
          <w:noEndnote/>
          <w:rtlGutter w:val="0"/>
          <w:docGrid w:linePitch="360"/>
        </w:sectPr>
      </w:pPr>
      <w:r>
        <w:rPr>
          <w:color w:val="000000"/>
          <w:spacing w:val="0"/>
          <w:w w:val="100"/>
          <w:position w:val="0"/>
          <w:shd w:val="clear" w:color="auto" w:fill="auto"/>
          <w:lang w:val="cs-CZ" w:eastAsia="cs-CZ" w:bidi="cs-CZ"/>
        </w:rPr>
        <w:t>doba výtoku 2 mm při 40°C 15 - 70 (třída 3 dle ČSN EN 13808:2013).</w:t>
      </w:r>
    </w:p>
    <w:p>
      <w:pPr>
        <w:pStyle w:val="Style2"/>
        <w:keepNext w:val="0"/>
        <w:keepLines w:val="0"/>
        <w:widowControl w:val="0"/>
        <w:shd w:val="clear" w:color="auto" w:fill="auto"/>
        <w:bidi w:val="0"/>
        <w:spacing w:before="0" w:after="520" w:line="295" w:lineRule="auto"/>
        <w:ind w:left="0" w:right="240" w:firstLine="0"/>
        <w:jc w:val="right"/>
        <w:rPr>
          <w:sz w:val="22"/>
          <w:szCs w:val="22"/>
        </w:rPr>
      </w:pPr>
      <w:r>
        <w:rPr>
          <w:color w:val="000000"/>
          <w:spacing w:val="0"/>
          <w:w w:val="100"/>
          <w:position w:val="0"/>
          <w:sz w:val="22"/>
          <w:szCs w:val="22"/>
          <w:shd w:val="clear" w:color="auto" w:fill="auto"/>
          <w:lang w:val="cs-CZ" w:eastAsia="cs-CZ" w:bidi="cs-CZ"/>
        </w:rPr>
        <w:t>Příloha B2 Dohody</w:t>
      </w:r>
    </w:p>
    <w:p>
      <w:pPr>
        <w:pStyle w:val="Style2"/>
        <w:keepNext w:val="0"/>
        <w:keepLines w:val="0"/>
        <w:widowControl w:val="0"/>
        <w:shd w:val="clear" w:color="auto" w:fill="auto"/>
        <w:bidi w:val="0"/>
        <w:spacing w:before="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Předmět koupě emulze pro nátěry C65 B3, C65 B4 a na výspravy tryskovou metodou C65 B3, C65 B4, C65 B5</w:t>
      </w:r>
    </w:p>
    <w:p>
      <w:pPr>
        <w:pStyle w:val="Style2"/>
        <w:keepNext w:val="0"/>
        <w:keepLines w:val="0"/>
        <w:widowControl w:val="0"/>
        <w:shd w:val="clear" w:color="auto" w:fill="auto"/>
        <w:bidi w:val="0"/>
        <w:spacing w:before="0" w:line="271" w:lineRule="auto"/>
        <w:ind w:left="0" w:right="0" w:firstLine="0"/>
        <w:jc w:val="left"/>
      </w:pPr>
      <w:r>
        <w:rPr>
          <w:color w:val="000000"/>
          <w:spacing w:val="0"/>
          <w:w w:val="100"/>
          <w:position w:val="0"/>
          <w:shd w:val="clear" w:color="auto" w:fill="auto"/>
          <w:lang w:val="cs-CZ" w:eastAsia="cs-CZ" w:bidi="cs-CZ"/>
        </w:rPr>
        <w:t>bude splňovat následující podmínky:</w:t>
      </w:r>
    </w:p>
    <w:p>
      <w:pPr>
        <w:pStyle w:val="Style2"/>
        <w:keepNext w:val="0"/>
        <w:keepLines w:val="0"/>
        <w:widowControl w:val="0"/>
        <w:numPr>
          <w:ilvl w:val="0"/>
          <w:numId w:val="35"/>
        </w:numPr>
        <w:shd w:val="clear" w:color="auto" w:fill="auto"/>
        <w:tabs>
          <w:tab w:pos="759" w:val="left"/>
        </w:tabs>
        <w:bidi w:val="0"/>
        <w:spacing w:before="0" w:line="271" w:lineRule="auto"/>
        <w:ind w:left="0" w:right="0" w:firstLine="300"/>
        <w:jc w:val="left"/>
      </w:pPr>
      <w:r>
        <w:rPr>
          <w:color w:val="000000"/>
          <w:spacing w:val="0"/>
          <w:w w:val="100"/>
          <w:position w:val="0"/>
          <w:shd w:val="clear" w:color="auto" w:fill="auto"/>
          <w:lang w:val="cs-CZ" w:eastAsia="cs-CZ" w:bidi="cs-CZ"/>
        </w:rPr>
        <w:t>použitelnost na výspravy tryskovou metodou a nátěry vozovek;</w:t>
      </w:r>
    </w:p>
    <w:p>
      <w:pPr>
        <w:pStyle w:val="Style2"/>
        <w:keepNext w:val="0"/>
        <w:keepLines w:val="0"/>
        <w:widowControl w:val="0"/>
        <w:numPr>
          <w:ilvl w:val="0"/>
          <w:numId w:val="35"/>
        </w:numPr>
        <w:shd w:val="clear" w:color="auto" w:fill="auto"/>
        <w:tabs>
          <w:tab w:pos="782" w:val="left"/>
        </w:tabs>
        <w:bidi w:val="0"/>
        <w:spacing w:before="0" w:line="271" w:lineRule="auto"/>
        <w:ind w:left="0" w:right="0" w:firstLine="380"/>
        <w:jc w:val="left"/>
      </w:pPr>
      <w:r>
        <w:rPr>
          <w:color w:val="000000"/>
          <w:spacing w:val="0"/>
          <w:w w:val="100"/>
          <w:position w:val="0"/>
          <w:shd w:val="clear" w:color="auto" w:fill="auto"/>
          <w:lang w:val="cs-CZ" w:eastAsia="cs-CZ" w:bidi="cs-CZ"/>
        </w:rPr>
        <w:t>pro obě technologie dodání jen jednoho druhu emulze;</w:t>
      </w:r>
    </w:p>
    <w:p>
      <w:pPr>
        <w:pStyle w:val="Style2"/>
        <w:keepNext w:val="0"/>
        <w:keepLines w:val="0"/>
        <w:widowControl w:val="0"/>
        <w:numPr>
          <w:ilvl w:val="0"/>
          <w:numId w:val="35"/>
        </w:numPr>
        <w:shd w:val="clear" w:color="auto" w:fill="auto"/>
        <w:tabs>
          <w:tab w:pos="759" w:val="left"/>
        </w:tabs>
        <w:bidi w:val="0"/>
        <w:spacing w:before="0" w:line="271" w:lineRule="auto"/>
        <w:ind w:left="740" w:right="0" w:hanging="360"/>
        <w:jc w:val="both"/>
      </w:pPr>
      <w:r>
        <w:rPr>
          <w:color w:val="000000"/>
          <w:spacing w:val="0"/>
          <w:w w:val="100"/>
          <w:position w:val="0"/>
          <w:shd w:val="clear" w:color="auto" w:fill="auto"/>
          <w:lang w:val="cs-CZ" w:eastAsia="cs-CZ" w:bidi="cs-CZ"/>
        </w:rPr>
        <w:t>musí splňovat požadavky platných TP, TKP a ČSN, zejm. ČSN EN 13808:2013 a ČSN 73 6132 a zkoušku PAV dle ČSN EN 14769, není-li v této rámcové dohodě dále stanoveno jinak;</w:t>
      </w:r>
    </w:p>
    <w:p>
      <w:pPr>
        <w:pStyle w:val="Style2"/>
        <w:keepNext w:val="0"/>
        <w:keepLines w:val="0"/>
        <w:widowControl w:val="0"/>
        <w:numPr>
          <w:ilvl w:val="0"/>
          <w:numId w:val="35"/>
        </w:numPr>
        <w:shd w:val="clear" w:color="auto" w:fill="auto"/>
        <w:tabs>
          <w:tab w:pos="782" w:val="left"/>
        </w:tabs>
        <w:bidi w:val="0"/>
        <w:spacing w:before="0" w:line="271" w:lineRule="auto"/>
        <w:ind w:left="0" w:right="0" w:firstLine="380"/>
        <w:jc w:val="both"/>
      </w:pPr>
      <w:r>
        <w:rPr>
          <w:color w:val="000000"/>
          <w:spacing w:val="0"/>
          <w:w w:val="100"/>
          <w:position w:val="0"/>
          <w:shd w:val="clear" w:color="auto" w:fill="auto"/>
          <w:lang w:val="cs-CZ" w:eastAsia="cs-CZ" w:bidi="cs-CZ"/>
        </w:rPr>
        <w:t>minimální obsah asfaltu 65 %;</w:t>
      </w:r>
    </w:p>
    <w:p>
      <w:pPr>
        <w:pStyle w:val="Style2"/>
        <w:keepNext w:val="0"/>
        <w:keepLines w:val="0"/>
        <w:widowControl w:val="0"/>
        <w:numPr>
          <w:ilvl w:val="0"/>
          <w:numId w:val="35"/>
        </w:numPr>
        <w:shd w:val="clear" w:color="auto" w:fill="auto"/>
        <w:tabs>
          <w:tab w:pos="772" w:val="left"/>
        </w:tabs>
        <w:bidi w:val="0"/>
        <w:spacing w:before="0" w:line="271" w:lineRule="auto"/>
        <w:ind w:left="0" w:right="0" w:firstLine="380"/>
        <w:jc w:val="left"/>
      </w:pPr>
      <w:r>
        <w:rPr>
          <w:color w:val="000000"/>
          <w:spacing w:val="0"/>
          <w:w w:val="100"/>
          <w:position w:val="0"/>
          <w:shd w:val="clear" w:color="auto" w:fill="auto"/>
          <w:lang w:val="cs-CZ" w:eastAsia="cs-CZ" w:bidi="cs-CZ"/>
        </w:rPr>
        <w:t>přilnavost ke kamenivu min. 90% (použité kamenivo v rozsahu 2/4, 2/5, 4/8 );</w:t>
      </w:r>
    </w:p>
    <w:p>
      <w:pPr>
        <w:pStyle w:val="Style2"/>
        <w:keepNext w:val="0"/>
        <w:keepLines w:val="0"/>
        <w:widowControl w:val="0"/>
        <w:numPr>
          <w:ilvl w:val="0"/>
          <w:numId w:val="35"/>
        </w:numPr>
        <w:shd w:val="clear" w:color="auto" w:fill="auto"/>
        <w:tabs>
          <w:tab w:pos="759" w:val="left"/>
        </w:tabs>
        <w:bidi w:val="0"/>
        <w:spacing w:before="0" w:line="271" w:lineRule="auto"/>
        <w:ind w:left="0" w:right="0" w:firstLine="380"/>
        <w:jc w:val="left"/>
      </w:pPr>
      <w:r>
        <w:rPr>
          <w:color w:val="000000"/>
          <w:spacing w:val="0"/>
          <w:w w:val="100"/>
          <w:position w:val="0"/>
          <w:shd w:val="clear" w:color="auto" w:fill="auto"/>
          <w:lang w:val="cs-CZ" w:eastAsia="cs-CZ" w:bidi="cs-CZ"/>
        </w:rPr>
        <w:t>štěpitelnost 70 - 230 (třída 3 až 5 dle ČSN EN 13808:2013);</w:t>
      </w:r>
    </w:p>
    <w:p>
      <w:pPr>
        <w:pStyle w:val="Style2"/>
        <w:keepNext w:val="0"/>
        <w:keepLines w:val="0"/>
        <w:widowControl w:val="0"/>
        <w:numPr>
          <w:ilvl w:val="0"/>
          <w:numId w:val="35"/>
        </w:numPr>
        <w:shd w:val="clear" w:color="auto" w:fill="auto"/>
        <w:tabs>
          <w:tab w:pos="759" w:val="left"/>
        </w:tabs>
        <w:bidi w:val="0"/>
        <w:spacing w:before="0" w:line="271" w:lineRule="auto"/>
        <w:ind w:left="0" w:right="0" w:firstLine="380"/>
        <w:jc w:val="left"/>
      </w:pPr>
      <w:r>
        <w:rPr>
          <w:color w:val="000000"/>
          <w:spacing w:val="0"/>
          <w:w w:val="100"/>
          <w:position w:val="0"/>
          <w:shd w:val="clear" w:color="auto" w:fill="auto"/>
          <w:lang w:val="cs-CZ" w:eastAsia="cs-CZ" w:bidi="cs-CZ"/>
        </w:rPr>
        <w:t>skladovatelnost min. 6 týdnů;</w:t>
      </w:r>
    </w:p>
    <w:p>
      <w:pPr>
        <w:pStyle w:val="Style2"/>
        <w:keepNext w:val="0"/>
        <w:keepLines w:val="0"/>
        <w:widowControl w:val="0"/>
        <w:numPr>
          <w:ilvl w:val="0"/>
          <w:numId w:val="35"/>
        </w:numPr>
        <w:shd w:val="clear" w:color="auto" w:fill="auto"/>
        <w:tabs>
          <w:tab w:pos="762" w:val="left"/>
        </w:tabs>
        <w:bidi w:val="0"/>
        <w:spacing w:before="0" w:line="271" w:lineRule="auto"/>
        <w:ind w:left="0" w:right="0" w:firstLine="380"/>
        <w:jc w:val="left"/>
      </w:pPr>
      <w:r>
        <w:rPr>
          <w:color w:val="000000"/>
          <w:spacing w:val="0"/>
          <w:w w:val="100"/>
          <w:position w:val="0"/>
          <w:shd w:val="clear" w:color="auto" w:fill="auto"/>
          <w:lang w:val="cs-CZ" w:eastAsia="cs-CZ" w:bidi="cs-CZ"/>
        </w:rPr>
        <w:t>dodávka emulze na místo určení ohřáté na 60°C;</w:t>
      </w:r>
    </w:p>
    <w:p>
      <w:pPr>
        <w:pStyle w:val="Style2"/>
        <w:keepNext w:val="0"/>
        <w:keepLines w:val="0"/>
        <w:widowControl w:val="0"/>
        <w:numPr>
          <w:ilvl w:val="0"/>
          <w:numId w:val="35"/>
        </w:numPr>
        <w:shd w:val="clear" w:color="auto" w:fill="auto"/>
        <w:tabs>
          <w:tab w:pos="762" w:val="left"/>
        </w:tabs>
        <w:bidi w:val="0"/>
        <w:spacing w:before="0" w:line="271" w:lineRule="auto"/>
        <w:ind w:left="0" w:right="0" w:firstLine="380"/>
        <w:jc w:val="both"/>
      </w:pPr>
      <w:r>
        <w:rPr>
          <w:color w:val="000000"/>
          <w:spacing w:val="0"/>
          <w:w w:val="100"/>
          <w:position w:val="0"/>
          <w:shd w:val="clear" w:color="auto" w:fill="auto"/>
          <w:lang w:val="cs-CZ" w:eastAsia="cs-CZ" w:bidi="cs-CZ"/>
        </w:rPr>
        <w:t>zkouška PAV dle ČSN EN 14769:</w:t>
      </w:r>
    </w:p>
    <w:p>
      <w:pPr>
        <w:pStyle w:val="Style2"/>
        <w:keepNext w:val="0"/>
        <w:keepLines w:val="0"/>
        <w:widowControl w:val="0"/>
        <w:numPr>
          <w:ilvl w:val="0"/>
          <w:numId w:val="33"/>
        </w:numPr>
        <w:shd w:val="clear" w:color="auto" w:fill="auto"/>
        <w:tabs>
          <w:tab w:pos="998" w:val="left"/>
        </w:tabs>
        <w:bidi w:val="0"/>
        <w:spacing w:before="0" w:line="271" w:lineRule="auto"/>
        <w:ind w:left="0" w:right="0" w:firstLine="740"/>
        <w:jc w:val="both"/>
      </w:pPr>
      <w:r>
        <w:rPr>
          <w:color w:val="000000"/>
          <w:spacing w:val="0"/>
          <w:w w:val="100"/>
          <w:position w:val="0"/>
          <w:shd w:val="clear" w:color="auto" w:fill="auto"/>
          <w:lang w:val="cs-CZ" w:eastAsia="cs-CZ" w:bidi="cs-CZ"/>
        </w:rPr>
        <w:t>penetrace při 25°C &lt; 100 (třída 3 dle ČSN EN 13808:2013),</w:t>
      </w:r>
    </w:p>
    <w:p>
      <w:pPr>
        <w:pStyle w:val="Style2"/>
        <w:keepNext w:val="0"/>
        <w:keepLines w:val="0"/>
        <w:widowControl w:val="0"/>
        <w:numPr>
          <w:ilvl w:val="0"/>
          <w:numId w:val="33"/>
        </w:numPr>
        <w:shd w:val="clear" w:color="auto" w:fill="auto"/>
        <w:tabs>
          <w:tab w:pos="998" w:val="left"/>
        </w:tabs>
        <w:bidi w:val="0"/>
        <w:spacing w:before="0" w:line="271" w:lineRule="auto"/>
        <w:ind w:left="0" w:right="0" w:firstLine="740"/>
        <w:jc w:val="both"/>
      </w:pPr>
      <w:r>
        <w:rPr>
          <w:color w:val="000000"/>
          <w:spacing w:val="0"/>
          <w:w w:val="100"/>
          <w:position w:val="0"/>
          <w:shd w:val="clear" w:color="auto" w:fill="auto"/>
          <w:lang w:val="cs-CZ" w:eastAsia="cs-CZ" w:bidi="cs-CZ"/>
        </w:rPr>
        <w:t>bod měknutí &gt; 55 (třída 3 dle ČSN EN 13808:2013),</w:t>
      </w:r>
    </w:p>
    <w:p>
      <w:pPr>
        <w:pStyle w:val="Style2"/>
        <w:keepNext w:val="0"/>
        <w:keepLines w:val="0"/>
        <w:widowControl w:val="0"/>
        <w:numPr>
          <w:ilvl w:val="0"/>
          <w:numId w:val="35"/>
        </w:numPr>
        <w:shd w:val="clear" w:color="auto" w:fill="auto"/>
        <w:tabs>
          <w:tab w:pos="762" w:val="left"/>
        </w:tabs>
        <w:bidi w:val="0"/>
        <w:spacing w:before="0" w:line="271" w:lineRule="auto"/>
        <w:ind w:left="0" w:right="0" w:firstLine="380"/>
        <w:jc w:val="both"/>
      </w:pPr>
      <w:r>
        <w:rPr>
          <w:color w:val="000000"/>
          <w:spacing w:val="0"/>
          <w:w w:val="100"/>
          <w:position w:val="0"/>
          <w:shd w:val="clear" w:color="auto" w:fill="auto"/>
          <w:lang w:val="cs-CZ" w:eastAsia="cs-CZ" w:bidi="cs-CZ"/>
        </w:rPr>
        <w:t>doba výtoku 2 mm při 40°C 15 - 70 (třída 3 dle ČSN EN 13808:2013).</w:t>
      </w:r>
    </w:p>
    <w:sectPr>
      <w:footnotePr>
        <w:pos w:val="pageBottom"/>
        <w:numFmt w:val="decimal"/>
        <w:numRestart w:val="continuous"/>
      </w:footnotePr>
      <w:pgSz w:w="11900" w:h="16840"/>
      <w:pgMar w:top="1258" w:left="1373" w:right="1368" w:bottom="125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3383915</wp:posOffset>
              </wp:positionH>
              <wp:positionV relativeFrom="page">
                <wp:posOffset>10333355</wp:posOffset>
              </wp:positionV>
              <wp:extent cx="795655" cy="109855"/>
              <wp:wrapNone/>
              <wp:docPr id="6" name="Shape 6"/>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13</w:t>
                          </w:r>
                        </w:p>
                      </w:txbxContent>
                    </wps:txbx>
                    <wps:bodyPr wrap="none" lIns="0" tIns="0" rIns="0" bIns="0">
                      <a:spAutoFit/>
                    </wps:bodyPr>
                  </wps:wsp>
                </a:graphicData>
              </a:graphic>
            </wp:anchor>
          </w:drawing>
        </mc:Choice>
        <mc:Fallback>
          <w:pict>
            <v:shape id="_x0000_s1032" type="#_x0000_t202" style="position:absolute;margin-left:266.44999999999999pt;margin-top:813.64999999999998pt;width:62.649999999999999pt;height:8.65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882015</wp:posOffset>
              </wp:positionH>
              <wp:positionV relativeFrom="page">
                <wp:posOffset>10288905</wp:posOffset>
              </wp:positionV>
              <wp:extent cx="5800090" cy="0"/>
              <wp:wrapNone/>
              <wp:docPr id="8" name="Shape 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50000000000003pt;margin-top:810.14999999999998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902970</wp:posOffset>
              </wp:positionH>
              <wp:positionV relativeFrom="page">
                <wp:posOffset>481965</wp:posOffset>
              </wp:positionV>
              <wp:extent cx="4605655" cy="137160"/>
              <wp:wrapNone/>
              <wp:docPr id="3" name="Shape 3"/>
              <a:graphic xmlns:a="http://schemas.openxmlformats.org/drawingml/2006/main">
                <a:graphicData uri="http://schemas.microsoft.com/office/word/2010/wordprocessingShape">
                  <wps:wsp>
                    <wps:cNvSpPr txBox="1"/>
                    <wps:spPr>
                      <a:xfrm>
                        <a:ext cx="4605655"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Rámcová dohoda na dodávku kationaktivní asfaltové emulze v roce 2021</w:t>
                          </w:r>
                        </w:p>
                      </w:txbxContent>
                    </wps:txbx>
                    <wps:bodyPr wrap="none" lIns="0" tIns="0" rIns="0" bIns="0">
                      <a:spAutoFit/>
                    </wps:bodyPr>
                  </wps:wsp>
                </a:graphicData>
              </a:graphic>
            </wp:anchor>
          </w:drawing>
        </mc:Choice>
        <mc:Fallback>
          <w:pict>
            <v:shape id="_x0000_s1029" type="#_x0000_t202" style="position:absolute;margin-left:71.099999999999994pt;margin-top:37.950000000000003pt;width:362.64999999999998pt;height:10.8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Rámcová dohoda na dodávku kationaktivní asfaltové emulze v roce 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882015</wp:posOffset>
              </wp:positionH>
              <wp:positionV relativeFrom="page">
                <wp:posOffset>652780</wp:posOffset>
              </wp:positionV>
              <wp:extent cx="5800090" cy="0"/>
              <wp:wrapNone/>
              <wp:docPr id="5" name="Shape 5"/>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50000000000003pt;margin-top:51.399999999999999pt;width:456.69999999999999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5"/>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0"/>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Nadpis #1_"/>
    <w:basedOn w:val="DefaultParagraphFont"/>
    <w:link w:val="Style4"/>
    <w:rPr>
      <w:rFonts w:ascii="Calibri" w:eastAsia="Calibri" w:hAnsi="Calibri" w:cs="Calibri"/>
      <w:b/>
      <w:bCs/>
      <w:i w:val="0"/>
      <w:iCs w:val="0"/>
      <w:smallCaps w:val="0"/>
      <w:strike w:val="0"/>
      <w:sz w:val="32"/>
      <w:szCs w:val="32"/>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Calibri" w:eastAsia="Calibri" w:hAnsi="Calibri" w:cs="Calibri"/>
      <w:b w:val="0"/>
      <w:bCs w:val="0"/>
      <w:i w:val="0"/>
      <w:iCs w:val="0"/>
      <w:smallCaps w:val="0"/>
      <w:strike w:val="0"/>
      <w:sz w:val="24"/>
      <w:szCs w:val="24"/>
      <w:u w:val="none"/>
    </w:rPr>
  </w:style>
  <w:style w:type="character" w:customStyle="1" w:styleId="CharStyle15">
    <w:name w:val="Jiné_"/>
    <w:basedOn w:val="DefaultParagraphFont"/>
    <w:link w:val="Style14"/>
    <w:rPr>
      <w:rFonts w:ascii="Calibri" w:eastAsia="Calibri" w:hAnsi="Calibri" w:cs="Calibri"/>
      <w:b w:val="0"/>
      <w:bCs w:val="0"/>
      <w:i w:val="0"/>
      <w:iCs w:val="0"/>
      <w:smallCaps w:val="0"/>
      <w:strike w:val="0"/>
      <w:sz w:val="24"/>
      <w:szCs w:val="24"/>
      <w:u w:val="none"/>
    </w:rPr>
  </w:style>
  <w:style w:type="character" w:customStyle="1" w:styleId="CharStyle18">
    <w:name w:val="Nadpis #3_"/>
    <w:basedOn w:val="DefaultParagraphFont"/>
    <w:link w:val="Style17"/>
    <w:rPr>
      <w:rFonts w:ascii="Calibri" w:eastAsia="Calibri" w:hAnsi="Calibri" w:cs="Calibri"/>
      <w:b/>
      <w:bCs/>
      <w:i w:val="0"/>
      <w:iCs w:val="0"/>
      <w:smallCaps w:val="0"/>
      <w:strike w:val="0"/>
      <w:sz w:val="24"/>
      <w:szCs w:val="24"/>
      <w:u w:val="none"/>
    </w:rPr>
  </w:style>
  <w:style w:type="character" w:customStyle="1" w:styleId="CharStyle26">
    <w:name w:val="Nadpis #2_"/>
    <w:basedOn w:val="DefaultParagraphFont"/>
    <w:link w:val="Style25"/>
    <w:rPr>
      <w:rFonts w:ascii="Calibri" w:eastAsia="Calibri" w:hAnsi="Calibri" w:cs="Calibri"/>
      <w:b/>
      <w:bCs/>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Nadpis #1"/>
    <w:basedOn w:val="Normal"/>
    <w:link w:val="CharStyle5"/>
    <w:pPr>
      <w:widowControl w:val="0"/>
      <w:shd w:val="clear" w:color="auto" w:fill="FFFFFF"/>
      <w:spacing w:before="640" w:after="100"/>
      <w:jc w:val="center"/>
      <w:outlineLvl w:val="0"/>
    </w:pPr>
    <w:rPr>
      <w:rFonts w:ascii="Calibri" w:eastAsia="Calibri" w:hAnsi="Calibri" w:cs="Calibri"/>
      <w:b/>
      <w:bCs/>
      <w:i w:val="0"/>
      <w:iCs w:val="0"/>
      <w:smallCaps w:val="0"/>
      <w:strike w:val="0"/>
      <w:sz w:val="32"/>
      <w:szCs w:val="32"/>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4">
    <w:name w:val="Jiné"/>
    <w:basedOn w:val="Normal"/>
    <w:link w:val="CharStyle15"/>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7">
    <w:name w:val="Nadpis #3"/>
    <w:basedOn w:val="Normal"/>
    <w:link w:val="CharStyle18"/>
    <w:pPr>
      <w:widowControl w:val="0"/>
      <w:shd w:val="clear" w:color="auto" w:fill="FFFFFF"/>
      <w:spacing w:after="100"/>
      <w:jc w:val="center"/>
      <w:outlineLvl w:val="2"/>
    </w:pPr>
    <w:rPr>
      <w:rFonts w:ascii="Calibri" w:eastAsia="Calibri" w:hAnsi="Calibri" w:cs="Calibri"/>
      <w:b/>
      <w:bCs/>
      <w:i w:val="0"/>
      <w:iCs w:val="0"/>
      <w:smallCaps w:val="0"/>
      <w:strike w:val="0"/>
      <w:sz w:val="24"/>
      <w:szCs w:val="24"/>
      <w:u w:val="none"/>
    </w:rPr>
  </w:style>
  <w:style w:type="paragraph" w:customStyle="1" w:styleId="Style25">
    <w:name w:val="Nadpis #2"/>
    <w:basedOn w:val="Normal"/>
    <w:link w:val="CharStyle26"/>
    <w:pPr>
      <w:widowControl w:val="0"/>
      <w:shd w:val="clear" w:color="auto" w:fill="FFFFFF"/>
      <w:spacing w:after="740"/>
      <w:jc w:val="center"/>
      <w:outlineLvl w:val="1"/>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fric</dc:creator>
  <cp:keywords/>
</cp:coreProperties>
</file>