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účasti na řešení projektu z 5.3.2019</w:t>
      </w:r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4"/>
          <w:szCs w:val="24"/>
        </w:rPr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kterou níže uvedeného dne uzavírají: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720" w:right="0" w:hanging="720"/>
        <w:jc w:val="both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výroby, v.v.i.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Drnovská 507/73, 161 06 Praha 6 - 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v rejstříku veřejných výzkumných institucí vedeném Ministerstvem školství mládeže a tělovýchovy ČR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RNDr. Mikulášem Madarasem, Ph.D., ředitelem instituce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„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hlavní příjemce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„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příjemce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720" w:right="0" w:hanging="720"/>
        <w:jc w:val="both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Univerzita Karlova, Přírodovědecká fakulta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Albertov 6, Praha 2, 128 43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00216208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CZ00216208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zřízená zákonem o VVS č. 111/1998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prof. RNDr. Jiřím Zimou, CSc., děkanem fakulty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„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Úvodní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12700</wp:posOffset>
                </wp:positionV>
                <wp:extent cx="179705" cy="18605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70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1.1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799999999999997pt;margin-top:1.pt;width:14.15pt;height:14.6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5.3.2019 Smlouvu o účasti na řešení projektu:</w:t>
      </w:r>
    </w:p>
    <w:p>
      <w:pPr>
        <w:pStyle w:val="Style11"/>
        <w:keepNext/>
        <w:keepLines/>
        <w:widowControl w:val="0"/>
        <w:shd w:val="clear" w:color="auto" w:fill="auto"/>
        <w:tabs>
          <w:tab w:pos="3566" w:val="left"/>
        </w:tabs>
        <w:bidi w:val="0"/>
        <w:spacing w:before="0" w:after="0" w:line="240" w:lineRule="auto"/>
        <w:ind w:left="1420" w:right="0" w:firstLine="20"/>
        <w:jc w:val="both"/>
      </w:pPr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Manipulují intracelulární parazitické bakterie Cardinium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560" w:right="0" w:firstLine="0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Wolbachia koprofágii a tím horizontální přenos střevních bakterií u saprofágních roztočů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1420" w:right="0" w:firstLine="20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12700</wp:posOffset>
                </wp:positionV>
                <wp:extent cx="1447800" cy="114935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7800" cy="1149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19-09998S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Grantová agentura ČR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Standardní projekty 2019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2019-2021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6.75pt;margin-top:1.pt;width:114.pt;height:90.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19-09998S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Grantová agentura ČR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Standardní projekty 2019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2019-2021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projektu: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1420" w:right="0" w:firstLine="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1420" w:right="0" w:firstLine="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Program: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720" w:right="760" w:firstLine="7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řešení: (dále jen „smlouva“)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720" w:right="0" w:hanging="72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uzavření dodatku č.1 ke Smlouvě o poskytnutí dotace na podporu grantového projektu č. 19-09998S mezi hlavním příjemcem a poskytovatelem uzavírají strany tento dodatek.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se dohodly na následující změně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4.1 Smlouvy v původním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95" w:val="left"/>
        </w:tabs>
        <w:bidi w:val="0"/>
        <w:spacing w:before="0" w:line="240" w:lineRule="auto"/>
        <w:ind w:left="7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účastník se zavazuje účastnit se na řešení projektu, spolupracovat, provádět, vykonat a plnit řádně a včas všechny činnosti a povinnosti vyplývající pro něj z: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této smlouvy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návrhu projektu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hanging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smlouvy o poskytnutí podpory (dále jen „smlouva o poskytnutí podpory“) včetně příloh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Rozpisu Grantových prostředků Projektu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odstranění pochybností se má za to, že další účastník se zavázal dodržovat a plnit veškeré povinnosti a lhůty vyplývající pro „příjemce“ a „dalšího účastníka“ ze shora uvedených dokumentů tak, jako by byl přímo jejich smluvní stranou, a tak, aby hlavní příjemce mohl splnit své povinnosti z těchto dokumentů vyplývající. V případě rozporu s touto smlouvou má přednost splnění veškerých povinností dle smlouvy o poskytnutí podpory.“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nahrazuje novým zněním: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„4.1 Další účastník se zavazuje účastnit se na řešení projektu, spolupracovat, provádět, vykonat a plnit řádně a včas všechny činnosti a povinnosti vyplývající pro něj z: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této smlouvy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návrhu projektu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hanging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smlouvy o poskytnutí podpory (dále jen „smlouva o poskytnutí podpory“) včetně příloh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a dodatku č. 1 k této smlouvě včetně příloh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Rozpisu Grantových prostředků Projektu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2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Rozpisu Grantových prostředků Projektu pro rok 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 odstranění pochybností se má za to, že další účastník se zavázal dodržovat a plnit veškeré povinnosti a lhůty vyplývající pro „příjemce“ a „dalšího účastníka“ ze shora uvedených dokumentů tak, jako by byl přímo jejich smluvní stranou, a tak, aby hlavní příjemce mohl splnit své povinnosti z těchto dokumentů vyplývající. V případě rozporu s touto smlouvou má přednost splnění veškerých povinností dle smlouvy o poskytnutí podpory.“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dále článek 11.1 Smlouvy v původním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„11.1 Nedílnou součástí této smlouvy jsou přílohy: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návrh projektu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smlouva o poskytnutí podpory včetně příloh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Grantových prostředků Projektu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2" w:val="left"/>
        </w:tabs>
        <w:bidi w:val="0"/>
        <w:spacing w:before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Zadávací dokumentace pro projekt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rozporů mezi touto smlouvou a přílohami (či přílohami navzájem) má přednost příloha, která je uvedena v tomto ustanovení dříve, a všechny přílohy mají přednost před touto smlouvou.“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nahrazuje novým zněním: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„11.1 Nedílnou součástí této smlouvy jsou přílohy: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návrh projektu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after="0" w:line="240" w:lineRule="auto"/>
        <w:ind w:left="1420" w:right="282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ke smlouvě o poskytnutí podpory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smlouva o poskytnutí podpory včetně příloh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after="0" w:line="240" w:lineRule="auto"/>
        <w:ind w:left="142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Grantových prostředků Projektu pro rok 2021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after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Grantových prostředků Projektu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line="240" w:lineRule="auto"/>
        <w:ind w:left="14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Zadávací dokumentace pro projekt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rozporů mezi touto smlouvou a přílohami (či přílohami navzájem) má přednost příloha, která je uvedena v tomto ustanovení dříve, a všechny přílohy mají přednost před touto smlouvou.“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94" w:val="left"/>
        </w:tabs>
        <w:bidi w:val="0"/>
        <w:spacing w:before="0" w:line="240" w:lineRule="auto"/>
        <w:ind w:left="720" w:right="0" w:hanging="7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94" w:val="left"/>
        </w:tabs>
        <w:bidi w:val="0"/>
        <w:spacing w:before="0" w:line="240" w:lineRule="auto"/>
        <w:ind w:left="720" w:right="0" w:hanging="7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přílohou tohoto dodatku jsou: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420" w:right="294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 smlouvě o poskytnutí podpory Rozpis Grantových prostředků Projektu pro rok 2021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4" w:val="left"/>
        </w:tabs>
        <w:bidi w:val="0"/>
        <w:spacing w:before="0" w:line="240" w:lineRule="auto"/>
        <w:ind w:left="720" w:right="0" w:hanging="7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podpisu poslední smluvní strany a účinnosti okamžikem uveřejnění v registru smluv podle zákona č. 340/2015 Sb.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4" w:val="left"/>
        </w:tabs>
        <w:bidi w:val="0"/>
        <w:spacing w:before="0" w:after="0" w:line="240" w:lineRule="auto"/>
        <w:ind w:left="720" w:right="0" w:hanging="7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Přijetí tohoto dodatku kteroukoliv stranou s výhradou, dodatkem nebo odchylkou, není přijetím,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ani pokud se podstatně nemění podmínky dodatku.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4" w:val="left"/>
        </w:tabs>
        <w:bidi w:val="0"/>
        <w:spacing w:before="0" w:line="240" w:lineRule="auto"/>
        <w:ind w:left="720" w:right="0" w:hanging="7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nemůže být dále samostatně měněn dalšími dodatky. Změna Smlouvy dalším dodatkem není vyloučena.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4" w:val="left"/>
        </w:tabs>
        <w:bidi w:val="0"/>
        <w:spacing w:before="0" w:after="0" w:line="240" w:lineRule="auto"/>
        <w:ind w:left="720" w:right="0" w:hanging="72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402" w:left="1383" w:right="1383" w:bottom="148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sepsán ve 4 vyhotoveních z nichž každá smluvní strana obdrží 2 vyhotovení.</w:t>
      </w:r>
    </w:p>
    <w:p>
      <w:pPr>
        <w:widowControl w:val="0"/>
        <w:spacing w:before="55" w:after="55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02" w:left="0" w:right="0" w:bottom="270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hlavního příjemce: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02" w:left="1493" w:right="3965" w:bottom="2704" w:header="0" w:footer="3" w:gutter="0"/>
          <w:cols w:num="2" w:space="2530"/>
          <w:noEndnote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dalšího účastníka:</w:t>
      </w:r>
    </w:p>
    <w:p>
      <w:pPr>
        <w:pStyle w:val="Style16"/>
        <w:keepNext/>
        <w:keepLines/>
        <w:framePr w:w="2002" w:h="1210" w:wrap="none" w:vAnchor="text" w:hAnchor="page" w:x="1657" w:y="12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RNDr. Mikuláš</w:t>
      </w:r>
      <w:bookmarkEnd w:id="8"/>
    </w:p>
    <w:p>
      <w:pPr>
        <w:pStyle w:val="Style16"/>
        <w:keepNext/>
        <w:keepLines/>
        <w:framePr w:w="2002" w:h="1210" w:wrap="none" w:vAnchor="text" w:hAnchor="page" w:x="1657" w:y="12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Madaras,</w:t>
      </w:r>
      <w:bookmarkEnd w:id="9"/>
    </w:p>
    <w:p>
      <w:pPr>
        <w:pStyle w:val="Style16"/>
        <w:keepNext/>
        <w:keepLines/>
        <w:framePr w:w="2002" w:h="1210" w:wrap="none" w:vAnchor="text" w:hAnchor="page" w:x="1657" w:y="12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Ph.D.</w:t>
      </w:r>
      <w:bookmarkEnd w:id="10"/>
    </w:p>
    <w:p>
      <w:pPr>
        <w:pStyle w:val="Style18"/>
        <w:keepNext w:val="0"/>
        <w:keepLines w:val="0"/>
        <w:framePr w:w="1872" w:h="1464" w:wrap="none" w:vAnchor="text" w:hAnchor="page" w:x="3673" w:y="21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 RNDr. Mikuláš Madaras, Ph.D. Datum: 2021.05.10</w:t>
      </w:r>
    </w:p>
    <w:p>
      <w:pPr>
        <w:pStyle w:val="Style2"/>
        <w:keepNext w:val="0"/>
        <w:keepLines w:val="0"/>
        <w:framePr w:w="1872" w:h="1464" w:wrap="none" w:vAnchor="text" w:hAnchor="page" w:x="3673" w:y="21"/>
        <w:widowControl w:val="0"/>
        <w:pBdr>
          <w:bottom w:val="single" w:sz="4" w:space="0" w:color="auto"/>
        </w:pBdr>
        <w:shd w:val="clear" w:color="auto" w:fill="auto"/>
        <w:tabs>
          <w:tab w:leader="underscore" w:pos="1757" w:val="left"/>
        </w:tabs>
        <w:bidi w:val="0"/>
        <w:spacing w:before="0" w:after="0" w:line="266" w:lineRule="auto"/>
        <w:ind w:left="0" w:right="0" w:firstLine="0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6"/>
        <w:keepNext/>
        <w:keepLines/>
        <w:framePr w:w="1574" w:h="1272" w:wrap="none" w:vAnchor="text" w:hAnchor="page" w:x="6371" w:y="14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prof. RNDr. Jiří Zima, CSc.</w:t>
      </w:r>
      <w:bookmarkEnd w:id="11"/>
    </w:p>
    <w:p>
      <w:pPr>
        <w:pStyle w:val="Style20"/>
        <w:keepNext w:val="0"/>
        <w:keepLines w:val="0"/>
        <w:framePr w:w="1733" w:h="1262" w:wrap="none" w:vAnchor="text" w:hAnchor="page" w:x="8267" w:y="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 prof. RNDr. Jiří Zima, CSc.</w:t>
      </w:r>
    </w:p>
    <w:p>
      <w:pPr>
        <w:pStyle w:val="Style20"/>
        <w:keepNext w:val="0"/>
        <w:keepLines w:val="0"/>
        <w:framePr w:w="1733" w:h="1262" w:wrap="none" w:vAnchor="text" w:hAnchor="page" w:x="8267" w:y="14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2021.05.11 15:43:07 +02'00'</w:t>
      </w:r>
    </w:p>
    <w:p>
      <w:pPr>
        <w:pStyle w:val="Style11"/>
        <w:keepNext/>
        <w:keepLines/>
        <w:framePr w:w="3029" w:h="547" w:wrap="none" w:vAnchor="text" w:hAnchor="page" w:x="2161" w:y="1465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RNDr. Mikuláš Madaras, Ph.D.</w:t>
        <w:br/>
        <w:t>ředitel</w:t>
      </w:r>
      <w:bookmarkEnd w:id="12"/>
    </w:p>
    <w:p>
      <w:pPr>
        <w:pStyle w:val="Style2"/>
        <w:keepNext w:val="0"/>
        <w:keepLines w:val="0"/>
        <w:framePr w:w="2669" w:h="552" w:wrap="none" w:vAnchor="text" w:hAnchor="page" w:x="6880" w:y="146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prof. RNDr. Jiří Zima, CSc.</w:t>
        <w:br/>
        <w:t>děkan fakulty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2" w:line="14" w:lineRule="exact"/>
      </w:pP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37" w:left="1388" w:right="1388" w:bottom="99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5983605</wp:posOffset>
              </wp:positionH>
              <wp:positionV relativeFrom="page">
                <wp:posOffset>10125710</wp:posOffset>
              </wp:positionV>
              <wp:extent cx="676910" cy="10985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69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71.14999999999998pt;margin-top:797.29999999999995pt;width:53.299999999999997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10083165</wp:posOffset>
              </wp:positionV>
              <wp:extent cx="5800090" cy="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0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793.9500000000000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476250</wp:posOffset>
              </wp:positionV>
              <wp:extent cx="2917190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171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ke Smlouvě o účasti na řešení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549999999999997pt;margin-top:37.5pt;width:229.6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ke Smlouvě o účasti na řešení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611505</wp:posOffset>
              </wp:positionV>
              <wp:extent cx="580009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0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48.149999999999999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4.%1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6">
    <w:name w:val="Nadpis #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3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9">
    <w:name w:val="Základní text (3)_"/>
    <w:basedOn w:val="DefaultParagraphFont"/>
    <w:link w:val="Style1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40"/>
      <w:jc w:val="both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after="30" w:line="262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after="40" w:line="230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spacing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spolupráci</dc:title>
  <dc:subject/>
  <dc:creator>S314</dc:creator>
  <cp:keywords/>
</cp:coreProperties>
</file>