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Illllllllllllllllllllllll</w:t>
      </w:r>
      <w:bookmarkEnd w:id="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2021002852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SMLOUVA O VÝPŮJČCE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2080" w:right="0" w:hanging="134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uzavřená v souladu s ustanovením § 2193 a násl. zákona č. 89/2012 Sb., občanský zákoník, mezi níže uvedenými smluvními stranami</w:t>
      </w:r>
    </w:p>
    <w:tbl>
      <w:tblPr>
        <w:tblOverlap w:val="never"/>
        <w:jc w:val="center"/>
        <w:tblLayout w:type="fixed"/>
      </w:tblPr>
      <w:tblGrid>
        <w:gridCol w:w="2731"/>
        <w:gridCol w:w="6365"/>
      </w:tblGrid>
      <w:tr>
        <w:trPr>
          <w:trHeight w:val="5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Zdravotnická záchranná služba Jihomoravského kraje, příspěvková organizace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Kamenice 798/1 d, 625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MUDr. Hana Albrechtová, ředitelka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9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​.....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4"/>
                <w:w w:val="100"/>
                <w:position w:val="0"/>
                <w:u w:val="single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5"/>
                <w:w w:val="100"/>
                <w:position w:val="0"/>
                <w:u w:val="single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5"/>
                <w:w w:val="100"/>
                <w:position w:val="0"/>
                <w:u w:val="single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6"/>
                <w:w w:val="100"/>
                <w:position w:val="0"/>
                <w:u w:val="single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1"/>
                <w:w w:val="100"/>
                <w:position w:val="0"/>
                <w:u w:val="single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2"/>
                <w:w w:val="100"/>
                <w:position w:val="0"/>
                <w:u w:val="single"/>
                <w:shd w:val="clear" w:color="auto" w:fill="000000"/>
                <w:lang w:val="cs-CZ" w:eastAsia="cs-CZ" w:bidi="cs-CZ"/>
              </w:rPr>
              <w:t>............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..​</w:t>
            </w:r>
            <w:r>
              <w:rPr>
                <w:color w:val="000000"/>
                <w:spacing w:val="7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8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​.......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8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9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6"/>
                <w:w w:val="100"/>
                <w:position w:val="0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7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0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11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</w:p>
        </w:tc>
      </w:tr>
      <w:tr>
        <w:trPr>
          <w:trHeight w:val="8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00346292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CZ00346292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Krajský soud v Brně, sp. zn. Pr 1245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MONETA Money Bank, a.s„ č. ú.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.​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.................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„vypůjčíte?</w:t>
      </w:r>
    </w:p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731"/>
        <w:gridCol w:w="6360"/>
      </w:tblGrid>
      <w:tr>
        <w:trPr>
          <w:trHeight w:val="55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DAITE s.r.o.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Hájecká 1304/14a, Brno 618 00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Jan Smrček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Jan Smrček</w:t>
            </w:r>
          </w:p>
        </w:tc>
      </w:tr>
      <w:tr>
        <w:trPr>
          <w:trHeight w:val="80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27687376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CZ27687376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Spisová značka C 52139 vedená u Krajského soudu v Brně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..............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..............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„půjčíte?)</w:t>
      </w:r>
    </w:p>
    <w:p>
      <w:pPr>
        <w:widowControl w:val="0"/>
        <w:spacing w:after="17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Půjčitel je oprávněn na základě svého vlastnického práva nakládat s těmito movitými věcmi: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 ks centrálních barevných multifunkčních zařízeni formátu A3,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to: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3" w:val="center"/>
          <w:tab w:pos="780" w:val="left"/>
          <w:tab w:pos="978" w:val="left"/>
          <w:tab w:pos="1483" w:val="center"/>
          <w:tab w:pos="2034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ks</w:t>
        <w:tab/>
        <w:t>Develop</w:t>
        <w:tab/>
        <w:t>ineo +224e, výrobní číslo A5C412110387,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3" w:val="center"/>
          <w:tab w:pos="780" w:val="left"/>
          <w:tab w:pos="978" w:val="left"/>
          <w:tab w:pos="1483" w:val="center"/>
          <w:tab w:pos="2034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ks</w:t>
        <w:tab/>
        <w:t>Develop</w:t>
        <w:tab/>
        <w:t>ineo +224e, výrobní číslo A5C4121006613,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3" w:val="center"/>
          <w:tab w:pos="780" w:val="left"/>
          <w:tab w:pos="978" w:val="left"/>
          <w:tab w:pos="1483" w:val="center"/>
          <w:tab w:pos="2034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ks</w:t>
        <w:tab/>
        <w:t>Develop</w:t>
        <w:tab/>
        <w:t>ineo +227e, výrobní číslo A798127106839.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Bližší specifikace movitých věcí je uvedena v příloze č. 1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Půjčitel se zavazuje, že movité věci podle čl. 1 této smlouvy i s jejich příslušenstvím přenechá vypůjčiteli k jeho dočasnému výhradnímu užívání pro jeho účely. Příslušenstvím se přitom pro účely této smlouvy rozumí zejména návod k použití v českém jazyce a prohlášení o shodě.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76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Půjčitel se dále zavazuje bezplatně zajišťovat běžnou údržbu a opravy movitých věcí podle čl. 1 této smlouvy, s výjimkou průběžného doplňování spotřebované náplně toneru, kterou se půjčitel zavazuje zajišťovat pro vypůjčitele za úhradu podle čl. 7 této smlouvy. Součástí závazku půjčitele podle tohoto článku této smlouvy je také provádění všech předepsaných a obvyklých preventivních technických prohlídek a revizí, a to v obvyklém rozsahu a po celou dobu trvání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Vypůjčitel se zavazuje užívat movité věci podle čl. 1 této smlouvy výhradně k provozování svého zdravotnického zařízení, a k činnostem s tím spojeným.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62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Vypůjčitel se zavazuje nepřenechávat movité věci podle čl. 1 této smlouvy bez předchozího písemného souhlasu půjčitele k užívání jiným osobám.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Výpůjčka movitých věcí podle této smlouvy se děje bezplatně.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76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průběžné doplňování spotřebované náplně toneru se vypůjčitel zavazuje platit půjčiteli úhradu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7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0,29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Kč bez DPH, tj.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0,35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 včetně DPH za jeden vykázaný černobílý výtisk A4,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1,52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Kč bez DPH, tj.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1,84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 včetně DPH zajeden vykázaný barevný výtisk A4.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76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podle čl. 7 této smlouvy je splatná vždy po skončení příslušného kalendářního měsíce za celý tento měsíc ve lhůtě do 30-ti dnů od předložení jejího písemného vyúčtování (faktury/daňového dokladu). Faktura bude doručena elektronicky na email: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u w:val="single"/>
          <w:shd w:val="clear" w:color="auto" w:fill="000000"/>
          <w:lang w:val="en-US" w:eastAsia="en-US" w:bidi="en-US"/>
        </w:rPr>
        <w:t>​</w:t>
      </w:r>
      <w:r>
        <w:rPr>
          <w:color w:val="000000"/>
          <w:spacing w:val="1"/>
          <w:w w:val="100"/>
          <w:position w:val="0"/>
          <w:u w:val="single"/>
          <w:shd w:val="clear" w:color="auto" w:fill="000000"/>
          <w:lang w:val="en-US" w:eastAsia="en-US" w:bidi="en-US"/>
        </w:rPr>
        <w:t>.........................</w:t>
      </w:r>
      <w:r>
        <w:rPr>
          <w:color w:val="000000"/>
          <w:spacing w:val="2"/>
          <w:w w:val="100"/>
          <w:position w:val="0"/>
          <w:u w:val="single"/>
          <w:shd w:val="clear" w:color="auto" w:fill="000000"/>
          <w:lang w:val="en-US" w:eastAsia="en-US" w:bidi="en-US"/>
        </w:rPr>
        <w:t>.........</w:t>
      </w:r>
      <w:r>
        <w:rPr>
          <w:color w:val="000000"/>
          <w:spacing w:val="0"/>
          <w:w w:val="100"/>
          <w:position w:val="0"/>
          <w:shd w:val="clear" w:color="auto" w:fill="000000"/>
          <w:lang w:val="en-US" w:eastAsia="en-US" w:bidi="en-US"/>
        </w:rPr>
        <w:t>.</w:t>
      </w:r>
      <w:r>
        <w:rPr>
          <w:color w:val="3E7EBC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u w:val="single"/>
          <w:shd w:val="clear" w:color="auto" w:fill="000000"/>
          <w:lang w:val="en-US" w:eastAsia="en-US" w:bidi="en-US"/>
        </w:rPr>
        <w:t>​</w:t>
      </w:r>
      <w:r>
        <w:rPr>
          <w:color w:val="000000"/>
          <w:spacing w:val="1"/>
          <w:w w:val="100"/>
          <w:position w:val="0"/>
          <w:u w:val="single"/>
          <w:shd w:val="clear" w:color="auto" w:fill="000000"/>
          <w:lang w:val="en-US" w:eastAsia="en-US" w:bidi="en-US"/>
        </w:rPr>
        <w:t>...............</w:t>
      </w:r>
      <w:r>
        <w:rPr>
          <w:color w:val="000000"/>
          <w:spacing w:val="2"/>
          <w:w w:val="100"/>
          <w:position w:val="0"/>
          <w:u w:val="single"/>
          <w:shd w:val="clear" w:color="auto" w:fill="000000"/>
          <w:lang w:val="en-US" w:eastAsia="en-US" w:bidi="en-US"/>
        </w:rPr>
        <w:t>...........</w:t>
      </w:r>
      <w:r>
        <w:rPr>
          <w:color w:val="000000"/>
          <w:spacing w:val="0"/>
          <w:w w:val="100"/>
          <w:position w:val="0"/>
          <w:shd w:val="clear" w:color="auto" w:fill="000000"/>
          <w:lang w:val="en-US" w:eastAsia="en-US" w:bidi="en-US"/>
        </w:rPr>
        <w:t>..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faktuře musí být mimo jiné vždy uvedeno toto číslo veřejné zakázky, ke které se faktura vztahuje: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P21V00001082.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faktura splňovat veškeré náležitosti daňového dokladu podle zákona a další náležitosti podle této smlouvy, je vypůjčitel oprávněn vrátit takovou fakturu půjčiteli k opravě, přičemž doba její splatnosti začne znovu celá běžet ode dne doručení opravené faktury vypůjčiteli.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Vypůjčitel se zavazuje s movitými věcmi podle čl. 1 této smlouvy nakládat šetrně a přiměřené jejímu účelu a chránit ji před poškozením, ztrátou, zneužitím nebo zničením.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76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v jednotlivém případě dohodnuto jinak, je vypůjčitel oprávněn provádět úpravy movitých věcí podle čl. 1 této smlouvy pouze po předchozím písemném souhlasu půjčitele a na svoje vlastní náklady.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Vypůjčitel prohlašuje, že se seznámil s technickým stavem movitých věcí podle čl. 1 této smlouvy, a potvrzuje, že podmínky její výpůjčky, jak jsou obsaženy v této smlouvě, byly sjednány s přihlédnutím k tomuto stavu a ke všem případným rizikům z něho vyplývajícím a nemohou být pouze s poukazem na tento stav měněny.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76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Není-li touto smlouvou ujednáno jinak, řídí se vzájemný právní vztah mezi půjčitelem a vypůjčitelem ust. § 2193 a násl. občanského zákoníku a obecnými ustanoveními občanského zákoníku o závazcích, včetně práv půjčitele, vyplývajících z odpovědnosti vypůjčitele za porušování jeho povinností podle citovaného zákona a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Tuto smlouvu lze změnit nebo zrušit pouze jinou písemnou dohodou obou smluvních stran. Tuto smlouvu lze také vypovědět písemnou výpovědí s tříměsíční výpovědní lhůtou, která počne běžet prvním dnem měsíce následujícího po doručení výpovědi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76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vypůjčitel.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66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smlouva nabývá účinnosti po jejím podpisu oběma smluvními stranami dnem jejího uveřejnění v Registru smluv, nejdříve však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17. 05. 2021.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smlouva se uzavírá na dobu určitou, a to do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16. 05. 2025.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165100</wp:posOffset>
                </wp:positionV>
                <wp:extent cx="765175" cy="43878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5175" cy="438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jednom.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Brně dne 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650000000000006pt;margin-top:13.pt;width:60.25pt;height:34.55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jednom.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Brně dne 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871855" distL="24130" distR="57785" simplePos="0" relativeHeight="125829380" behindDoc="0" locked="0" layoutInCell="1" allowOverlap="1">
            <wp:simplePos x="0" y="0"/>
            <wp:positionH relativeFrom="page">
              <wp:posOffset>921385</wp:posOffset>
            </wp:positionH>
            <wp:positionV relativeFrom="paragraph">
              <wp:posOffset>635000</wp:posOffset>
            </wp:positionV>
            <wp:extent cx="2340610" cy="646430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340610" cy="6464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1342390</wp:posOffset>
                </wp:positionV>
                <wp:extent cx="1435735" cy="15875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573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MUDr. Hana Albrechtová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0.650000000000006pt;margin-top:105.7pt;width:113.05pt;height:12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MUDr. Hana Albrechtová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1677035</wp:posOffset>
                </wp:positionH>
                <wp:positionV relativeFrom="paragraph">
                  <wp:posOffset>1570990</wp:posOffset>
                </wp:positionV>
                <wp:extent cx="1639570" cy="58229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9570" cy="582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Zdravotnická záchranná služba Jihomoravského kraje, p.o.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Kamenice 798/1 d, 625 oo Brno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1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32.05000000000001pt;margin-top:123.7pt;width:129.09999999999999pt;height:45.8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Zdravotnická záchranná služba Jihomoravského kraje, p.o.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Kamenice 798/1 d, 625 oo Brno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1268095" distL="114300" distR="3512820" simplePos="0" relativeHeight="125829381" behindDoc="0" locked="0" layoutInCell="1" allowOverlap="1">
            <wp:simplePos x="0" y="0"/>
            <wp:positionH relativeFrom="page">
              <wp:posOffset>2138045</wp:posOffset>
            </wp:positionH>
            <wp:positionV relativeFrom="paragraph">
              <wp:posOffset>317500</wp:posOffset>
            </wp:positionV>
            <wp:extent cx="804545" cy="262255"/>
            <wp:wrapSquare wrapText="lef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04545" cy="2622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15570" distB="635" distL="1976755" distR="114300" simplePos="0" relativeHeight="125829382" behindDoc="0" locked="0" layoutInCell="1" allowOverlap="1">
            <wp:simplePos x="0" y="0"/>
            <wp:positionH relativeFrom="page">
              <wp:posOffset>4000500</wp:posOffset>
            </wp:positionH>
            <wp:positionV relativeFrom="paragraph">
              <wp:posOffset>433070</wp:posOffset>
            </wp:positionV>
            <wp:extent cx="2340610" cy="1414145"/>
            <wp:wrapSquare wrapText="lef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340610" cy="14141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Dáno ve dvou originálních písemných vyhotoveních, z nichž každá ze smluvních stran obdrží po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Vypůjčitel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Příloha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Specifikace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cs-CZ" w:eastAsia="cs-CZ" w:bidi="cs-CZ"/>
        </w:rPr>
        <w:t>SPECIFIKACE</w:t>
      </w:r>
      <w:bookmarkEnd w:id="4"/>
    </w:p>
    <w:tbl>
      <w:tblPr>
        <w:tblOverlap w:val="never"/>
        <w:jc w:val="center"/>
        <w:tblLayout w:type="fixed"/>
      </w:tblPr>
      <w:tblGrid>
        <w:gridCol w:w="2842"/>
        <w:gridCol w:w="6250"/>
      </w:tblGrid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parametru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Požadovaný parametr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zařízeni: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Multifunkční barevné zařízení A3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Dostupné hlavní funkce: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Tisk, kopírování, skenování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Podavač papíru: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Duplex, automatický oboustranný podavač, boční podavač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Zásobník papíru: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Zvlášť zásobníky papíru na formát A4 a A3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Formát tisku: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A4 - A3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Rozlišení kopírování, skenování: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600 x 600 dpi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Rozlišení tisku: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1200 x 1200 dpi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Síťový tisk: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Ethernet, TCP/IP (IPv4/ IPv6), NetBEUI, Ethernet 802.2, Ethernet 802.3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Měřítko při kopírováni: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25 - 400% v krocích min. 1 %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Režimy skenováni: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Síťový TWAIN, do e-mailu, na FTP, na USB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Souborové formáty: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JPEG, TIFF, PDF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Účtování: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uživatelských účtů s podporou Active Directory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Přístup: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dvou strojích s ověřováním bezkontaktní kartou Mifare (čtečky karet vlastníme)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Servis: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 zavolání do 2. pracovního dne</w:t>
            </w:r>
          </w:p>
        </w:tc>
      </w:tr>
    </w:tbl>
    <w:sectPr>
      <w:footerReference w:type="default" r:id="rId11"/>
      <w:footerReference w:type="first" r:id="rId12"/>
      <w:footnotePr>
        <w:pos w:val="pageBottom"/>
        <w:numFmt w:val="decimal"/>
        <w:numRestart w:val="continuous"/>
      </w:footnotePr>
      <w:pgSz w:w="11900" w:h="16840"/>
      <w:pgMar w:top="460" w:right="1347" w:bottom="1300" w:left="1413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10271125</wp:posOffset>
              </wp:positionV>
              <wp:extent cx="2569210" cy="15240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6921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VZ 19-21 Centrální barevné multifunkčních zařízeni A3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66.599999999999994pt;margin-top:808.75pt;width:202.30000000000001pt;height:12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VZ 19-21 Centrální barevné multifunkčních zařízeni A3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6CD2ED"/>
      <w:sz w:val="18"/>
      <w:szCs w:val="18"/>
      <w:u w:val="none"/>
    </w:rPr>
  </w:style>
  <w:style w:type="character" w:customStyle="1" w:styleId="CharStyle8">
    <w:name w:val="Nadpis #1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Základní text (2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">
    <w:name w:val="Nadpis #2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CharStyle18">
    <w:name w:val="Titulek tabulky_"/>
    <w:basedOn w:val="DefaultParagraphFont"/>
    <w:link w:val="Style17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21">
    <w:name w:val="Jiné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80" w:line="27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  <w:spacing w:line="257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CD2ED"/>
      <w:sz w:val="18"/>
      <w:szCs w:val="18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auto"/>
      <w:spacing w:after="6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auto"/>
      <w:spacing w:after="180"/>
      <w:ind w:right="5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4">
    <w:name w:val="Nadpis #2"/>
    <w:basedOn w:val="Normal"/>
    <w:link w:val="CharStyle15"/>
    <w:pPr>
      <w:widowControl w:val="0"/>
      <w:shd w:val="clear" w:color="auto" w:fill="auto"/>
      <w:spacing w:after="24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Style20">
    <w:name w:val="Jiné"/>
    <w:basedOn w:val="Normal"/>
    <w:link w:val="CharStyle21"/>
    <w:pPr>
      <w:widowControl w:val="0"/>
      <w:shd w:val="clear" w:color="auto" w:fill="auto"/>
      <w:spacing w:after="180" w:line="27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