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DODATEK Č. 1</w:t>
        <w:br/>
      </w:r>
      <w:r>
        <w:rPr>
          <w:b/>
          <w:bCs/>
          <w:color w:val="000000"/>
          <w:spacing w:val="0"/>
          <w:w w:val="100"/>
          <w:position w:val="0"/>
          <w:shd w:val="clear" w:color="auto" w:fill="auto"/>
          <w:lang w:val="cs-CZ" w:eastAsia="cs-CZ" w:bidi="cs-CZ"/>
        </w:rPr>
        <w:t>ke smlouvě o dílo „Vypracování projektové dokumentace III/3525 Střítež - most ev. č. 3525-3“, ze dne</w:t>
        <w:br/>
        <w:t>1. 12. 2020</w:t>
      </w:r>
    </w:p>
    <w:p>
      <w:pPr>
        <w:pStyle w:val="Style2"/>
        <w:keepNext w:val="0"/>
        <w:keepLines w:val="0"/>
        <w:widowControl w:val="0"/>
        <w:shd w:val="clear" w:color="auto" w:fill="auto"/>
        <w:bidi w:val="0"/>
        <w:spacing w:before="0" w:after="500" w:line="257"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číslo smlouvy objednatele: </w:t>
      </w:r>
      <w:r>
        <w:rPr>
          <w:b/>
          <w:bCs/>
          <w:i/>
          <w:iCs/>
          <w:color w:val="000000"/>
          <w:spacing w:val="0"/>
          <w:w w:val="100"/>
          <w:position w:val="0"/>
          <w:sz w:val="22"/>
          <w:szCs w:val="22"/>
          <w:shd w:val="clear" w:color="auto" w:fill="auto"/>
          <w:lang w:val="cs-CZ" w:eastAsia="cs-CZ" w:bidi="cs-CZ"/>
        </w:rPr>
        <w:t>ZMR-SL-87-2020</w:t>
      </w:r>
    </w:p>
    <w:p>
      <w:pPr>
        <w:pStyle w:val="Style10"/>
        <w:keepNext w:val="0"/>
        <w:keepLines w:val="0"/>
        <w:widowControl w:val="0"/>
        <w:shd w:val="clear" w:color="auto" w:fill="auto"/>
        <w:bidi w:val="0"/>
        <w:spacing w:before="0" w:after="0" w:line="240" w:lineRule="auto"/>
        <w:ind w:left="4709"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939"/>
        <w:gridCol w:w="6523"/>
      </w:tblGrid>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41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9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45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Ing. Radovan Necid, ředitel organizace</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bl>
      <w:tblPr>
        <w:tblOverlap w:val="never"/>
        <w:jc w:val="left"/>
        <w:tblLayout w:type="fixed"/>
      </w:tblPr>
      <w:tblGrid>
        <w:gridCol w:w="1939"/>
        <w:gridCol w:w="6518"/>
      </w:tblGrid>
      <w:tr>
        <w:trPr>
          <w:trHeight w:val="43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40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r>
        <w:trPr>
          <w:trHeight w:val="35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pStyle w:val="Style10"/>
        <w:keepNext w:val="0"/>
        <w:keepLines w:val="0"/>
        <w:widowControl w:val="0"/>
        <w:shd w:val="clear" w:color="auto" w:fill="auto"/>
        <w:bidi w:val="0"/>
        <w:spacing w:before="0" w:after="0" w:line="240" w:lineRule="auto"/>
        <w:ind w:left="34"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widowControl w:val="0"/>
        <w:spacing w:after="1359" w:line="1" w:lineRule="exact"/>
      </w:pPr>
    </w:p>
    <w:tbl>
      <w:tblPr>
        <w:tblOverlap w:val="never"/>
        <w:jc w:val="left"/>
        <w:tblLayout w:type="fixed"/>
      </w:tblPr>
      <w:tblGrid>
        <w:gridCol w:w="1978"/>
        <w:gridCol w:w="5304"/>
      </w:tblGrid>
      <w:tr>
        <w:trPr>
          <w:trHeight w:val="317"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Kucián statika s.r.o.</w:t>
            </w:r>
          </w:p>
        </w:tc>
      </w:tr>
      <w:tr>
        <w:trPr>
          <w:trHeight w:val="42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17. listopadu 236, 530 02 Pardubice</w:t>
            </w:r>
          </w:p>
        </w:tc>
      </w:tr>
      <w:tr>
        <w:trPr>
          <w:trHeight w:val="3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Martinem Kuciánem, jednatelem</w:t>
            </w:r>
          </w:p>
        </w:tc>
      </w:tr>
    </w:tbl>
    <w:p>
      <w:pPr>
        <w:widowControl w:val="0"/>
        <w:spacing w:after="99" w:line="1" w:lineRule="exact"/>
      </w:pPr>
    </w:p>
    <w:p>
      <w:pPr>
        <w:pStyle w:val="Style10"/>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cs-CZ" w:eastAsia="cs-CZ" w:bidi="cs-CZ"/>
        </w:rPr>
        <w:t>zapsán v obchodním rejstříku u Krajského soudu v Hradci Králové, C 43660 Bankovní spojení:</w:t>
      </w:r>
    </w:p>
    <w:tbl>
      <w:tblPr>
        <w:tblOverlap w:val="never"/>
        <w:jc w:val="left"/>
        <w:tblLayout w:type="fixed"/>
      </w:tblPr>
      <w:tblGrid>
        <w:gridCol w:w="1978"/>
        <w:gridCol w:w="5304"/>
      </w:tblGrid>
      <w:tr>
        <w:trPr>
          <w:trHeight w:val="42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08055475</w:t>
            </w:r>
          </w:p>
        </w:tc>
      </w:tr>
      <w:tr>
        <w:trPr>
          <w:trHeight w:val="31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CZ08055475</w:t>
            </w:r>
          </w:p>
        </w:tc>
      </w:tr>
    </w:tbl>
    <w:p>
      <w:pPr>
        <w:widowControl w:val="0"/>
        <w:spacing w:after="99" w:line="1" w:lineRule="exact"/>
      </w:pP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(společně také jako „</w:t>
      </w:r>
      <w:r>
        <w:rPr>
          <w:b/>
          <w:bCs/>
          <w:i/>
          <w:i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i/>
          <w:i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Změna smluvních podmínek</w:t>
      </w:r>
    </w:p>
    <w:p>
      <w:pPr>
        <w:pStyle w:val="Style2"/>
        <w:keepNext w:val="0"/>
        <w:keepLines w:val="0"/>
        <w:widowControl w:val="0"/>
        <w:numPr>
          <w:ilvl w:val="0"/>
          <w:numId w:val="1"/>
        </w:numPr>
        <w:shd w:val="clear" w:color="auto" w:fill="auto"/>
        <w:tabs>
          <w:tab w:pos="565" w:val="left"/>
        </w:tabs>
        <w:bidi w:val="0"/>
        <w:spacing w:before="0" w:line="240" w:lineRule="auto"/>
        <w:ind w:left="580" w:right="0" w:hanging="580"/>
        <w:jc w:val="left"/>
      </w:pPr>
      <w:r>
        <w:rPr>
          <w:color w:val="000000"/>
          <w:spacing w:val="0"/>
          <w:w w:val="100"/>
          <w:position w:val="0"/>
          <w:shd w:val="clear" w:color="auto" w:fill="auto"/>
          <w:lang w:val="cs-CZ" w:eastAsia="cs-CZ" w:bidi="cs-CZ"/>
        </w:rPr>
        <w:t>Smluvní strany se vzájemně dohodly na změně stávající smlouvy, spočívající v prodloužení smluvního termínu pro část Dokumentace DUSP (čistopis, včetně IČ a projednání s DOSS, odsouhlasený objednatelem), který dle smlouvy o dílo měl být do 60 dnů od předání konceptu DUSP (dle Přílohy A1 technické podmínky).</w:t>
      </w:r>
    </w:p>
    <w:p>
      <w:pPr>
        <w:pStyle w:val="Style2"/>
        <w:keepNext w:val="0"/>
        <w:keepLines w:val="0"/>
        <w:widowControl w:val="0"/>
        <w:numPr>
          <w:ilvl w:val="0"/>
          <w:numId w:val="1"/>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Vzhledem k současné situaci zhotovitel není schopen zajistit kooperaci třetích stran a není schopen zaručit plnění v řádném termínu.</w:t>
      </w:r>
    </w:p>
    <w:tbl>
      <w:tblPr>
        <w:tblOverlap w:val="never"/>
        <w:jc w:val="center"/>
        <w:tblLayout w:type="fixed"/>
      </w:tblPr>
      <w:tblGrid>
        <w:gridCol w:w="5554"/>
        <w:gridCol w:w="3648"/>
      </w:tblGrid>
      <w:tr>
        <w:trPr>
          <w:trHeight w:val="384" w:hRule="exact"/>
        </w:trPr>
        <w:tc>
          <w:tcPr>
            <w:gridSpan w:val="2"/>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Původní znění dle stávající smlouvy:</w:t>
            </w:r>
          </w:p>
        </w:tc>
      </w:tr>
      <w:tr>
        <w:trPr>
          <w:trHeight w:val="840"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200" w:right="0" w:firstLine="0"/>
              <w:jc w:val="left"/>
            </w:pPr>
            <w:r>
              <w:rPr>
                <w:color w:val="000000"/>
                <w:spacing w:val="0"/>
                <w:w w:val="100"/>
                <w:position w:val="0"/>
                <w:shd w:val="clear" w:color="auto" w:fill="auto"/>
                <w:lang w:val="cs-CZ" w:eastAsia="cs-CZ" w:bidi="cs-CZ"/>
              </w:rPr>
              <w:t>Dokumentace DUSP (čistopis, včetně IČ a projednání s DOSS, odsouhlasený objednatelem)</w:t>
            </w:r>
          </w:p>
        </w:tc>
        <w:tc>
          <w:tcPr>
            <w:tcBorders>
              <w:top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do 60 dnů od předání konceptu</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DUSP</w:t>
            </w:r>
          </w:p>
        </w:tc>
      </w:tr>
      <w:tr>
        <w:trPr>
          <w:trHeight w:val="662"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ruší a nahrazuje se novým zněním:</w:t>
            </w:r>
          </w:p>
        </w:tc>
        <w:tc>
          <w:tcPr>
            <w:tcBorders>
              <w:top w:val="single" w:sz="4"/>
            </w:tcBorders>
            <w:shd w:val="clear" w:color="auto" w:fill="FFFFFF"/>
            <w:vAlign w:val="top"/>
          </w:tcPr>
          <w:p>
            <w:pPr>
              <w:widowControl w:val="0"/>
              <w:rPr>
                <w:sz w:val="10"/>
                <w:szCs w:val="10"/>
              </w:rPr>
            </w:pPr>
          </w:p>
        </w:tc>
      </w:tr>
      <w:tr>
        <w:trPr>
          <w:trHeight w:val="845" w:hRule="exact"/>
        </w:trPr>
        <w:tc>
          <w:tcPr>
            <w:tcBorders>
              <w:top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200" w:right="0" w:firstLine="0"/>
              <w:jc w:val="left"/>
            </w:pPr>
            <w:r>
              <w:rPr>
                <w:color w:val="000000"/>
                <w:spacing w:val="0"/>
                <w:w w:val="100"/>
                <w:position w:val="0"/>
                <w:shd w:val="clear" w:color="auto" w:fill="auto"/>
                <w:lang w:val="cs-CZ" w:eastAsia="cs-CZ" w:bidi="cs-CZ"/>
              </w:rPr>
              <w:t>Dokumentace DUSP (čistopis, včetně IČ a projednání s DOSS, odsouhlasený objednatelem)</w:t>
            </w:r>
          </w:p>
        </w:tc>
        <w:tc>
          <w:tcPr>
            <w:tcBorders>
              <w:top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180"/>
              <w:jc w:val="left"/>
            </w:pPr>
            <w:r>
              <w:rPr>
                <w:color w:val="000000"/>
                <w:spacing w:val="0"/>
                <w:w w:val="100"/>
                <w:position w:val="0"/>
                <w:shd w:val="clear" w:color="auto" w:fill="auto"/>
                <w:lang w:val="cs-CZ" w:eastAsia="cs-CZ" w:bidi="cs-CZ"/>
              </w:rPr>
              <w:t>do 31. 05. 2021</w:t>
            </w:r>
          </w:p>
        </w:tc>
      </w:tr>
    </w:tbl>
    <w:p>
      <w:pPr>
        <w:widowControl w:val="0"/>
        <w:spacing w:after="399" w:line="1" w:lineRule="exact"/>
      </w:pPr>
    </w:p>
    <w:p>
      <w:pPr>
        <w:pStyle w:val="Style2"/>
        <w:keepNext w:val="0"/>
        <w:keepLines w:val="0"/>
        <w:widowControl w:val="0"/>
        <w:numPr>
          <w:ilvl w:val="0"/>
          <w:numId w:val="1"/>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Kontaktní osoby a ostatní nedotčená ustanovení shora citované smlouvy se nemění a zůstávají v platnosti.</w:t>
      </w:r>
    </w:p>
    <w:p>
      <w:pPr>
        <w:pStyle w:val="Style18"/>
        <w:keepNext/>
        <w:keepLines/>
        <w:widowControl w:val="0"/>
        <w:shd w:val="clear" w:color="auto" w:fill="auto"/>
        <w:bidi w:val="0"/>
        <w:spacing w:before="0" w:after="120" w:line="240" w:lineRule="auto"/>
        <w:ind w:left="0" w:right="0" w:firstLine="0"/>
        <w:jc w:val="center"/>
      </w:pPr>
      <w:bookmarkStart w:id="0" w:name="bookmark0"/>
      <w:bookmarkStart w:id="1" w:name="bookmark1"/>
      <w:r>
        <w:rPr>
          <w:color w:val="000000"/>
          <w:spacing w:val="0"/>
          <w:w w:val="100"/>
          <w:position w:val="0"/>
          <w:u w:val="none"/>
          <w:shd w:val="clear" w:color="auto" w:fill="auto"/>
          <w:lang w:val="cs-CZ" w:eastAsia="cs-CZ" w:bidi="cs-CZ"/>
        </w:rPr>
        <w:t>Článek 3</w:t>
      </w:r>
      <w:bookmarkEnd w:id="0"/>
      <w:bookmarkEnd w:id="1"/>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3.1. </w:t>
      </w:r>
      <w:r>
        <w:rPr>
          <w:color w:val="000000"/>
          <w:spacing w:val="0"/>
          <w:w w:val="100"/>
          <w:position w:val="0"/>
          <w:shd w:val="clear" w:color="auto" w:fill="auto"/>
          <w:lang w:val="cs-CZ" w:eastAsia="cs-CZ" w:bidi="cs-CZ"/>
        </w:rPr>
        <w:t>Dodatek č. 1 je nedílnou součástí stávající smlouvy.</w:t>
      </w:r>
    </w:p>
    <w:p>
      <w:pPr>
        <w:pStyle w:val="Style2"/>
        <w:keepNext w:val="0"/>
        <w:keepLines w:val="0"/>
        <w:widowControl w:val="0"/>
        <w:shd w:val="clear" w:color="auto" w:fill="auto"/>
        <w:bidi w:val="0"/>
        <w:spacing w:before="0" w:after="120" w:line="240" w:lineRule="auto"/>
        <w:ind w:left="580" w:right="0" w:hanging="580"/>
        <w:jc w:val="both"/>
      </w:pPr>
      <w:r>
        <w:rPr>
          <w:b/>
          <w:bCs/>
          <w:color w:val="000000"/>
          <w:spacing w:val="0"/>
          <w:w w:val="100"/>
          <w:position w:val="0"/>
          <w:shd w:val="clear" w:color="auto" w:fill="auto"/>
          <w:lang w:val="cs-CZ" w:eastAsia="cs-CZ" w:bidi="cs-CZ"/>
        </w:rPr>
        <w:t xml:space="preserve">3.2. </w:t>
      </w:r>
      <w:r>
        <w:rPr>
          <w:color w:val="000000"/>
          <w:spacing w:val="0"/>
          <w:w w:val="100"/>
          <w:position w:val="0"/>
          <w:shd w:val="clear" w:color="auto" w:fill="auto"/>
          <w:lang w:val="cs-CZ" w:eastAsia="cs-CZ" w:bidi="cs-CZ"/>
        </w:rPr>
        <w:t>Dodatek č. 1 je vyhotoven v elektronické podobě, přičemž obě smluvní strany obdrží její elektronický originál.</w:t>
      </w:r>
    </w:p>
    <w:p>
      <w:pPr>
        <w:pStyle w:val="Style2"/>
        <w:keepNext w:val="0"/>
        <w:keepLines w:val="0"/>
        <w:widowControl w:val="0"/>
        <w:numPr>
          <w:ilvl w:val="1"/>
          <w:numId w:val="1"/>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Dodatek č. 1 je platný 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2"/>
        <w:keepNext w:val="0"/>
        <w:keepLines w:val="0"/>
        <w:widowControl w:val="0"/>
        <w:numPr>
          <w:ilvl w:val="1"/>
          <w:numId w:val="1"/>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Dodatek č. 1 je účinný dnem jejího uveřejnění v registru smluv.</w:t>
      </w:r>
    </w:p>
    <w:p>
      <w:pPr>
        <w:pStyle w:val="Style2"/>
        <w:keepNext w:val="0"/>
        <w:keepLines w:val="0"/>
        <w:widowControl w:val="0"/>
        <w:numPr>
          <w:ilvl w:val="1"/>
          <w:numId w:val="1"/>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Dodatek č. 1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1"/>
          <w:numId w:val="1"/>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Přílohy: B1 - Technické podmínky</w:t>
      </w:r>
    </w:p>
    <w:p>
      <w:pPr>
        <w:pStyle w:val="Style2"/>
        <w:keepNext w:val="0"/>
        <w:keepLines w:val="0"/>
        <w:widowControl w:val="0"/>
        <w:shd w:val="clear" w:color="auto" w:fill="auto"/>
        <w:bidi w:val="0"/>
        <w:spacing w:before="0" w:after="260" w:line="240" w:lineRule="auto"/>
        <w:ind w:left="0" w:right="0" w:firstLine="0"/>
        <w:jc w:val="both"/>
        <w:sectPr>
          <w:footerReference w:type="default" r:id="rId5"/>
          <w:footerReference w:type="even" r:id="rId6"/>
          <w:footnotePr>
            <w:pos w:val="pageBottom"/>
            <w:numFmt w:val="decimal"/>
            <w:numRestart w:val="continuous"/>
          </w:footnotePr>
          <w:pgSz w:w="11900" w:h="16840"/>
          <w:pgMar w:top="1609" w:left="938" w:right="585" w:bottom="1399" w:header="1181" w:footer="3" w:gutter="0"/>
          <w:pgNumType w:start="1"/>
          <w:cols w:space="720"/>
          <w:noEndnote/>
          <w:rtlGutter w:val="0"/>
          <w:docGrid w:linePitch="360"/>
        </w:sectPr>
      </w:pPr>
      <w:r>
        <w:rPr>
          <w:color w:val="000000"/>
          <w:spacing w:val="0"/>
          <w:w w:val="100"/>
          <w:position w:val="0"/>
          <w:shd w:val="clear" w:color="auto" w:fill="auto"/>
          <w:lang w:val="cs-CZ" w:eastAsia="cs-CZ" w:bidi="cs-CZ"/>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2"/>
        <w:keepNext w:val="0"/>
        <w:keepLines w:val="0"/>
        <w:framePr w:w="1406" w:h="336" w:wrap="none" w:hAnchor="page" w:x="1833"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Pardubicích</w:t>
      </w:r>
    </w:p>
    <w:p>
      <w:pPr>
        <w:pStyle w:val="Style2"/>
        <w:keepNext w:val="0"/>
        <w:keepLines w:val="0"/>
        <w:framePr w:w="926" w:h="336" w:wrap="none" w:hAnchor="page" w:x="6613"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p>
      <w:pPr>
        <w:pStyle w:val="Style2"/>
        <w:keepNext w:val="0"/>
        <w:keepLines w:val="0"/>
        <w:framePr w:w="883" w:h="336" w:wrap="none" w:hAnchor="page" w:x="3709" w:y="20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framePr w:w="1829" w:h="336" w:wrap="none" w:hAnchor="page" w:x="8020" w:y="20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footnotePr>
          <w:pgSz w:w="11900" w:h="16840"/>
          <w:pgMar w:top="2564" w:left="1832" w:right="2053" w:bottom="1086" w:header="2136" w:footer="3" w:gutter="0"/>
          <w:cols w:space="720"/>
          <w:noEndnote/>
          <w:rtlGutter w:val="0"/>
          <w:docGrid w:linePitch="360"/>
        </w:sectPr>
      </w:pP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ind w:left="0" w:right="0" w:firstLine="0"/>
        <w:jc w:val="center"/>
      </w:pPr>
      <w:r>
        <w:rPr>
          <w:b/>
          <w:bCs/>
          <w:color w:val="000000"/>
          <w:spacing w:val="0"/>
          <w:w w:val="100"/>
          <w:position w:val="0"/>
          <w:shd w:val="clear" w:color="auto" w:fill="auto"/>
          <w:lang w:val="cs-CZ" w:eastAsia="cs-CZ" w:bidi="cs-CZ"/>
        </w:rPr>
        <w:t>Technické podmínky</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0"/>
        <w:jc w:val="both"/>
      </w:pPr>
      <w:bookmarkStart w:id="2" w:name="bookmark2"/>
      <w:bookmarkStart w:id="3" w:name="bookmark3"/>
      <w:r>
        <w:rPr>
          <w:color w:val="000000"/>
          <w:spacing w:val="0"/>
          <w:w w:val="100"/>
          <w:position w:val="0"/>
          <w:shd w:val="clear" w:color="auto" w:fill="auto"/>
          <w:lang w:val="cs-CZ" w:eastAsia="cs-CZ" w:bidi="cs-CZ"/>
        </w:rPr>
        <w:t>„III/3525 Střítež - most ev. č. 3525-3"</w:t>
      </w:r>
      <w:bookmarkEnd w:id="2"/>
      <w:bookmarkEnd w:id="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0"/>
        <w:jc w:val="both"/>
      </w:pPr>
      <w:r>
        <w:rPr>
          <w:color w:val="000000"/>
          <w:spacing w:val="0"/>
          <w:w w:val="100"/>
          <w:position w:val="0"/>
          <w:shd w:val="clear" w:color="auto" w:fill="auto"/>
          <w:lang w:val="cs-CZ" w:eastAsia="cs-CZ" w:bidi="cs-CZ"/>
        </w:rPr>
        <w:t>Předmětem plnění je: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Geodetické zaměření předmětného území (výškopisné a polohopisné zaměření) v potřebném rozsahu rekonstrukce mostu.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Vypracování projektové dokumentace ve stupni pro vydání společného územního a stavebního povolení (DUSP).</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Zajištění potřebných pravomocných společných územních a stavebních povolení (ÚSP), včetně všech požadovaných příloh, dokladů a vyjádření.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SP k příslušnému stavebnímu úřadu včetně všech požadovaných příloh.</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Vypracování projektové dokumentace pro provádění stavby (PDPS) včetně oceněného a neoceněného soupisu prací.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Výkon autorského dozoru při realizaci stavby.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ind w:left="0" w:right="0" w:firstLine="0"/>
        <w:jc w:val="both"/>
      </w:pPr>
      <w:r>
        <w:rPr>
          <w:color w:val="000000"/>
          <w:spacing w:val="0"/>
          <w:w w:val="100"/>
          <w:position w:val="0"/>
          <w:shd w:val="clear" w:color="auto" w:fill="auto"/>
          <w:lang w:val="cs-CZ" w:eastAsia="cs-CZ" w:bidi="cs-CZ"/>
        </w:rPr>
        <w:t>Stávající most ev. č. 3525-3 převádí silnici III/3525 v km 1,650 provozního staničení přes Měšínský potok. Most neznámého roku postavení se nachází v obci Střítež, v okrese Jihlava, pod výpustí z obecního rybníka. Jedná se o jednopolový most s nosnou konstrukcí vyzděnou z lomového kamene ve tvaru půlkruhové klenby. Podhled klenby je opatřený torkretem. Most je pravděpodobně založený plošně. Opěry jsou zděné z kamenných kvádrů. Čelní zdi a křídla jsou taktéž zděné z lomového kamene opatřené torkretem. Mostní závěry ani ložiska nejsou u tohoto typu konstrukce prováděny. Izolace mostu zřejmě chybí nebo je již ztrávená. Mostní římsy jsou monolitické železobetonové. Vozovka na mostě je s živičným krytem a s nezpevněnou krajnicí. Z důvodu převrstvení vozovky nejsou na mostě odrazné proužky. Na obou stranách mostu je ocelové zábradlí s vodorovnými madly a silniční svodidlo. Odvodnění mostu je řešeno jednostranným příčným a podélným sklonem vozovky, na povodní straně mostu jsou provedeny skluzy. Dno pod mostem je zpevněno kamennou dlažbou. V souběhu s mostem vede na návodní straně lávka pro pěší. Na povodní straně vede nedaleko mostu vzdušné vedení NN. Volná šířka mostu je 8,00 m, celková šířka 8,70 m. Délka přemostění je 2,90 m, délka nosné konstrukce 3,80 m. Výška mostu nad terénem je 3,60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ind w:left="0" w:right="0" w:firstLine="0"/>
        <w:jc w:val="both"/>
        <w:sectPr>
          <w:headerReference w:type="default" r:id="rId7"/>
          <w:footerReference w:type="default" r:id="rId8"/>
          <w:headerReference w:type="even" r:id="rId9"/>
          <w:footerReference w:type="even" r:id="rId10"/>
          <w:footnotePr>
            <w:pos w:val="pageBottom"/>
            <w:numFmt w:val="decimal"/>
            <w:numRestart w:val="continuous"/>
          </w:footnotePr>
          <w:pgSz w:w="11900" w:h="16840"/>
          <w:pgMar w:top="1239" w:left="1364" w:right="1369" w:bottom="1239" w:header="0" w:footer="3" w:gutter="0"/>
          <w:pgNumType w:start="1"/>
          <w:cols w:space="720"/>
          <w:noEndnote/>
          <w:rtlGutter w:val="0"/>
          <w:docGrid w:linePitch="360"/>
        </w:sectPr>
      </w:pPr>
      <w:r>
        <w:rPr>
          <w:color w:val="000000"/>
          <w:spacing w:val="0"/>
          <w:w w:val="100"/>
          <w:position w:val="0"/>
          <w:shd w:val="clear" w:color="auto" w:fill="auto"/>
          <w:lang w:val="cs-CZ" w:eastAsia="cs-CZ" w:bidi="cs-CZ"/>
        </w:rPr>
        <w:t>Stavební stav spodní stavby je ve stupni V - špatný a stav nosné konstrukce ve stupni IV - uspokojivý. Zatížitelnost mostu je omezena dopravním značením na 28 tun (34 tun pro jediné vozidlo). Založení mostu je bez viditelných závad. Kamenné zdivo má místy vypadanou spárovou maltu, trhliny ve spárách. Křídla jsou v úrovni hladiny podemletá a začínají se rozpadat. Torkret je lokálně popraskaný a odpadává. Vozovka je v dobrém stavu, na krajnicích jsou nánosy posypového materiálu. Římsy jsou nižší než vozovka, jejich povrch hloubkově degraduje a odkrytá výztuž koroduje. Vlivem absence nebo ztrávené izolace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324" w:lineRule="auto"/>
        <w:ind w:left="0" w:right="0" w:firstLine="8180"/>
        <w:jc w:val="both"/>
      </w:pPr>
      <w:r>
        <w:rPr>
          <w:color w:val="000000"/>
          <w:spacing w:val="0"/>
          <w:w w:val="100"/>
          <w:position w:val="0"/>
          <w:sz w:val="22"/>
          <w:szCs w:val="22"/>
          <w:shd w:val="clear" w:color="auto" w:fill="auto"/>
          <w:lang w:val="cs-CZ" w:eastAsia="cs-CZ" w:bidi="cs-CZ"/>
        </w:rPr>
        <w:t xml:space="preserve">Příloha A1 </w:t>
      </w:r>
      <w:r>
        <w:rPr>
          <w:color w:val="000000"/>
          <w:spacing w:val="0"/>
          <w:w w:val="100"/>
          <w:position w:val="0"/>
          <w:shd w:val="clear" w:color="auto" w:fill="auto"/>
          <w:lang w:val="cs-CZ" w:eastAsia="cs-CZ" w:bidi="cs-CZ"/>
        </w:rPr>
        <w:t>dochází k průsaku celou konstrukcí mostu. Zábradlí je zkorodované a nevyhovující, svodidlo je nedostatečně kotvené.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ind w:left="0" w:right="0" w:firstLine="0"/>
        <w:jc w:val="both"/>
      </w:pPr>
      <w:r>
        <w:rPr>
          <w:color w:val="000000"/>
          <w:spacing w:val="0"/>
          <w:w w:val="100"/>
          <w:position w:val="0"/>
          <w:shd w:val="clear" w:color="auto" w:fill="auto"/>
          <w:lang w:val="cs-CZ" w:eastAsia="cs-CZ" w:bidi="cs-CZ"/>
        </w:rPr>
        <w:t>Vzhledem ke stavebně-technickému stavu mostu ev. č. 3525-3 je nutné v nejbližší době řešit jeho zásadnější rekonstrukci. Cílem rekonstrukce mostu by mělo být mimo jiné odstranění stávajícího omezení zatížitelnosti. Zadavatel však předpokládá, že vzhledem ke stavu mostu a zejména typu a provedení konstrukce, bude nutná jeho kompletní demolice a následná výstavba nového mostu. Zadavatel má k dispozici Diagnostický průzkum mostu ev. č. 3525-3, z dubna roku 2019, zpracovaný společností Diagnostika stavebních konstrukcí s.r.o., Svobody 814, Liberec 15, 460 15. Tento průzkum bude sloužit jako podklad pro zpracování projektové dokumentace rekonstrukce mostu ev. č. 3525-3.</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76" w:lineRule="auto"/>
        <w:ind w:left="0" w:right="0" w:firstLine="0"/>
        <w:jc w:val="both"/>
      </w:pPr>
      <w:r>
        <w:rPr>
          <w:color w:val="000000"/>
          <w:spacing w:val="0"/>
          <w:w w:val="100"/>
          <w:position w:val="0"/>
          <w:shd w:val="clear" w:color="auto" w:fill="auto"/>
          <w:lang w:val="cs-CZ" w:eastAsia="cs-CZ" w:bidi="cs-CZ"/>
        </w:rPr>
        <w:t>Zadavatel předpokládá, že stavební realizace bude probíhat za uzavřeného silničního provozu. Předpokládaná doba realizace stavebních prací - rok 2021/2022.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76" w:lineRule="auto"/>
        <w:ind w:left="0" w:right="0" w:firstLine="0"/>
        <w:jc w:val="both"/>
      </w:pPr>
      <w:r>
        <w:rPr>
          <w:color w:val="000000"/>
          <w:spacing w:val="0"/>
          <w:w w:val="100"/>
          <w:position w:val="0"/>
          <w:shd w:val="clear" w:color="auto" w:fill="auto"/>
          <w:lang w:val="cs-CZ" w:eastAsia="cs-CZ" w:bidi="cs-CZ"/>
        </w:rPr>
        <w:t>Projektové dokumentace v jednotlivých stupních budou vypracovány v rozsahu daném platnými předpisy v době zpracování a předání dokončeného předmětu plnění.</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pPr>
      <w:bookmarkStart w:id="4" w:name="bookmark4"/>
      <w:bookmarkStart w:id="5" w:name="bookmark5"/>
      <w:r>
        <w:rPr>
          <w:color w:val="000000"/>
          <w:spacing w:val="0"/>
          <w:w w:val="100"/>
          <w:position w:val="0"/>
          <w:shd w:val="clear" w:color="auto" w:fill="auto"/>
          <w:lang w:val="cs-CZ" w:eastAsia="cs-CZ" w:bidi="cs-CZ"/>
        </w:rPr>
        <w:t>Technické podmínky</w:t>
      </w:r>
      <w:bookmarkEnd w:id="4"/>
      <w:bookmarkEnd w:id="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0"/>
        <w:jc w:val="left"/>
      </w:pPr>
      <w:r>
        <w:rPr>
          <w:color w:val="000000"/>
          <w:spacing w:val="0"/>
          <w:w w:val="100"/>
          <w:position w:val="0"/>
          <w:u w:val="single"/>
          <w:shd w:val="clear" w:color="auto" w:fill="auto"/>
          <w:lang w:val="cs-CZ" w:eastAsia="cs-CZ" w:bidi="cs-CZ"/>
        </w:rPr>
        <w:t>Vypracování dokumentace pro společné územní a stavební povolení a pro provádění stavby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ind w:left="0" w:right="0" w:firstLine="0"/>
        <w:jc w:val="both"/>
      </w:pPr>
      <w:r>
        <w:rPr>
          <w:color w:val="000000"/>
          <w:spacing w:val="0"/>
          <w:w w:val="100"/>
          <w:position w:val="0"/>
          <w:shd w:val="clear" w:color="auto" w:fill="auto"/>
          <w:lang w:val="cs-CZ" w:eastAsia="cs-CZ" w:bidi="cs-CZ"/>
        </w:rPr>
        <w:t>Rozsah a obsah dokumentace je stanoven Směrnicí pro dokumentaci staveb pozemních komunikací, schválenou Ministerstvem dopravy, č. j. 158/2017-120-TN/1 ze dne 9. 8. 2017 s účinností ode dne 14. 8. 2017 (platný Dodatek č. 1 byl schválen MD-OPK pod č. j. 66/2018- 120-TN ze dne 19.3.2018 s účinností od 1.4.2018); a dále aktuálním zněním vyhlášky č. 499/2006 Sb., o dokumentaci staveb; aktuálním zněním vyhlášky č. 169/2016 Sb., o stanovení rozsahu dokumentace veřejné zakázky na stavební práce a soupisu stavebních prací, dodávek a služeb; a aktuálním zněním vyhlášky č. 146/2008 Sb. o rozsahu o obsahu projektové dokumentace dopravních staveb; a bude obsahovat zejména:</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580" w:right="0" w:hanging="420"/>
        <w:jc w:val="both"/>
      </w:pPr>
      <w:r>
        <w:rPr>
          <w:color w:val="000000"/>
          <w:spacing w:val="0"/>
          <w:w w:val="100"/>
          <w:position w:val="0"/>
          <w:shd w:val="clear" w:color="auto" w:fill="auto"/>
          <w:lang w:val="cs-CZ" w:eastAsia="cs-CZ" w:bidi="cs-CZ"/>
        </w:rPr>
        <w:t>Vlastní návrh technického řešení rekonstrukce mostu (projednaný mezi zhotovitelem a zadavatelem na vstupním výrobním výboru) dle výsledku zpracovaného diagnostického průzkumu.</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580" w:right="0" w:hanging="420"/>
        <w:jc w:val="both"/>
      </w:pPr>
      <w:r>
        <w:rPr>
          <w:color w:val="000000"/>
          <w:spacing w:val="0"/>
          <w:w w:val="100"/>
          <w:position w:val="0"/>
          <w:shd w:val="clear" w:color="auto" w:fill="auto"/>
          <w:lang w:val="cs-CZ" w:eastAsia="cs-CZ" w:bidi="cs-CZ"/>
        </w:rPr>
        <w:t>Geodetické zaměření předmětného území (výškopisné a polohopisné zaměření) v potřebném rozsahu rekonstrukce mostu.</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0" w:right="0" w:firstLine="160"/>
        <w:jc w:val="both"/>
      </w:pPr>
      <w:r>
        <w:rPr>
          <w:color w:val="000000"/>
          <w:spacing w:val="0"/>
          <w:w w:val="100"/>
          <w:position w:val="0"/>
          <w:shd w:val="clear" w:color="auto" w:fill="auto"/>
          <w:lang w:val="cs-CZ" w:eastAsia="cs-CZ" w:bidi="cs-CZ"/>
        </w:rPr>
        <w:t>Zákres stavby do aktuální katastrální mapy.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580" w:right="0" w:hanging="420"/>
        <w:jc w:val="both"/>
      </w:pPr>
      <w:r>
        <w:rPr>
          <w:color w:val="000000"/>
          <w:spacing w:val="0"/>
          <w:w w:val="100"/>
          <w:position w:val="0"/>
          <w:shd w:val="clear" w:color="auto" w:fill="auto"/>
          <w:lang w:val="cs-CZ" w:eastAsia="cs-CZ" w:bidi="cs-CZ"/>
        </w:rPr>
        <w:t>Podrobný inženýrskogeologický, geotechnický a hydrogeologický průzkum daného území (pokud bude pro zpracování PD a vydání příslušných stanovisek a povolení nutné).</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0" w:right="0" w:firstLine="160"/>
        <w:jc w:val="both"/>
      </w:pPr>
      <w:r>
        <w:rPr>
          <w:color w:val="000000"/>
          <w:spacing w:val="0"/>
          <w:w w:val="100"/>
          <w:position w:val="0"/>
          <w:shd w:val="clear" w:color="auto" w:fill="auto"/>
          <w:lang w:val="cs-CZ" w:eastAsia="cs-CZ" w:bidi="cs-CZ"/>
        </w:rPr>
        <w:t>Vytyčovací výkres 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0" w:right="0" w:firstLine="160"/>
        <w:jc w:val="both"/>
      </w:pPr>
      <w:r>
        <w:rPr>
          <w:color w:val="000000"/>
          <w:spacing w:val="0"/>
          <w:w w:val="100"/>
          <w:position w:val="0"/>
          <w:shd w:val="clear" w:color="auto" w:fill="auto"/>
          <w:lang w:val="cs-CZ" w:eastAsia="cs-CZ" w:bidi="cs-CZ"/>
        </w:rPr>
        <w:t>Definitivní dopravní značení včetně příslušných projednání.</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0" w:right="0" w:firstLine="160"/>
        <w:jc w:val="both"/>
      </w:pPr>
      <w:r>
        <w:rPr>
          <w:color w:val="000000"/>
          <w:spacing w:val="0"/>
          <w:w w:val="100"/>
          <w:position w:val="0"/>
          <w:shd w:val="clear" w:color="auto" w:fill="auto"/>
          <w:lang w:val="cs-CZ" w:eastAsia="cs-CZ" w:bidi="cs-CZ"/>
        </w:rPr>
        <w:t>Situace v měřítku min. 1:500.</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0"/>
        <w:ind w:left="0" w:right="0" w:firstLine="160"/>
        <w:jc w:val="both"/>
      </w:pPr>
      <w:r>
        <w:rPr>
          <w:color w:val="000000"/>
          <w:spacing w:val="0"/>
          <w:w w:val="100"/>
          <w:position w:val="0"/>
          <w:shd w:val="clear" w:color="auto" w:fill="auto"/>
          <w:lang w:val="cs-CZ" w:eastAsia="cs-CZ" w:bidi="cs-CZ"/>
        </w:rPr>
        <w:t>Zásady organizace výstavby.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3" w:val="left"/>
        </w:tabs>
        <w:bidi w:val="0"/>
        <w:spacing w:before="0" w:after="180"/>
        <w:ind w:left="0" w:right="0" w:firstLine="160"/>
        <w:jc w:val="both"/>
        <w:sectPr>
          <w:footnotePr>
            <w:pos w:val="pageBottom"/>
            <w:numFmt w:val="decimal"/>
            <w:numRestart w:val="continuous"/>
          </w:footnotePr>
          <w:pgSz w:w="11900" w:h="16840"/>
          <w:pgMar w:top="687" w:left="1368" w:right="1368" w:bottom="1205" w:header="0" w:footer="3" w:gutter="0"/>
          <w:cols w:space="720"/>
          <w:noEndnote/>
          <w:rtlGutter w:val="0"/>
          <w:docGrid w:linePitch="360"/>
        </w:sectPr>
      </w:pPr>
      <w:r>
        <w:rPr>
          <w:color w:val="000000"/>
          <w:spacing w:val="0"/>
          <w:w w:val="100"/>
          <w:position w:val="0"/>
          <w:shd w:val="clear" w:color="auto" w:fill="auto"/>
          <w:lang w:val="cs-CZ" w:eastAsia="cs-CZ" w:bidi="cs-CZ"/>
        </w:rPr>
        <w:t>Statický výpočet, hydrotechnický výpočet.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Návrh kácení stromů včetně vyznačení v situaci, dendrologický průzkum (pokud bude pro zpracování PD a vydání příslušných stanovisek a povolení nutné),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zhotovitelem PD zažádat o výjimku z ochrany zvláště chráněných druhů na odboru životního prostředí Krajského úřadu Kraje Vysočina).</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0" w:right="0" w:firstLine="160"/>
        <w:jc w:val="both"/>
      </w:pPr>
      <w:r>
        <w:rPr>
          <w:color w:val="000000"/>
          <w:spacing w:val="0"/>
          <w:w w:val="100"/>
          <w:position w:val="0"/>
          <w:shd w:val="clear" w:color="auto" w:fill="auto"/>
          <w:lang w:val="cs-CZ" w:eastAsia="cs-CZ" w:bidi="cs-CZ"/>
        </w:rPr>
        <w:t>Prověření průběhu inženýrských sítí, přeložky inženýrských sítí.</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Záborový elaborát s tabulkou dotčených pozemků pro dočasný a trvalý zábor a zákres do katastrální mapy včetně sousedních pozemků, pro zřízení věcných břemen bude vyčísleno dotčení jednotlivých pozemků: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1460" w:right="0" w:hanging="42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Zajištění souhlasu s vynětím pozemků trvale dotčených stavbou silnice ze ZPF a PUPFL včetně zpracování Pedologického průzkumu.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4" w:lineRule="auto"/>
        <w:ind w:left="1040" w:right="0" w:firstLine="0"/>
        <w:jc w:val="left"/>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 xml:space="preserve">Zajištění souhlasu s dočasným vynětím pozemků dočasného záboru ze ZPF. </w:t>
      </w: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Součinnost zhotovitele při jednáních s vlastníky dotčených pozemků.</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0" w:right="0" w:firstLine="160"/>
        <w:jc w:val="both"/>
      </w:pPr>
      <w:r>
        <w:rPr>
          <w:color w:val="000000"/>
          <w:spacing w:val="0"/>
          <w:w w:val="100"/>
          <w:position w:val="0"/>
          <w:shd w:val="clear" w:color="auto" w:fill="auto"/>
          <w:lang w:val="cs-CZ" w:eastAsia="cs-CZ" w:bidi="cs-CZ"/>
        </w:rPr>
        <w:t>Odhad stavebních nákladů.</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Vyřešení nakládání s odpady dle vyhlášky č. 130/2019, kdy u stávajících směsí stmelených asfaltovými pojivy bude např. provedením a rozborem jádrového odvrtu prověřen obsah PAU (dehtu), a v případě jeho zastižení bude tato směs jako odpad v maximální možné znovupoužita na stavbě, čemuž bude přizpůsobeno technické řešení.</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Podání žádosti o společné územní a stavební povolení, zajištění vydání ÚSP včetně potřebné inženýrské činnosti (např. dořešení změn PD v průběhu ÚSŘ), získání doložky nabytí právní moci ÚSP.</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0" w:right="0" w:firstLine="160"/>
        <w:jc w:val="both"/>
      </w:pPr>
      <w:r>
        <w:rPr>
          <w:color w:val="000000"/>
          <w:spacing w:val="0"/>
          <w:w w:val="100"/>
          <w:position w:val="0"/>
          <w:shd w:val="clear" w:color="auto" w:fill="auto"/>
          <w:lang w:val="cs-CZ" w:eastAsia="cs-CZ" w:bidi="cs-CZ"/>
        </w:rPr>
        <w:t>Výkaz výměr s bilancí prací.</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0" w:right="0" w:firstLine="160"/>
        <w:jc w:val="both"/>
      </w:pPr>
      <w:r>
        <w:rPr>
          <w:color w:val="000000"/>
          <w:spacing w:val="0"/>
          <w:w w:val="100"/>
          <w:position w:val="0"/>
          <w:shd w:val="clear" w:color="auto" w:fill="auto"/>
          <w:lang w:val="cs-CZ" w:eastAsia="cs-CZ" w:bidi="cs-CZ"/>
        </w:rPr>
        <w:t>Plán BOZP potvrzený koordinátorem BOZP.</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Zajištění projednání, potřebných kladných vyjádření a souhlasných stanovisek všech orgánů státní správy a samosprávy, organizací a správců dotčených inženýrských sítí pro vydání společného územního a stavebního povolení, vč. případného následného zapracování změn do projektové dokumentace.</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ind w:left="580" w:right="0" w:hanging="420"/>
        <w:jc w:val="both"/>
      </w:pPr>
      <w:r>
        <w:rPr>
          <w:color w:val="000000"/>
          <w:spacing w:val="0"/>
          <w:w w:val="100"/>
          <w:position w:val="0"/>
          <w:shd w:val="clear" w:color="auto" w:fill="auto"/>
          <w:lang w:val="cs-CZ" w:eastAsia="cs-CZ" w:bidi="cs-CZ"/>
        </w:rPr>
        <w:t>Neoceněný soupis prací, oceněný soupis prací (kontrolní rozpočet pro potřeby zadavatele), soupis prací bude zpracován v rozpočtovém programu Aspe (v oborovém třídníku stavebních konstrukcí OTSKP) v souladu s vyhláškou č. 499/2006 Sb. o dokumentaci staveb, v platném znění; a vyhláškou č. 169/2016 Sb., o stanovení rozsahu dokumentace veřejné zakázky na stavební práce a soupisu stavebních prací, dodávek a služeb, v platném znění.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sectPr>
          <w:footnotePr>
            <w:pos w:val="pageBottom"/>
            <w:numFmt w:val="decimal"/>
            <w:numRestart w:val="continuous"/>
          </w:footnotePr>
          <w:pgSz w:w="11900" w:h="16840"/>
          <w:pgMar w:top="1110" w:left="1368" w:right="1373" w:bottom="1206" w:header="0" w:footer="3" w:gutter="0"/>
          <w:cols w:space="720"/>
          <w:noEndnote/>
          <w:rtlGutter w:val="0"/>
          <w:docGrid w:linePitch="360"/>
        </w:sectPr>
      </w:pPr>
      <w:r>
        <w:rPr>
          <w:color w:val="000000"/>
          <w:spacing w:val="0"/>
          <w:w w:val="100"/>
          <w:position w:val="0"/>
          <w:shd w:val="clear" w:color="auto" w:fill="auto"/>
          <w:lang w:val="cs-CZ" w:eastAsia="cs-CZ" w:bidi="cs-CZ"/>
        </w:rPr>
        <w:t>Majetkoprávní příprava, včetně zajištění příslušných smluv není součástí předmětu plnění a bude realizována zadavatelem. Zhotovitel zajistí pouze souhlasy dotčených vlastníků pozemků na situační výkres stavby v souladu s §110 a §184a zákona 183/2006 Sb.,</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90" w:lineRule="auto"/>
        <w:ind w:left="0" w:right="0" w:firstLine="8180"/>
        <w:jc w:val="both"/>
      </w:pPr>
      <w:r>
        <w:rPr>
          <w:color w:val="000000"/>
          <w:spacing w:val="0"/>
          <w:w w:val="100"/>
          <w:position w:val="0"/>
          <w:sz w:val="22"/>
          <w:szCs w:val="22"/>
          <w:shd w:val="clear" w:color="auto" w:fill="auto"/>
          <w:lang w:val="cs-CZ" w:eastAsia="cs-CZ" w:bidi="cs-CZ"/>
        </w:rPr>
        <w:t xml:space="preserve">Příloha A1 </w:t>
      </w:r>
      <w:r>
        <w:rPr>
          <w:color w:val="000000"/>
          <w:spacing w:val="0"/>
          <w:w w:val="100"/>
          <w:position w:val="0"/>
          <w:shd w:val="clear" w:color="auto" w:fill="auto"/>
          <w:lang w:val="cs-CZ" w:eastAsia="cs-CZ" w:bidi="cs-CZ"/>
        </w:rPr>
        <w:t>o územním plánování a stavebním řádu, v platném znění (stavební zákon), s účinností od 1. 1. 2018. Zhotovitel je však dále povinen spolupracovat se zadavatelem při jednání s vlastníky, tj. písemně informovat vlastníky dotčených pozemků o záměru realizovat stavbu, odpovídat na případné otázky vlastníků dotčených pozemků týkajících se technických záležitostí stavby a svolat výrobní výbor za účasti vlastníků dotčených pozemků, zástupců zadavatele a zástupců obcí, v jejímž katastru se bude záměr realizovat.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pPr>
      <w:r>
        <w:rPr>
          <w:color w:val="000000"/>
          <w:spacing w:val="0"/>
          <w:w w:val="100"/>
          <w:position w:val="0"/>
          <w:shd w:val="clear" w:color="auto" w:fill="auto"/>
          <w:lang w:val="cs-CZ" w:eastAsia="cs-CZ" w:bidi="cs-CZ"/>
        </w:rPr>
        <w:t>Dokumentace bude projednána na výrobních výborech (minimálně 3x) za účasti všech orgánů, organizací a vlastníků pozemků, dotčených touto stavbou. Před dokončením a odevzdáním každého stupně projektové dokumentace (tj. DUSP a PDPS) budou svolány tzv. technicko-dokumentační komise (TDK) za účasti zástupců zřizovatele KSÚSV (Odbor dopravy a silničního hospodářství Kraje Vysočina). Zadavateli a zástupci zřizovatele bude zhotovitelem v dostatečném předstihu (7 dní) zaslána projektová dokumentace jako podklad pro TDK. Výrobní výbory a TDK svolává a zápis vyhotovuje zhotovitel projektové dokumentace.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pPr>
      <w:r>
        <w:rPr>
          <w:color w:val="000000"/>
          <w:spacing w:val="0"/>
          <w:w w:val="100"/>
          <w:position w:val="0"/>
          <w:shd w:val="clear" w:color="auto" w:fill="auto"/>
          <w:lang w:val="cs-CZ" w:eastAsia="cs-CZ" w:bidi="cs-CZ"/>
        </w:rPr>
        <w:t>Po definitivním odsouhlasení zadavatelem bude následně projektová dokumentace ve stupni pro vydání společného územního a stavebního povolení (DUSP) a prováděcí dokumentace (PDPS) předána zadavateli v tištěné podobě a na CD (v plném rozsahu tištěné podoby) v následujícím počtu: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DUSP - 3x v tištěné podobě, vč. dokladové části ve všech paré, 1x v digitální ve formátu *.dwg a *.pdf</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ind w:left="0" w:right="0" w:firstLine="160"/>
        <w:jc w:val="both"/>
      </w:pPr>
      <w:r>
        <w:rPr>
          <w:color w:val="000000"/>
          <w:spacing w:val="0"/>
          <w:w w:val="100"/>
          <w:position w:val="0"/>
          <w:shd w:val="clear" w:color="auto" w:fill="auto"/>
          <w:lang w:val="cs-CZ" w:eastAsia="cs-CZ" w:bidi="cs-CZ"/>
        </w:rPr>
        <w:t>Záborový elaborát - 1x v tištěné podobě, 1x v digitální ve formátu *.pdf nebo *.xls</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ind w:left="580" w:right="0" w:hanging="420"/>
        <w:jc w:val="both"/>
      </w:pPr>
      <w:r>
        <w:rPr>
          <w:color w:val="000000"/>
          <w:spacing w:val="0"/>
          <w:w w:val="100"/>
          <w:position w:val="0"/>
          <w:shd w:val="clear" w:color="auto" w:fill="auto"/>
          <w:lang w:val="cs-CZ" w:eastAsia="cs-CZ" w:bidi="cs-CZ"/>
        </w:rPr>
        <w:t>Geodetické zaměření - 1x v tištěné podobě, 1x v digitální ve formátu *.dwg a *.pdf a vytyčovací síť vytyčovaných bodů ve formátu *.doc, *.xls nebo *.txt</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ind w:left="580" w:right="0" w:hanging="420"/>
        <w:jc w:val="both"/>
      </w:pPr>
      <w:r>
        <w:rPr>
          <w:color w:val="000000"/>
          <w:spacing w:val="0"/>
          <w:w w:val="100"/>
          <w:position w:val="0"/>
          <w:shd w:val="clear" w:color="auto" w:fill="auto"/>
          <w:lang w:val="cs-CZ" w:eastAsia="cs-CZ" w:bidi="cs-CZ"/>
        </w:rPr>
        <w:t>Odhad stavebních nákladů - 1x v tištěné podobě, 1x v digitální ve formátu *.pdf nebo *.xls</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ind w:left="0" w:right="0" w:firstLine="160"/>
        <w:jc w:val="both"/>
      </w:pPr>
      <w:r>
        <w:rPr>
          <w:color w:val="000000"/>
          <w:spacing w:val="0"/>
          <w:w w:val="100"/>
          <w:position w:val="0"/>
          <w:shd w:val="clear" w:color="auto" w:fill="auto"/>
          <w:lang w:val="cs-CZ" w:eastAsia="cs-CZ" w:bidi="cs-CZ"/>
        </w:rPr>
        <w:t>PDPS - 5x v tištěné podobě, 1x v digitální ve formátu *.dwg a *.pdf</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ind w:left="580" w:right="0" w:hanging="420"/>
        <w:jc w:val="both"/>
      </w:pPr>
      <w:r>
        <w:rPr>
          <w:color w:val="000000"/>
          <w:spacing w:val="0"/>
          <w:w w:val="100"/>
          <w:position w:val="0"/>
          <w:shd w:val="clear" w:color="auto" w:fill="auto"/>
          <w:lang w:val="cs-CZ" w:eastAsia="cs-CZ" w:bidi="cs-CZ"/>
        </w:rPr>
        <w:t>Oceněný soupis prací - 1x v tištěné podobě, 1x v digitální ve formátu *.xls(x), *.pdf a *.xml (exportní soubor z Aspe ve formátu XC4)</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240"/>
        <w:ind w:left="580" w:right="0" w:hanging="420"/>
        <w:jc w:val="both"/>
      </w:pPr>
      <w:r>
        <w:rPr>
          <w:color w:val="000000"/>
          <w:spacing w:val="0"/>
          <w:w w:val="100"/>
          <w:position w:val="0"/>
          <w:shd w:val="clear" w:color="auto" w:fill="auto"/>
          <w:lang w:val="cs-CZ" w:eastAsia="cs-CZ" w:bidi="cs-CZ"/>
        </w:rPr>
        <w:t>Neoceněný soupis prací - 1x v tištěné podobě, 1x v digitální ve formátu *.xls(x), *.pdf a *.xml (exportní soubor z Aspe ve formátu XC4)</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pPr>
      <w:r>
        <w:rPr>
          <w:color w:val="000000"/>
          <w:spacing w:val="0"/>
          <w:w w:val="100"/>
          <w:position w:val="0"/>
          <w:u w:val="single"/>
          <w:shd w:val="clear" w:color="auto" w:fill="auto"/>
          <w:lang w:val="cs-CZ" w:eastAsia="cs-CZ" w:bidi="cs-CZ"/>
        </w:rPr>
        <w:t>Zajištění vydání potřebných společných územních a stavebních povolení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76" w:lineRule="auto"/>
        <w:ind w:left="0" w:right="0" w:firstLine="0"/>
        <w:jc w:val="both"/>
      </w:pPr>
      <w:r>
        <w:rPr>
          <w:color w:val="000000"/>
          <w:spacing w:val="0"/>
          <w:w w:val="100"/>
          <w:position w:val="0"/>
          <w:shd w:val="clear" w:color="auto" w:fill="auto"/>
          <w:lang w:val="cs-CZ" w:eastAsia="cs-CZ" w:bidi="cs-CZ"/>
        </w:rPr>
        <w:t>Zpracování potřebných žádostí o vydání společných územních a stavebních povolení včetně všech požadovaných příloh, vyjádření a stanovisek a podání řádných žádostí k příslušným stavebním úřadům dle jednotlivých stavebních objektů a příslušnosti k úřadu, který stavební objekty povoluje.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ind w:left="0" w:right="0" w:firstLine="0"/>
        <w:jc w:val="both"/>
      </w:pPr>
      <w:r>
        <w:rPr>
          <w:color w:val="000000"/>
          <w:spacing w:val="0"/>
          <w:w w:val="100"/>
          <w:position w:val="0"/>
          <w:shd w:val="clear" w:color="auto" w:fill="auto"/>
          <w:lang w:val="cs-CZ" w:eastAsia="cs-CZ" w:bidi="cs-CZ"/>
        </w:rPr>
        <w:t>Před podáním žádostí na příslušné stavební úřady, je zhotovitel povinen odsouhlasit si tyto žádosti včetně všech příloh se zástupci zadavatele.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sectPr>
          <w:footnotePr>
            <w:pos w:val="pageBottom"/>
            <w:numFmt w:val="decimal"/>
            <w:numRestart w:val="continuous"/>
          </w:footnotePr>
          <w:pgSz w:w="11900" w:h="16840"/>
          <w:pgMar w:top="687" w:left="1368" w:right="1373" w:bottom="1205" w:header="0" w:footer="3" w:gutter="0"/>
          <w:cols w:space="720"/>
          <w:noEndnote/>
          <w:rtlGutter w:val="0"/>
          <w:docGrid w:linePitch="360"/>
        </w:sectPr>
      </w:pPr>
      <w:r>
        <w:rPr>
          <w:color w:val="000000"/>
          <w:spacing w:val="0"/>
          <w:w w:val="100"/>
          <w:position w:val="0"/>
          <w:shd w:val="clear" w:color="auto" w:fill="auto"/>
          <w:lang w:val="cs-CZ" w:eastAsia="cs-CZ" w:bidi="cs-CZ"/>
        </w:rPr>
        <w:t>Pravomocná stavební povolení budou předány zadavateli:</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6" w:lineRule="auto"/>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originál každého společného územního a stavebního povolení (ÚSP) v písemné podobě s vyznačením nabytí právní moci + projektová dokumentace pro společné územní a stavební povolení (DUSP) ověřená stavebním úřadem.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0"/>
        <w:jc w:val="both"/>
      </w:pPr>
      <w:r>
        <w:rPr>
          <w:color w:val="000000"/>
          <w:spacing w:val="0"/>
          <w:w w:val="100"/>
          <w:position w:val="0"/>
          <w:u w:val="single"/>
          <w:shd w:val="clear" w:color="auto" w:fill="auto"/>
          <w:lang w:val="cs-CZ" w:eastAsia="cs-CZ" w:bidi="cs-CZ"/>
        </w:rPr>
        <w:t>Výkon autorského dozoru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ind w:left="0" w:right="0" w:firstLine="0"/>
        <w:jc w:val="both"/>
      </w:pPr>
      <w:r>
        <w:rPr>
          <w:color w:val="000000"/>
          <w:spacing w:val="0"/>
          <w:w w:val="100"/>
          <w:position w:val="0"/>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ind w:left="0" w:right="0" w:firstLine="0"/>
        <w:jc w:val="both"/>
      </w:pPr>
      <w:r>
        <w:rPr>
          <w:color w:val="000000"/>
          <w:spacing w:val="0"/>
          <w:w w:val="100"/>
          <w:position w:val="0"/>
          <w:shd w:val="clear" w:color="auto" w:fill="auto"/>
          <w:lang w:val="cs-CZ" w:eastAsia="cs-CZ" w:bidi="cs-CZ"/>
        </w:rPr>
        <w:t>Zhotovitel je povinen při plnění AD poskytnout svoji součinnost vždy bezodkladně poté, kdy bude k tomu zadavatelem vyzván nebo poté, kdy takovou potřebu sám zjistí.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cs-CZ" w:eastAsia="cs-CZ" w:bidi="cs-CZ"/>
        </w:rPr>
        <w:t>Předmětem výkonu AD je především:</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účastnit se předání staveniště dodavateli,</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dohled nad realizací díla,</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posuzování postupu výstavby z technického hlediska a z hlediska časového plánu výstavby,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sledování a kontrola technických a kvalitativních parametrů 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řešit drobné odchylky od projektu, které nebudou vyžadovat zpracování nového projektu případně jeho části nebo dodatku projektové dokumentace,</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posuzovat návrhy zadavatele stavby na změny a odchylky v částech projektů zpracovávaných v rámci realizační dokumentace z pohledu dodržení technicko- ekonomických parametrů, dodržení lhůt výstavby, případně dalších údajů a ukazatelů,</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vyjádření k požadavkům na zvětšený rozsah stavebních prací a dodávek materiálu oproti projektové dokumentaci,</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účast na kontrolních dnech 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380" w:right="0" w:hanging="380"/>
        <w:jc w:val="both"/>
      </w:pPr>
      <w:r>
        <w:rPr>
          <w:color w:val="000000"/>
          <w:spacing w:val="0"/>
          <w:w w:val="100"/>
          <w:position w:val="0"/>
          <w:shd w:val="clear" w:color="auto" w:fill="auto"/>
          <w:lang w:val="cs-CZ" w:eastAsia="cs-CZ" w:bidi="cs-CZ"/>
        </w:rPr>
        <w:t>účast na přejímacím řízení stavby a jejích dílčích částech, případné kolaudaci stavby a řádně spolupracovat při těchto řízeních,</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provádění projekčních prací menšího rozsahu (doplňky a změny),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poskytovat technické konzultace potřebné pro plynulost výstavby,</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0"/>
        <w:ind w:left="0" w:right="0" w:firstLine="0"/>
        <w:jc w:val="both"/>
      </w:pPr>
      <w:r>
        <w:rPr>
          <w:color w:val="000000"/>
          <w:spacing w:val="0"/>
          <w:w w:val="100"/>
          <w:position w:val="0"/>
          <w:shd w:val="clear" w:color="auto" w:fill="auto"/>
          <w:lang w:val="cs-CZ" w:eastAsia="cs-CZ" w:bidi="cs-CZ"/>
        </w:rPr>
        <w:t>konzultovat a podávat upřesnění při vypracování realizační dokumentace,</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365" w:val="left"/>
        </w:tabs>
        <w:bidi w:val="0"/>
        <w:spacing w:before="0" w:after="120"/>
        <w:ind w:left="380" w:right="0" w:hanging="380"/>
        <w:jc w:val="both"/>
      </w:pPr>
      <w:r>
        <w:rPr>
          <w:color w:val="000000"/>
          <w:spacing w:val="0"/>
          <w:w w:val="100"/>
          <w:position w:val="0"/>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0" w:right="0" w:firstLine="0"/>
        <w:jc w:val="both"/>
      </w:pPr>
      <w:r>
        <w:rPr>
          <w:color w:val="000000"/>
          <w:spacing w:val="0"/>
          <w:w w:val="100"/>
          <w:position w:val="0"/>
          <w:shd w:val="clear" w:color="auto" w:fill="auto"/>
          <w:lang w:val="cs-CZ" w:eastAsia="cs-CZ" w:bidi="cs-CZ"/>
        </w:rPr>
        <w:t>Zjistí-li autor při výkonu autorského dozoru nedodržení projektové dokumentace stavby, uvědomí bez zbytečného odkladu o této skutečnosti zadavatele a zhotovitele stavby.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r>
        <w:rPr>
          <w:color w:val="000000"/>
          <w:spacing w:val="0"/>
          <w:w w:val="100"/>
          <w:position w:val="0"/>
          <w:shd w:val="clear" w:color="auto" w:fill="auto"/>
          <w:lang w:val="cs-CZ" w:eastAsia="cs-CZ" w:bidi="cs-CZ"/>
        </w:rPr>
        <w:t>V odůvodněných případech uvede stručnou charakteristiku porušení dokumentace a tomu odpovídající důsledky.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r>
        <w:rPr>
          <w:color w:val="000000"/>
          <w:spacing w:val="0"/>
          <w:w w:val="100"/>
          <w:position w:val="0"/>
          <w:shd w:val="clear" w:color="auto" w:fill="auto"/>
          <w:lang w:val="cs-CZ" w:eastAsia="cs-CZ" w:bidi="cs-CZ"/>
        </w:rPr>
        <w:t>AD bude vykonáván na vyžádání ze strany zadavatelů. Předmět, termín a místo výkonu AD budou dohodnuty vždy individuálně při každé výzvě zadavatelů.</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left"/>
      </w:pPr>
      <w:bookmarkStart w:id="6" w:name="bookmark6"/>
      <w:bookmarkStart w:id="7" w:name="bookmark7"/>
      <w:r>
        <w:rPr>
          <w:color w:val="000000"/>
          <w:spacing w:val="0"/>
          <w:w w:val="100"/>
          <w:position w:val="0"/>
          <w:shd w:val="clear" w:color="auto" w:fill="auto"/>
          <w:lang w:val="cs-CZ" w:eastAsia="cs-CZ" w:bidi="cs-CZ"/>
        </w:rPr>
        <w:t>Místo plnění/realizace</w:t>
      </w:r>
      <w:bookmarkEnd w:id="6"/>
      <w:bookmarkEnd w:id="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ind w:left="0" w:right="0" w:firstLine="0"/>
        <w:jc w:val="left"/>
      </w:pPr>
      <w:r>
        <w:rPr>
          <w:color w:val="000000"/>
          <w:spacing w:val="0"/>
          <w:w w:val="100"/>
          <w:position w:val="0"/>
          <w:shd w:val="clear" w:color="auto" w:fill="auto"/>
          <w:lang w:val="cs-CZ" w:eastAsia="cs-CZ" w:bidi="cs-CZ"/>
        </w:rPr>
        <w:t>Místo stavby - Kraj Vysočina, okres Jihlava, k. ú. Střítež u Jihlavy</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bookmarkStart w:id="8" w:name="bookmark8"/>
      <w:bookmarkStart w:id="9" w:name="bookmark9"/>
      <w:r>
        <w:rPr>
          <w:color w:val="000000"/>
          <w:spacing w:val="0"/>
          <w:w w:val="100"/>
          <w:position w:val="0"/>
          <w:shd w:val="clear" w:color="auto" w:fill="auto"/>
          <w:lang w:val="cs-CZ" w:eastAsia="cs-CZ" w:bidi="cs-CZ"/>
        </w:rPr>
        <w:t>Seznam poskytnutých podkladů</w:t>
      </w:r>
      <w:bookmarkEnd w:id="8"/>
      <w:bookmarkEnd w:id="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0" w:right="0" w:firstLine="0"/>
        <w:jc w:val="left"/>
      </w:pPr>
      <w:r>
        <w:rPr>
          <w:color w:val="000000"/>
          <w:spacing w:val="0"/>
          <w:w w:val="100"/>
          <w:position w:val="0"/>
          <w:shd w:val="clear" w:color="auto" w:fill="auto"/>
          <w:lang w:val="cs-CZ" w:eastAsia="cs-CZ" w:bidi="cs-CZ"/>
        </w:rPr>
        <w:t>Přehledná situace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r>
        <w:rPr>
          <w:color w:val="000000"/>
          <w:spacing w:val="0"/>
          <w:w w:val="100"/>
          <w:position w:val="0"/>
          <w:shd w:val="clear" w:color="auto" w:fill="auto"/>
          <w:lang w:val="cs-CZ" w:eastAsia="cs-CZ" w:bidi="cs-CZ"/>
        </w:rPr>
        <w:t>Mostní list mostu ev. č. 3525-3</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r>
        <w:rPr>
          <w:color w:val="000000"/>
          <w:spacing w:val="0"/>
          <w:w w:val="100"/>
          <w:position w:val="0"/>
          <w:shd w:val="clear" w:color="auto" w:fill="auto"/>
          <w:lang w:val="cs-CZ" w:eastAsia="cs-CZ" w:bidi="cs-CZ"/>
        </w:rPr>
        <w:t>Poslední provedená hlavní mostní prohlídka mostu ev. č. 3525-3, 03/2017</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ind w:left="0" w:right="0" w:firstLine="0"/>
        <w:jc w:val="left"/>
      </w:pPr>
      <w:r>
        <w:rPr>
          <w:color w:val="000000"/>
          <w:spacing w:val="0"/>
          <w:w w:val="100"/>
          <w:position w:val="0"/>
          <w:shd w:val="clear" w:color="auto" w:fill="auto"/>
          <w:lang w:val="cs-CZ" w:eastAsia="cs-CZ" w:bidi="cs-CZ"/>
        </w:rPr>
        <w:t>Diagnostický průzkum mostu ev. č. 3525-3, 04/2019</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left"/>
      </w:pPr>
      <w:bookmarkStart w:id="10" w:name="bookmark10"/>
      <w:bookmarkStart w:id="11" w:name="bookmark11"/>
      <w:r>
        <w:rPr>
          <w:color w:val="000000"/>
          <w:spacing w:val="0"/>
          <w:w w:val="100"/>
          <w:position w:val="0"/>
          <w:shd w:val="clear" w:color="auto" w:fill="auto"/>
          <w:lang w:val="cs-CZ" w:eastAsia="cs-CZ" w:bidi="cs-CZ"/>
        </w:rPr>
        <w:t>Lhůty plnění</w:t>
      </w:r>
      <w:bookmarkEnd w:id="10"/>
      <w:bookmarkEnd w:id="1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51" w:val="left"/>
        </w:tabs>
        <w:bidi w:val="0"/>
        <w:spacing w:before="0" w:after="120"/>
        <w:ind w:left="0" w:right="0" w:firstLine="0"/>
        <w:jc w:val="left"/>
      </w:pPr>
      <w:r>
        <w:rPr>
          <w:color w:val="000000"/>
          <w:spacing w:val="0"/>
          <w:w w:val="100"/>
          <w:position w:val="0"/>
          <w:shd w:val="clear" w:color="auto" w:fill="auto"/>
          <w:lang w:val="cs-CZ" w:eastAsia="cs-CZ" w:bidi="cs-CZ"/>
        </w:rPr>
        <w:t>Zahájení realizace:</w:t>
        <w:tab/>
        <w:t>ihned po nabytí účinnosti smlouvy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51" w:val="left"/>
        </w:tabs>
        <w:bidi w:val="0"/>
        <w:spacing w:before="0" w:after="120"/>
        <w:ind w:left="0" w:right="0" w:firstLine="0"/>
        <w:jc w:val="left"/>
      </w:pPr>
      <w:r>
        <w:rPr>
          <w:color w:val="000000"/>
          <w:spacing w:val="0"/>
          <w:w w:val="100"/>
          <w:position w:val="0"/>
          <w:shd w:val="clear" w:color="auto" w:fill="auto"/>
          <w:lang w:val="cs-CZ" w:eastAsia="cs-CZ" w:bidi="cs-CZ"/>
        </w:rPr>
        <w:t>Dokumentace DUSP (koncept):</w:t>
        <w:tab/>
        <w:t>do 75 dnů od nabytí účinnosti smlouvy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4960" w:right="0" w:hanging="4960"/>
        <w:jc w:val="left"/>
      </w:pPr>
      <w:r>
        <w:rPr>
          <w:color w:val="000000"/>
          <w:spacing w:val="0"/>
          <w:w w:val="100"/>
          <w:position w:val="0"/>
          <w:shd w:val="clear" w:color="auto" w:fill="auto"/>
          <w:lang w:val="cs-CZ" w:eastAsia="cs-CZ" w:bidi="cs-CZ"/>
        </w:rPr>
        <w:t>Dokumentace DUSP (čistopis, včetně IČ a projednání s DOSS, odsouhlasený objednatelem): do 31. 05. 2021</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4960" w:right="0" w:hanging="4960"/>
        <w:jc w:val="left"/>
      </w:pPr>
      <w:r>
        <w:rPr>
          <w:color w:val="000000"/>
          <w:spacing w:val="0"/>
          <w:w w:val="100"/>
          <w:position w:val="0"/>
          <w:shd w:val="clear" w:color="auto" w:fill="auto"/>
          <w:lang w:val="cs-CZ" w:eastAsia="cs-CZ" w:bidi="cs-CZ"/>
        </w:rPr>
        <w:t>Podání žádosti o společné územní a stavební povolení: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ind w:left="4960" w:right="0" w:firstLine="0"/>
        <w:jc w:val="left"/>
      </w:pPr>
      <w:r>
        <w:rPr>
          <w:color w:val="000000"/>
          <w:spacing w:val="0"/>
          <w:w w:val="100"/>
          <w:position w:val="0"/>
          <w:shd w:val="clear" w:color="auto" w:fill="auto"/>
          <w:lang w:val="cs-CZ" w:eastAsia="cs-CZ" w:bidi="cs-CZ"/>
        </w:rPr>
        <w:t>do 10 dnů od dokončení IČ</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Dokumentace PDPS (čistopis, včetně zapracování případných připomínek ze stavebního řízení a včetně soupisů prací, odsouhlasený objednatelem):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ind w:left="4960" w:right="0" w:firstLine="0"/>
        <w:jc w:val="left"/>
      </w:pPr>
      <w:r>
        <w:rPr>
          <w:color w:val="000000"/>
          <w:spacing w:val="0"/>
          <w:w w:val="100"/>
          <w:position w:val="0"/>
          <w:shd w:val="clear" w:color="auto" w:fill="auto"/>
          <w:lang w:val="cs-CZ" w:eastAsia="cs-CZ" w:bidi="cs-CZ"/>
        </w:rPr>
        <w:t>do 15 dnů od vydání ÚSP</w:t>
      </w:r>
    </w:p>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122" w:left="1366" w:right="1371" w:bottom="166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3171190</wp:posOffset>
              </wp:positionH>
              <wp:positionV relativeFrom="page">
                <wp:posOffset>9940290</wp:posOffset>
              </wp:positionV>
              <wp:extent cx="667385" cy="106680"/>
              <wp:wrapNone/>
              <wp:docPr id="1" name="Shape 1"/>
              <a:graphic xmlns:a="http://schemas.openxmlformats.org/drawingml/2006/main">
                <a:graphicData uri="http://schemas.microsoft.com/office/word/2010/wordprocessingShape">
                  <wps:wsp>
                    <wps:cNvSpPr txBox="1"/>
                    <wps:spPr>
                      <a:xfrm>
                        <a:ext cx="6673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9.69999999999999pt;margin-top:782.70000000000005pt;width:52.549999999999997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601345</wp:posOffset>
              </wp:positionH>
              <wp:positionV relativeFrom="page">
                <wp:posOffset>9895840</wp:posOffset>
              </wp:positionV>
              <wp:extent cx="6577330" cy="0"/>
              <wp:wrapNone/>
              <wp:docPr id="3" name="Shape 3"/>
              <a:graphic xmlns:a="http://schemas.openxmlformats.org/drawingml/2006/main">
                <a:graphicData uri="http://schemas.microsoft.com/office/word/2010/wordprocessingShape">
                  <wps:wsp>
                    <wps:cNvCnPr/>
                    <wps:spPr>
                      <a:xfrm>
                        <a:ext cx="6577330" cy="0"/>
                      </a:xfrm>
                      <a:prstGeom prst="straightConnector1"/>
                      <a:ln w="12700">
                        <a:solidFill/>
                      </a:ln>
                    </wps:spPr>
                    <wps:bodyPr/>
                  </wps:wsp>
                </a:graphicData>
              </a:graphic>
            </wp:anchor>
          </w:drawing>
        </mc:Choice>
        <mc:Fallback>
          <w:pict>
            <v:shape o:spt="32" o:oned="true" path="m,l21600,21600e" style="position:absolute;margin-left:47.350000000000001pt;margin-top:779.20000000000005pt;width:517.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3171190</wp:posOffset>
              </wp:positionH>
              <wp:positionV relativeFrom="page">
                <wp:posOffset>9940290</wp:posOffset>
              </wp:positionV>
              <wp:extent cx="667385" cy="106680"/>
              <wp:wrapNone/>
              <wp:docPr id="4" name="Shape 4"/>
              <a:graphic xmlns:a="http://schemas.openxmlformats.org/drawingml/2006/main">
                <a:graphicData uri="http://schemas.microsoft.com/office/word/2010/wordprocessingShape">
                  <wps:wsp>
                    <wps:cNvSpPr txBox="1"/>
                    <wps:spPr>
                      <a:xfrm>
                        <a:ext cx="6673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30" type="#_x0000_t202" style="position:absolute;margin-left:249.69999999999999pt;margin-top:782.70000000000005pt;width:52.549999999999997pt;height:8.4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601345</wp:posOffset>
              </wp:positionH>
              <wp:positionV relativeFrom="page">
                <wp:posOffset>9895840</wp:posOffset>
              </wp:positionV>
              <wp:extent cx="6577330" cy="0"/>
              <wp:wrapNone/>
              <wp:docPr id="6" name="Shape 6"/>
              <a:graphic xmlns:a="http://schemas.openxmlformats.org/drawingml/2006/main">
                <a:graphicData uri="http://schemas.microsoft.com/office/word/2010/wordprocessingShape">
                  <wps:wsp>
                    <wps:cNvCnPr/>
                    <wps:spPr>
                      <a:xfrm>
                        <a:ext cx="6577330" cy="0"/>
                      </a:xfrm>
                      <a:prstGeom prst="straightConnector1"/>
                      <a:ln w="12700">
                        <a:solidFill/>
                      </a:ln>
                    </wps:spPr>
                    <wps:bodyPr/>
                  </wps:wsp>
                </a:graphicData>
              </a:graphic>
            </wp:anchor>
          </w:drawing>
        </mc:Choice>
        <mc:Fallback>
          <w:pict>
            <v:shape o:spt="32" o:oned="true" path="m,l21600,21600e" style="position:absolute;margin-left:47.350000000000001pt;margin-top:779.20000000000005pt;width:517.89999999999998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5934710</wp:posOffset>
              </wp:positionH>
              <wp:positionV relativeFrom="page">
                <wp:posOffset>9935210</wp:posOffset>
              </wp:positionV>
              <wp:extent cx="725170" cy="128270"/>
              <wp:wrapNone/>
              <wp:docPr id="10" name="Shape 10"/>
              <a:graphic xmlns:a="http://schemas.openxmlformats.org/drawingml/2006/main">
                <a:graphicData uri="http://schemas.microsoft.com/office/word/2010/wordprocessingShape">
                  <wps:wsp>
                    <wps:cNvSpPr txBox="1"/>
                    <wps:spPr>
                      <a:xfrm>
                        <a:ext cx="725170"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wps:txbx>
                    <wps:bodyPr wrap="none" lIns="0" tIns="0" rIns="0" bIns="0">
                      <a:spAutoFit/>
                    </wps:bodyPr>
                  </wps:wsp>
                </a:graphicData>
              </a:graphic>
            </wp:anchor>
          </w:drawing>
        </mc:Choice>
        <mc:Fallback>
          <w:pict>
            <v:shape id="_x0000_s1036" type="#_x0000_t202" style="position:absolute;margin-left:467.30000000000001pt;margin-top:782.29999999999995pt;width:57.100000000000001pt;height:10.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5934710</wp:posOffset>
              </wp:positionH>
              <wp:positionV relativeFrom="page">
                <wp:posOffset>9927590</wp:posOffset>
              </wp:positionV>
              <wp:extent cx="725170" cy="128270"/>
              <wp:wrapNone/>
              <wp:docPr id="12" name="Shape 12"/>
              <a:graphic xmlns:a="http://schemas.openxmlformats.org/drawingml/2006/main">
                <a:graphicData uri="http://schemas.microsoft.com/office/word/2010/wordprocessingShape">
                  <wps:wsp>
                    <wps:cNvSpPr txBox="1"/>
                    <wps:spPr>
                      <a:xfrm>
                        <a:ext cx="725170"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wps:txbx>
                    <wps:bodyPr wrap="none" lIns="0" tIns="0" rIns="0" bIns="0">
                      <a:spAutoFit/>
                    </wps:bodyPr>
                  </wps:wsp>
                </a:graphicData>
              </a:graphic>
            </wp:anchor>
          </w:drawing>
        </mc:Choice>
        <mc:Fallback>
          <w:pict>
            <v:shape id="_x0000_s1038" type="#_x0000_t202" style="position:absolute;margin-left:467.30000000000001pt;margin-top:781.70000000000005pt;width:57.100000000000001pt;height:10.1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5934710</wp:posOffset>
              </wp:positionH>
              <wp:positionV relativeFrom="page">
                <wp:posOffset>9935210</wp:posOffset>
              </wp:positionV>
              <wp:extent cx="725170" cy="128270"/>
              <wp:wrapNone/>
              <wp:docPr id="17" name="Shape 17"/>
              <a:graphic xmlns:a="http://schemas.openxmlformats.org/drawingml/2006/main">
                <a:graphicData uri="http://schemas.microsoft.com/office/word/2010/wordprocessingShape">
                  <wps:wsp>
                    <wps:cNvSpPr txBox="1"/>
                    <wps:spPr>
                      <a:xfrm>
                        <a:ext cx="725170"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wps:txbx>
                    <wps:bodyPr wrap="none" lIns="0" tIns="0" rIns="0" bIns="0">
                      <a:spAutoFit/>
                    </wps:bodyPr>
                  </wps:wsp>
                </a:graphicData>
              </a:graphic>
            </wp:anchor>
          </w:drawing>
        </mc:Choice>
        <mc:Fallback>
          <w:pict>
            <v:shape id="_x0000_s1043" type="#_x0000_t202" style="position:absolute;margin-left:467.30000000000001pt;margin-top:782.29999999999995pt;width:57.100000000000001pt;height:10.1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5934710</wp:posOffset>
              </wp:positionH>
              <wp:positionV relativeFrom="page">
                <wp:posOffset>9935210</wp:posOffset>
              </wp:positionV>
              <wp:extent cx="725170" cy="128270"/>
              <wp:wrapNone/>
              <wp:docPr id="22" name="Shape 22"/>
              <a:graphic xmlns:a="http://schemas.openxmlformats.org/drawingml/2006/main">
                <a:graphicData uri="http://schemas.microsoft.com/office/word/2010/wordprocessingShape">
                  <wps:wsp>
                    <wps:cNvSpPr txBox="1"/>
                    <wps:spPr>
                      <a:xfrm>
                        <a:ext cx="725170"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wps:txbx>
                    <wps:bodyPr wrap="none" lIns="0" tIns="0" rIns="0" bIns="0">
                      <a:spAutoFit/>
                    </wps:bodyPr>
                  </wps:wsp>
                </a:graphicData>
              </a:graphic>
            </wp:anchor>
          </w:drawing>
        </mc:Choice>
        <mc:Fallback>
          <w:pict>
            <v:shape id="_x0000_s1048" type="#_x0000_t202" style="position:absolute;margin-left:467.30000000000001pt;margin-top:782.29999999999995pt;width:57.100000000000001pt;height:10.1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6075045</wp:posOffset>
              </wp:positionH>
              <wp:positionV relativeFrom="page">
                <wp:posOffset>468630</wp:posOffset>
              </wp:positionV>
              <wp:extent cx="585470" cy="125095"/>
              <wp:wrapNone/>
              <wp:docPr id="7" name="Shape 7"/>
              <a:graphic xmlns:a="http://schemas.openxmlformats.org/drawingml/2006/main">
                <a:graphicData uri="http://schemas.microsoft.com/office/word/2010/wordprocessingShape">
                  <wps:wsp>
                    <wps:cNvSpPr txBox="1"/>
                    <wps:spPr>
                      <a:xfrm>
                        <a:ext cx="585470"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wps:txbx>
                    <wps:bodyPr wrap="none" lIns="0" tIns="0" rIns="0" bIns="0">
                      <a:spAutoFit/>
                    </wps:bodyPr>
                  </wps:wsp>
                </a:graphicData>
              </a:graphic>
            </wp:anchor>
          </w:drawing>
        </mc:Choice>
        <mc:Fallback>
          <w:pict>
            <v:shape id="_x0000_s1033" type="#_x0000_t202" style="position:absolute;margin-left:478.35000000000002pt;margin-top:36.899999999999999pt;width:46.100000000000001pt;height:9.8499999999999996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847725</wp:posOffset>
              </wp:positionH>
              <wp:positionV relativeFrom="page">
                <wp:posOffset>724535</wp:posOffset>
              </wp:positionV>
              <wp:extent cx="5858510" cy="0"/>
              <wp:wrapNone/>
              <wp:docPr id="9" name="Shape 9"/>
              <a:graphic xmlns:a="http://schemas.openxmlformats.org/drawingml/2006/main">
                <a:graphicData uri="http://schemas.microsoft.com/office/word/2010/wordprocessingShape">
                  <wps:wsp>
                    <wps:cNvCnPr/>
                    <wps:spPr>
                      <a:xfrm>
                        <a:ext cx="5858510" cy="0"/>
                      </a:xfrm>
                      <a:prstGeom prst="straightConnector1"/>
                      <a:ln w="12700">
                        <a:solidFill/>
                      </a:ln>
                    </wps:spPr>
                    <wps:bodyPr/>
                  </wps:wsp>
                </a:graphicData>
              </a:graphic>
            </wp:anchor>
          </w:drawing>
        </mc:Choice>
        <mc:Fallback>
          <w:pict>
            <v:shape o:spt="32" o:oned="true" path="m,l21600,21600e" style="position:absolute;margin-left:66.75pt;margin-top:57.049999999999997pt;width:461.30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6075045</wp:posOffset>
              </wp:positionH>
              <wp:positionV relativeFrom="page">
                <wp:posOffset>468630</wp:posOffset>
              </wp:positionV>
              <wp:extent cx="585470" cy="125095"/>
              <wp:wrapNone/>
              <wp:docPr id="14" name="Shape 14"/>
              <a:graphic xmlns:a="http://schemas.openxmlformats.org/drawingml/2006/main">
                <a:graphicData uri="http://schemas.microsoft.com/office/word/2010/wordprocessingShape">
                  <wps:wsp>
                    <wps:cNvSpPr txBox="1"/>
                    <wps:spPr>
                      <a:xfrm>
                        <a:ext cx="585470"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wps:txbx>
                    <wps:bodyPr wrap="none" lIns="0" tIns="0" rIns="0" bIns="0">
                      <a:spAutoFit/>
                    </wps:bodyPr>
                  </wps:wsp>
                </a:graphicData>
              </a:graphic>
            </wp:anchor>
          </w:drawing>
        </mc:Choice>
        <mc:Fallback>
          <w:pict>
            <v:shape id="_x0000_s1040" type="#_x0000_t202" style="position:absolute;margin-left:478.35000000000002pt;margin-top:36.899999999999999pt;width:46.100000000000001pt;height:9.8499999999999996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847725</wp:posOffset>
              </wp:positionH>
              <wp:positionV relativeFrom="page">
                <wp:posOffset>724535</wp:posOffset>
              </wp:positionV>
              <wp:extent cx="5858510" cy="0"/>
              <wp:wrapNone/>
              <wp:docPr id="16" name="Shape 16"/>
              <a:graphic xmlns:a="http://schemas.openxmlformats.org/drawingml/2006/main">
                <a:graphicData uri="http://schemas.microsoft.com/office/word/2010/wordprocessingShape">
                  <wps:wsp>
                    <wps:cNvCnPr/>
                    <wps:spPr>
                      <a:xfrm>
                        <a:ext cx="5858510" cy="0"/>
                      </a:xfrm>
                      <a:prstGeom prst="straightConnector1"/>
                      <a:ln w="12700">
                        <a:solidFill/>
                      </a:ln>
                    </wps:spPr>
                    <wps:bodyPr/>
                  </wps:wsp>
                </a:graphicData>
              </a:graphic>
            </wp:anchor>
          </w:drawing>
        </mc:Choice>
        <mc:Fallback>
          <w:pict>
            <v:shape o:spt="32" o:oned="true" path="m,l21600,21600e" style="position:absolute;margin-left:66.75pt;margin-top:57.049999999999997pt;width:461.30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6075045</wp:posOffset>
              </wp:positionH>
              <wp:positionV relativeFrom="page">
                <wp:posOffset>468630</wp:posOffset>
              </wp:positionV>
              <wp:extent cx="585470" cy="125095"/>
              <wp:wrapNone/>
              <wp:docPr id="19" name="Shape 19"/>
              <a:graphic xmlns:a="http://schemas.openxmlformats.org/drawingml/2006/main">
                <a:graphicData uri="http://schemas.microsoft.com/office/word/2010/wordprocessingShape">
                  <wps:wsp>
                    <wps:cNvSpPr txBox="1"/>
                    <wps:spPr>
                      <a:xfrm>
                        <a:ext cx="585470"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wps:txbx>
                    <wps:bodyPr wrap="none" lIns="0" tIns="0" rIns="0" bIns="0">
                      <a:spAutoFit/>
                    </wps:bodyPr>
                  </wps:wsp>
                </a:graphicData>
              </a:graphic>
            </wp:anchor>
          </w:drawing>
        </mc:Choice>
        <mc:Fallback>
          <w:pict>
            <v:shape id="_x0000_s1045" type="#_x0000_t202" style="position:absolute;margin-left:478.35000000000002pt;margin-top:36.899999999999999pt;width:46.100000000000001pt;height:9.8499999999999996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Příloha A1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847725</wp:posOffset>
              </wp:positionH>
              <wp:positionV relativeFrom="page">
                <wp:posOffset>724535</wp:posOffset>
              </wp:positionV>
              <wp:extent cx="5858510" cy="0"/>
              <wp:wrapNone/>
              <wp:docPr id="21" name="Shape 21"/>
              <a:graphic xmlns:a="http://schemas.openxmlformats.org/drawingml/2006/main">
                <a:graphicData uri="http://schemas.microsoft.com/office/word/2010/wordprocessingShape">
                  <wps:wsp>
                    <wps:cNvCnPr/>
                    <wps:spPr>
                      <a:xfrm>
                        <a:ext cx="5858510" cy="0"/>
                      </a:xfrm>
                      <a:prstGeom prst="straightConnector1"/>
                      <a:ln w="12700">
                        <a:solidFill/>
                      </a:ln>
                    </wps:spPr>
                    <wps:bodyPr/>
                  </wps:wsp>
                </a:graphicData>
              </a:graphic>
            </wp:anchor>
          </w:drawing>
        </mc:Choice>
        <mc:Fallback>
          <w:pict>
            <v:shape o:spt="32" o:oned="true" path="m,l21600,21600e" style="position:absolute;margin-left:66.75pt;margin-top:57.049999999999997pt;width:461.30000000000001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3"/>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Calibri" w:eastAsia="Calibri" w:hAnsi="Calibri" w:cs="Calibri"/>
      <w:b w:val="0"/>
      <w:bCs w:val="0"/>
      <w:i w:val="0"/>
      <w:iCs w:val="0"/>
      <w:smallCaps w:val="0"/>
      <w:strike w:val="0"/>
      <w:sz w:val="24"/>
      <w:szCs w:val="24"/>
      <w:u w:val="none"/>
    </w:rPr>
  </w:style>
  <w:style w:type="character" w:customStyle="1" w:styleId="CharStyle14">
    <w:name w:val="Jiné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9">
    <w:name w:val="Nadpis #1_"/>
    <w:basedOn w:val="DefaultParagraphFont"/>
    <w:link w:val="Style18"/>
    <w:rPr>
      <w:rFonts w:ascii="Calibri" w:eastAsia="Calibri" w:hAnsi="Calibri" w:cs="Calibri"/>
      <w:b/>
      <w:bCs/>
      <w:i w:val="0"/>
      <w:iCs w:val="0"/>
      <w:smallCaps w:val="0"/>
      <w:strike w:val="0"/>
      <w:sz w:val="24"/>
      <w:szCs w:val="24"/>
      <w:u w:val="single"/>
    </w:rPr>
  </w:style>
  <w:style w:type="paragraph" w:customStyle="1" w:styleId="Style2">
    <w:name w:val="Základní text"/>
    <w:basedOn w:val="Normal"/>
    <w:link w:val="CharStyle3"/>
    <w:pPr>
      <w:widowControl w:val="0"/>
      <w:shd w:val="clear" w:color="auto" w:fill="FFFFFF"/>
      <w:spacing w:after="100" w:line="271" w:lineRule="auto"/>
    </w:pPr>
    <w:rPr>
      <w:rFonts w:ascii="Calibri" w:eastAsia="Calibri" w:hAnsi="Calibri" w:cs="Calibri"/>
      <w:b w:val="0"/>
      <w:bCs w:val="0"/>
      <w:i w:val="0"/>
      <w:iCs w:val="0"/>
      <w:smallCaps w:val="0"/>
      <w:strike w:val="0"/>
      <w:sz w:val="24"/>
      <w:szCs w:val="24"/>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spacing w:line="286" w:lineRule="auto"/>
    </w:pPr>
    <w:rPr>
      <w:rFonts w:ascii="Calibri" w:eastAsia="Calibri" w:hAnsi="Calibri" w:cs="Calibri"/>
      <w:b w:val="0"/>
      <w:bCs w:val="0"/>
      <w:i w:val="0"/>
      <w:iCs w:val="0"/>
      <w:smallCaps w:val="0"/>
      <w:strike w:val="0"/>
      <w:sz w:val="24"/>
      <w:szCs w:val="24"/>
      <w:u w:val="none"/>
    </w:rPr>
  </w:style>
  <w:style w:type="paragraph" w:customStyle="1" w:styleId="Style13">
    <w:name w:val="Jiné"/>
    <w:basedOn w:val="Normal"/>
    <w:link w:val="CharStyle14"/>
    <w:pPr>
      <w:widowControl w:val="0"/>
      <w:shd w:val="clear" w:color="auto" w:fill="FFFFFF"/>
      <w:spacing w:after="100" w:line="271" w:lineRule="auto"/>
    </w:pPr>
    <w:rPr>
      <w:rFonts w:ascii="Calibri" w:eastAsia="Calibri" w:hAnsi="Calibri" w:cs="Calibri"/>
      <w:b w:val="0"/>
      <w:bCs w:val="0"/>
      <w:i w:val="0"/>
      <w:iCs w:val="0"/>
      <w:smallCaps w:val="0"/>
      <w:strike w:val="0"/>
      <w:sz w:val="24"/>
      <w:szCs w:val="24"/>
      <w:u w:val="none"/>
    </w:rPr>
  </w:style>
  <w:style w:type="paragraph" w:customStyle="1" w:styleId="Style18">
    <w:name w:val="Nadpis #1"/>
    <w:basedOn w:val="Normal"/>
    <w:link w:val="CharStyle19"/>
    <w:pPr>
      <w:widowControl w:val="0"/>
      <w:shd w:val="clear" w:color="auto" w:fill="FFFFFF"/>
      <w:spacing w:after="180" w:line="271" w:lineRule="auto"/>
      <w:outlineLvl w:val="0"/>
    </w:pPr>
    <w:rPr>
      <w:rFonts w:ascii="Calibri" w:eastAsia="Calibri" w:hAnsi="Calibri" w:cs="Calibri"/>
      <w:b/>
      <w:bCs/>
      <w:i w:val="0"/>
      <w:iCs w:val="0"/>
      <w:smallCaps w:val="0"/>
      <w:strike w:val="0"/>
      <w:sz w:val="24"/>
      <w:szCs w:val="24"/>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s>
</file>