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Veřejnoprávní smlouva o poskytnutí účelové neinvestiční dotace z rozpočtu města Orlov</w:t>
      </w:r>
      <w:r w:rsidR="00035ACF">
        <w:rPr>
          <w:rFonts w:ascii="Arial" w:hAnsi="Arial" w:cs="Arial"/>
          <w:b/>
          <w:bCs/>
          <w:sz w:val="28"/>
          <w:szCs w:val="28"/>
        </w:rPr>
        <w:t>á</w:t>
      </w:r>
    </w:p>
    <w:p w:rsidR="00E318F9" w:rsidRDefault="007F48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uzavřená podle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ust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 § 10a zákona č. 250/2000 Sb.</w:t>
      </w:r>
    </w:p>
    <w:p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18F9" w:rsidRDefault="00E318F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318F9" w:rsidRDefault="007F48E3">
      <w:pPr>
        <w:ind w:left="2832" w:firstLine="708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Smlouva č. ………………………………</w:t>
      </w:r>
      <w:proofErr w:type="gramStart"/>
      <w:r>
        <w:rPr>
          <w:rFonts w:ascii="Arial" w:hAnsi="Arial" w:cs="Arial"/>
          <w:b/>
          <w:sz w:val="22"/>
        </w:rPr>
        <w:t>…..</w:t>
      </w:r>
      <w:proofErr w:type="gramEnd"/>
    </w:p>
    <w:p w:rsidR="00E318F9" w:rsidRDefault="00E318F9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:rsidR="00B52F26" w:rsidRDefault="00B52F26">
      <w:pPr>
        <w:ind w:left="2832" w:firstLine="708"/>
        <w:jc w:val="right"/>
        <w:rPr>
          <w:rFonts w:ascii="Arial" w:hAnsi="Arial" w:cs="Arial"/>
          <w:b/>
          <w:bCs/>
          <w:sz w:val="28"/>
          <w:szCs w:val="28"/>
        </w:rPr>
      </w:pP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:rsidR="00E318F9" w:rsidRDefault="00E318F9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keepNext/>
        <w:ind w:left="720" w:hanging="72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Orlová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Mgr. Miroslavem Chlubnou, starostou</w:t>
      </w:r>
      <w:r w:rsidR="00A76840">
        <w:rPr>
          <w:rFonts w:ascii="Arial" w:hAnsi="Arial" w:cs="Arial"/>
          <w:sz w:val="22"/>
          <w:szCs w:val="22"/>
        </w:rPr>
        <w:t xml:space="preserve"> města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 Osvobození 796, Lutyně, 735 14 Orlová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002</w:t>
      </w:r>
      <w:r w:rsidR="00425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97</w:t>
      </w:r>
      <w:r w:rsidR="00425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577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ČSOB, a.s.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103957163/0300</w:t>
      </w: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„město Orlová“ nebo „poskytovatel“) 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Pr="000D0876" w:rsidRDefault="003F6F6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Taneční Klub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Kmit</w:t>
      </w:r>
      <w:r w:rsidR="000D087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0D0876">
        <w:rPr>
          <w:rFonts w:ascii="Arial" w:hAnsi="Arial" w:cs="Arial"/>
          <w:b/>
          <w:bCs/>
          <w:sz w:val="22"/>
          <w:szCs w:val="22"/>
        </w:rPr>
        <w:t>z.s</w:t>
      </w:r>
      <w:proofErr w:type="spellEnd"/>
      <w:r w:rsidR="000D0876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právní forma: </w:t>
      </w:r>
      <w:r w:rsidR="000D0876">
        <w:rPr>
          <w:rFonts w:ascii="Arial" w:hAnsi="Arial" w:cs="Arial"/>
          <w:sz w:val="22"/>
          <w:szCs w:val="22"/>
        </w:rPr>
        <w:t>spolek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>zastoupen</w:t>
      </w:r>
      <w:r w:rsidR="000D0876">
        <w:rPr>
          <w:rFonts w:ascii="Arial" w:hAnsi="Arial" w:cs="Arial"/>
          <w:sz w:val="22"/>
          <w:szCs w:val="22"/>
        </w:rPr>
        <w:t>:</w:t>
      </w:r>
      <w:r w:rsidRPr="000D0876">
        <w:rPr>
          <w:rFonts w:ascii="Arial" w:hAnsi="Arial" w:cs="Arial"/>
          <w:sz w:val="22"/>
          <w:szCs w:val="22"/>
        </w:rPr>
        <w:t xml:space="preserve"> </w:t>
      </w:r>
      <w:r w:rsidR="003F6F69">
        <w:rPr>
          <w:rFonts w:ascii="Arial" w:hAnsi="Arial" w:cs="Arial"/>
          <w:sz w:val="22"/>
          <w:szCs w:val="22"/>
        </w:rPr>
        <w:t xml:space="preserve">Gabrielou </w:t>
      </w:r>
      <w:proofErr w:type="spellStart"/>
      <w:r w:rsidR="003F6F69">
        <w:rPr>
          <w:rFonts w:ascii="Arial" w:hAnsi="Arial" w:cs="Arial"/>
          <w:sz w:val="22"/>
          <w:szCs w:val="22"/>
        </w:rPr>
        <w:t>Kristen</w:t>
      </w:r>
      <w:proofErr w:type="spellEnd"/>
      <w:r w:rsidR="003F6F69">
        <w:rPr>
          <w:rFonts w:ascii="Arial" w:hAnsi="Arial" w:cs="Arial"/>
          <w:sz w:val="22"/>
          <w:szCs w:val="22"/>
        </w:rPr>
        <w:t>, předsedou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>adresa:</w:t>
      </w:r>
      <w:r w:rsidRPr="000D0876">
        <w:rPr>
          <w:rStyle w:val="Siln"/>
          <w:rFonts w:ascii="Arial" w:hAnsi="Arial" w:cs="Arial"/>
          <w:sz w:val="22"/>
          <w:szCs w:val="22"/>
        </w:rPr>
        <w:t xml:space="preserve"> </w:t>
      </w:r>
      <w:proofErr w:type="spellStart"/>
      <w:r w:rsidR="003F6F69">
        <w:rPr>
          <w:rFonts w:ascii="Arial" w:hAnsi="Arial" w:cs="Arial"/>
          <w:sz w:val="22"/>
          <w:szCs w:val="22"/>
        </w:rPr>
        <w:t>Lutyňská</w:t>
      </w:r>
      <w:proofErr w:type="spellEnd"/>
      <w:r w:rsidR="003F6F69">
        <w:rPr>
          <w:rFonts w:ascii="Arial" w:hAnsi="Arial" w:cs="Arial"/>
          <w:sz w:val="22"/>
          <w:szCs w:val="22"/>
        </w:rPr>
        <w:t xml:space="preserve"> 193</w:t>
      </w:r>
      <w:r w:rsidR="000D0876">
        <w:rPr>
          <w:rFonts w:ascii="Arial" w:hAnsi="Arial" w:cs="Arial"/>
          <w:sz w:val="22"/>
          <w:szCs w:val="22"/>
        </w:rPr>
        <w:t>, Lutyně, 735 14 Orlová</w:t>
      </w:r>
    </w:p>
    <w:p w:rsidR="00E318F9" w:rsidRPr="000D0876" w:rsidRDefault="007F48E3">
      <w:pPr>
        <w:rPr>
          <w:rFonts w:ascii="Arial" w:hAnsi="Arial" w:cs="Arial"/>
          <w:bCs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IČO: </w:t>
      </w:r>
      <w:r w:rsidR="003F6F69">
        <w:rPr>
          <w:rFonts w:ascii="Arial" w:hAnsi="Arial" w:cs="Arial"/>
          <w:bCs/>
          <w:sz w:val="22"/>
          <w:szCs w:val="22"/>
        </w:rPr>
        <w:t>040 21</w:t>
      </w:r>
      <w:r w:rsidR="00410E4C">
        <w:rPr>
          <w:rFonts w:ascii="Arial" w:hAnsi="Arial" w:cs="Arial"/>
          <w:bCs/>
          <w:sz w:val="22"/>
          <w:szCs w:val="22"/>
        </w:rPr>
        <w:t> </w:t>
      </w:r>
      <w:r w:rsidR="003F6F69">
        <w:rPr>
          <w:rFonts w:ascii="Arial" w:hAnsi="Arial" w:cs="Arial"/>
          <w:bCs/>
          <w:sz w:val="22"/>
          <w:szCs w:val="22"/>
        </w:rPr>
        <w:t>291</w:t>
      </w:r>
      <w:r w:rsidR="00410E4C">
        <w:rPr>
          <w:rFonts w:ascii="Arial" w:hAnsi="Arial" w:cs="Arial"/>
          <w:bCs/>
          <w:sz w:val="22"/>
          <w:szCs w:val="22"/>
        </w:rPr>
        <w:t xml:space="preserve"> 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bankovní spojení: </w:t>
      </w:r>
      <w:r w:rsidR="00410E4C">
        <w:rPr>
          <w:rFonts w:ascii="Arial" w:hAnsi="Arial" w:cs="Arial"/>
          <w:sz w:val="22"/>
          <w:szCs w:val="22"/>
        </w:rPr>
        <w:t>MONETA Money Bank, a.s.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 xml:space="preserve">číslo účtu: </w:t>
      </w:r>
      <w:r w:rsidR="00410E4C">
        <w:rPr>
          <w:rFonts w:ascii="Arial" w:hAnsi="Arial" w:cs="Arial"/>
          <w:sz w:val="22"/>
          <w:szCs w:val="22"/>
        </w:rPr>
        <w:t>225994309/0600</w:t>
      </w:r>
    </w:p>
    <w:p w:rsidR="00E318F9" w:rsidRPr="000D0876" w:rsidRDefault="007F48E3">
      <w:pPr>
        <w:rPr>
          <w:rFonts w:ascii="Arial" w:hAnsi="Arial" w:cs="Arial"/>
          <w:sz w:val="22"/>
          <w:szCs w:val="22"/>
        </w:rPr>
      </w:pPr>
      <w:r w:rsidRPr="000D0876">
        <w:rPr>
          <w:rFonts w:ascii="Arial" w:hAnsi="Arial" w:cs="Arial"/>
          <w:sz w:val="22"/>
          <w:szCs w:val="22"/>
        </w:rPr>
        <w:t>(dále jen „příjemce“)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(společně dále též označovány jako „Smluvní strany“)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B52F26" w:rsidRDefault="00B52F26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USTANOVENÍ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údaje uvedené v záhlaví této smlouvy jsou v souladu se skutečností v době jejího uzavření. Smluvní strany se zavazují, že změny dotčených údajů oznámí písemně bez prodlení nejpozději do 7 dnů druhé smluvní straně.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Předmětem této smlouvy je poskytnutí účelově vymezené dotace příjemci z rozpočtu poskytovatele (dále jen „dotace"). Dotace podle této smlouvy je veřejná finanční podpora poskytnutá z rozpočtu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Poskytnutí dotace je v souladu se zákonem č.128/2000 Sb., o obcích (obecní zřízení), ve znění pozdějších předpisů, (dále jen „zákon o obcích“), a zákonem č. 250/2000 Sb., </w:t>
      </w: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o rozpočtových pravidlech územních rozpočtů, ve znění pozdějších předpisů, (dále jen „zákon o rozpočtových pravidlech“).</w:t>
      </w:r>
    </w:p>
    <w:p w:rsidR="00E318F9" w:rsidRDefault="00E318F9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2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Dotace je veřejnou finanční podporou ve smyslu zákona č. 320/2001 Sb., o finanční kontrole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veřejné správě a o změně některých zákonů (dále jen „zákon o finanční kontrole“), ve znění pozdějších předpisů, se všemi právními důsledky s tím spojenými, a vztahují se na</w:t>
      </w:r>
      <w:r w:rsidR="000D7572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ni všechna ustanovení tohoto zákona.</w:t>
      </w:r>
    </w:p>
    <w:p w:rsidR="00E318F9" w:rsidRDefault="00E318F9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B52F26" w:rsidRDefault="00B52F26">
      <w:pPr>
        <w:spacing w:line="276" w:lineRule="auto"/>
        <w:ind w:left="426" w:hanging="426"/>
        <w:jc w:val="both"/>
        <w:rPr>
          <w:rFonts w:ascii="Arial" w:hAnsi="Arial" w:cs="Arial"/>
          <w:sz w:val="22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ÚČEL A VÝŠE DOTACE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3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Poskytovatel dotace podle této smlouvy poskytne příjemci dotace neinvestiční účelovou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dotaci ve</w:t>
      </w:r>
      <w:r w:rsidR="00601AAC" w:rsidRPr="000D087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výši </w:t>
      </w:r>
      <w:r w:rsidR="00A02B95">
        <w:rPr>
          <w:rFonts w:ascii="Arial" w:eastAsia="Calibri" w:hAnsi="Arial" w:cs="Arial"/>
          <w:b/>
          <w:sz w:val="22"/>
          <w:szCs w:val="22"/>
          <w:lang w:eastAsia="en-US"/>
        </w:rPr>
        <w:t>180 000</w:t>
      </w:r>
      <w:r w:rsidRPr="000D0876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 (slovy: </w:t>
      </w:r>
      <w:r w:rsidR="00A02B95">
        <w:rPr>
          <w:rFonts w:ascii="Arial" w:eastAsia="Calibri" w:hAnsi="Arial" w:cs="Arial"/>
          <w:sz w:val="22"/>
          <w:szCs w:val="22"/>
          <w:lang w:eastAsia="en-US"/>
        </w:rPr>
        <w:t>sto osmdesát tisíc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 korun českých) v roce 2021 k následujícímu účelu: </w:t>
      </w:r>
      <w:r w:rsidRPr="000D0876">
        <w:rPr>
          <w:rFonts w:ascii="Arial" w:eastAsia="Calibri" w:hAnsi="Arial" w:cs="Arial"/>
          <w:b/>
          <w:sz w:val="22"/>
          <w:szCs w:val="22"/>
          <w:lang w:eastAsia="en-US"/>
        </w:rPr>
        <w:t xml:space="preserve">„Podpora celoroční sportovní činnosti </w:t>
      </w:r>
      <w:r w:rsidR="003F6F69">
        <w:rPr>
          <w:rFonts w:ascii="Arial" w:eastAsia="Calibri" w:hAnsi="Arial" w:cs="Arial"/>
          <w:b/>
          <w:sz w:val="22"/>
          <w:szCs w:val="22"/>
          <w:lang w:eastAsia="en-US"/>
        </w:rPr>
        <w:t xml:space="preserve">Tanečního Klubu </w:t>
      </w:r>
      <w:proofErr w:type="gramStart"/>
      <w:r w:rsidR="003F6F69">
        <w:rPr>
          <w:rFonts w:ascii="Arial" w:eastAsia="Calibri" w:hAnsi="Arial" w:cs="Arial"/>
          <w:b/>
          <w:sz w:val="22"/>
          <w:szCs w:val="22"/>
          <w:lang w:eastAsia="en-US"/>
        </w:rPr>
        <w:t>Kmit</w:t>
      </w:r>
      <w:r w:rsidR="00896941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="00B52F2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B52F26">
        <w:rPr>
          <w:rFonts w:ascii="Arial" w:eastAsia="Calibri" w:hAnsi="Arial" w:cs="Arial"/>
          <w:b/>
          <w:sz w:val="22"/>
          <w:szCs w:val="22"/>
          <w:lang w:eastAsia="en-US"/>
        </w:rPr>
        <w:t>z.s</w:t>
      </w:r>
      <w:proofErr w:type="spellEnd"/>
      <w:r w:rsidR="00B52F26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proofErr w:type="gramEnd"/>
      <w:r w:rsidRPr="000D0876">
        <w:rPr>
          <w:rFonts w:ascii="Arial" w:eastAsia="Calibri" w:hAnsi="Arial" w:cs="Arial"/>
          <w:b/>
          <w:sz w:val="22"/>
          <w:szCs w:val="22"/>
          <w:lang w:eastAsia="en-US"/>
        </w:rPr>
        <w:t xml:space="preserve">"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na základě </w:t>
      </w:r>
      <w:r>
        <w:rPr>
          <w:rFonts w:ascii="Arial" w:eastAsia="Calibri" w:hAnsi="Arial" w:cs="Arial"/>
          <w:sz w:val="22"/>
          <w:szCs w:val="22"/>
          <w:lang w:eastAsia="en-US"/>
        </w:rPr>
        <w:t>vyhlášeného dotačního programu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4/2021 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- Podpora celoroční činnosti sportovních organizací/sportovců.</w:t>
      </w:r>
    </w:p>
    <w:p w:rsidR="00E318F9" w:rsidRDefault="00E318F9">
      <w:pPr>
        <w:ind w:left="426"/>
        <w:rPr>
          <w:rFonts w:ascii="Arial" w:hAnsi="Arial" w:cs="Arial"/>
        </w:rPr>
      </w:pPr>
    </w:p>
    <w:p w:rsidR="00E318F9" w:rsidRDefault="007F48E3">
      <w:pPr>
        <w:numPr>
          <w:ilvl w:val="0"/>
          <w:numId w:val="4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Peněžní prostředky budou bezhotovostně převedeny na účet příjemce, uvedený v čl. I. SMLUVNÍ STRANY, do 14 kalendářních dní od oboustranného podpisu této smlouvy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5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případě, že bude platnost smlouvy ukončena předčasně v průběhu roku 2021, bude neinvestiční dotace alikvotně zkrácena a vypočtený přeplatek je příjemce dotace povinen vrátit do 14 kalendářních dní na účet poskytovatele dotace. Tímto ustanovením není dotčená platnost čl.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V. PODMÍNKY POUŽITÍ DOTACE, odst. 3. 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POUŽITÍ DOTACE</w:t>
      </w:r>
    </w:p>
    <w:p w:rsidR="00E318F9" w:rsidRDefault="00E318F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6"/>
        </w:numPr>
        <w:spacing w:after="20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použít dotaci v souladu s účelem této smlouvy k úhradě uznatelných nákladů prokazatelně souvisejících s realizací účelu dotace dle čl. IV. této smlouvy, a to výhradně na: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energie, vodné, stočné, spotřeba plynu a jiná média,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nájem sportovišť a objektů na území města Orlové,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odměny trenérům na základě trenérských nebo zaměstnaneckých smluv (u zaměstnaneckých smluv včetně povinných odvodů),</w:t>
      </w:r>
    </w:p>
    <w:p w:rsidR="00E318F9" w:rsidRPr="000D6033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odměny rozhodčím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>, určeným delegátům, komisařům,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zdravotníkům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a pořadatelům na utkáních,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turnajích</w:t>
      </w:r>
      <w:r w:rsidR="00EA1E86" w:rsidRPr="000D6033">
        <w:rPr>
          <w:rFonts w:ascii="Arial" w:eastAsia="Calibri" w:hAnsi="Arial" w:cs="Arial"/>
          <w:sz w:val="22"/>
          <w:szCs w:val="22"/>
          <w:lang w:eastAsia="en-US"/>
        </w:rPr>
        <w:t xml:space="preserve"> nebo sportovních akcích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 xml:space="preserve"> pořádaných příjemcem dotace,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náklady spojené s dopravou hráčů a organizačního týmu na soutěžní a přátelských utkání včetně turnajů (v případě použití osobních vozidel max. 5 Kč/1 km),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startovné a licenční poplatky spojené s účastí v ligových soutěžích,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nocležné na soutěžních a přátelských utkání včetně turnajů (max. 350 Kč/1 noc/1 osoba),</w:t>
      </w:r>
    </w:p>
    <w:p w:rsidR="00E318F9" w:rsidRDefault="007F48E3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nákup a oprava výzbroje a výstroje sportovců včetně nákupu materiálu nutného k tréninkovým j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ednotkám hráčů,</w:t>
      </w:r>
    </w:p>
    <w:p w:rsidR="00EA1E86" w:rsidRPr="000D6033" w:rsidRDefault="00EA1E86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6033">
        <w:rPr>
          <w:rFonts w:ascii="Arial" w:eastAsia="Calibri" w:hAnsi="Arial" w:cs="Arial"/>
          <w:sz w:val="22"/>
          <w:szCs w:val="22"/>
          <w:lang w:eastAsia="en-US"/>
        </w:rPr>
        <w:t>propagace a nákup cen</w:t>
      </w:r>
      <w:r w:rsidR="000D6033">
        <w:rPr>
          <w:rFonts w:ascii="Arial" w:eastAsia="Calibri" w:hAnsi="Arial" w:cs="Arial"/>
          <w:sz w:val="22"/>
          <w:szCs w:val="22"/>
          <w:lang w:eastAsia="en-US"/>
        </w:rPr>
        <w:t xml:space="preserve"> při pořádání sportovních akcí a turnajů</w:t>
      </w:r>
      <w:r w:rsidRPr="000D6033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Uznatelným nákladem pro účely této smlouvy je náklad, který lze financovat z dotace poskytnuté touto smlouvou při splnění následujících podmínek: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vznikl příjemci a byl příjemcem uhrazen v období od 01. ledna do 31. prosince daného roku,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který byla dotace poskytnuta příjemci dotace (v případě že bude platnost smlouvy ukončena předčasně v průběhu roku, budou uznány doklady pouze do doby ukončení platnosti smlouvy),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vynaložen v souladu s účelovým určením dle čl. IV. a ostatními podmínkami této smlouvy,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vyhovuje zásadám účelnosti, efektivnosti a hospodárnosti dle zákona o finanční kontrole,</w:t>
      </w:r>
    </w:p>
    <w:p w:rsidR="00E318F9" w:rsidRDefault="007F48E3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byl zanesen v účetnictví příjemce, je identifikovatelný a podložený ostatními záznamy.</w:t>
      </w:r>
    </w:p>
    <w:p w:rsidR="00E318F9" w:rsidRDefault="00E318F9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ostatní náklady, vynaložené příjemcem, jsou z hlediska této dotace považovány za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náklady neuznatelné.</w:t>
      </w:r>
    </w:p>
    <w:p w:rsidR="00E318F9" w:rsidRDefault="00E318F9">
      <w:pPr>
        <w:jc w:val="both"/>
        <w:rPr>
          <w:rFonts w:ascii="Arial" w:hAnsi="Arial" w:cs="Arial"/>
          <w:sz w:val="22"/>
          <w:szCs w:val="22"/>
        </w:rPr>
      </w:pPr>
    </w:p>
    <w:p w:rsidR="00E318F9" w:rsidRDefault="007F48E3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Neoprávněné použití dotace nebo zadržení peněžních prostředků poskytnutých z rozpočtu poskytovatele jsou porušením rozpočtové kázně podle § 22 zákona o rozpočtových pravidlech. V případě porušení rozpočtové kázně bude postupováno dle zákona o rozpočtových pravidlech.</w:t>
      </w:r>
    </w:p>
    <w:p w:rsidR="00E318F9" w:rsidRDefault="00E318F9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284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:rsidR="00E318F9" w:rsidRDefault="007F48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UJEDNÁNÍ</w:t>
      </w:r>
    </w:p>
    <w:p w:rsidR="00E318F9" w:rsidRDefault="00E318F9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Poskytovatel prohlašuje, že poskytnutí dotace podle této smlouvy je poskytnutím podpory de</w:t>
      </w:r>
      <w:r w:rsidR="000D7572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smyslu Nařízení Komise (EU) č. 1407/2013 ze dne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18.12.2013</w:t>
      </w:r>
      <w:proofErr w:type="gram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o použití článků 107 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108 Smlouvy o fungování Evropské unie na podporu de 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(publikováno v</w:t>
      </w:r>
      <w:r w:rsidR="000D7572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Úředním věstníku Evropské unie dne 24.12.2013 v částce L 352). Za den poskytnutí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podle této smlouvy se považuje den, kdy tato smlouva nabude účinnosti.</w:t>
      </w:r>
    </w:p>
    <w:p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Příjemce prohlašuje, že nenastaly okolnosti, které by vylučovaly aplikaci pravidla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dle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Nařízení Komise (EU) č. 1407/2013, zejména že poskytnutím této dotace nedojde k takové kumulaci s jinou veřejnou podporou ohledně týchž nákladů, která by způsobila překročení povolené míry podpory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a že v posledních 3 účetních obdobích příjemci, resp. subjektům, které jsou spolu s příjemcem dle čl. 2 odst. 2 Nařízení Komise (EU) č. 1407/2013 považovány za jeden podnik, nebyla poskytnuta podpora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která by v součtu s</w:t>
      </w:r>
      <w:r w:rsidR="000D7572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podporou de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minimis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poskytovanou na</w:t>
      </w:r>
      <w:r w:rsidR="00EA1E86"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základě této smlouvy překročila maximální částku povolenou právními předpisy Evropské unie upravujícími oblast veřejné podpory.</w:t>
      </w:r>
    </w:p>
    <w:p w:rsidR="00E318F9" w:rsidRDefault="00E318F9">
      <w:pPr>
        <w:pStyle w:val="Odstavecseseznamem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Smluvní strany se zavazují v rámci uzavřeného smluvního vztahu dodržovat Nařízení Evropského parlamentu a Rady (EU) 2016/679 ze dne </w:t>
      </w:r>
      <w:proofErr w:type="gramStart"/>
      <w:r>
        <w:rPr>
          <w:rFonts w:ascii="Arial" w:hAnsi="Arial" w:cs="Arial"/>
          <w:sz w:val="22"/>
          <w:szCs w:val="22"/>
        </w:rPr>
        <w:t>27.04.2016</w:t>
      </w:r>
      <w:proofErr w:type="gramEnd"/>
      <w:r>
        <w:rPr>
          <w:rFonts w:ascii="Arial" w:hAnsi="Arial" w:cs="Arial"/>
          <w:sz w:val="22"/>
          <w:szCs w:val="22"/>
        </w:rPr>
        <w:t xml:space="preserve"> o ochraně fyzických osob v souvislosti se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zpracováním osobních údajů a o volném pohybu těchto údajů a o zrušení směrnice 95/46/ES (obecné nařízení o ochraně osobních údajů), (dále jen „GDPR“) a s tímto souvisejícího zákona č.</w:t>
      </w:r>
      <w:r w:rsidR="00EA1E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110/2019 Sb., o zpracování osobních údajů (dále jen „Zákon“). V případě porušení povinností vyplývajících z GDPR nebo Zákona odpovídá za tato porušení ta ze smluvních stran, jejímž jednáním či opomenutím k porušení GDPR nebo Zákona došlo. Smluvní strany souhlasí s uvedením osobních údajů ve smlouvě tak, jak jsou tyto ve smlouvě uvedeny a prohlašují, že nakládání se smlouvou obsahující osobní údaje bude odpovídat povinnostem vyplývajícím z GDPR a Zákona.</w:t>
      </w:r>
    </w:p>
    <w:p w:rsidR="00E318F9" w:rsidRDefault="00E318F9">
      <w:pPr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se zavazuje: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propagovat poskytovatele dotace – město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 na svých sportovištích, ve svých prostorách, na svých webových stránkách a na akcích konaných na území města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řídit se při vyúčtování poskytnuté dotace touto smlouvou a právními předpisy,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předložit odboru městských financí a školství Městského úřadu Orlová podrobné vyúčtování poskytnuté dotace na účel dle čl. IV této smlouvy za uplynulý kalendářní rok nejpozději v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termínu do 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31.03.2022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vyúčtování dotace doložit soupisem všech prvotních účetních a dalších dokladů prokazujících její čerpání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na předepsaných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formulářích a originálními účetními doklady v souladu se zákonem č. 563/1991 Sb., o účetnictví, v platném znění.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Každý předložený doklad musí mít dvě části, a to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podklad k platbě (faktura/účtenka/smlouva) a doklad o zaplacení (výdajový pokladní doklad/výpis z účtu). Dotaci nelze vyúčtovat formou vzájemného zápočtu pohledávek a závazků,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 základě výzvy předkládat požadované informace poskytovateli dotace (finanční rozpočet klubu, členská základna, apod.),</w:t>
      </w:r>
    </w:p>
    <w:p w:rsidR="00E318F9" w:rsidRPr="000D0876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>na požádání poskytovatele dotace umožnit jemu, či jím zřízeným orgánům, kdykoli nahlédnout do účetnictví o hospodaření klubu, včetně podání vysvětlení,</w:t>
      </w:r>
    </w:p>
    <w:p w:rsidR="00E318F9" w:rsidRPr="000D0876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>vést prokazatelnou evidenci členských příspěvků,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oznámit poskytovateli dotace existenci jakýchkoliv řízení ohledně platební neschopnosti vedených proti příjemci dotace, anebo jakýchkoliv soudních či jiných právních postupů či</w:t>
      </w:r>
      <w:r w:rsidR="000D7572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řízení, které mohou být proti příjemci dotace zahájeny (např. přeměna, likvidace, insolvence, apod.),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to do 7 dnů ode dne, kdy příjemci dotace byla tato skutečnost prokazatelně sdělená,</w:t>
      </w:r>
    </w:p>
    <w:p w:rsidR="00E318F9" w:rsidRDefault="007F48E3">
      <w:pPr>
        <w:numPr>
          <w:ilvl w:val="0"/>
          <w:numId w:val="10"/>
        </w:numPr>
        <w:spacing w:after="200"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umožnit poskytovateli v souladu se zákonem o finanční kontrole řádné provedení průběžné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následné kontroly hospodaření s veřejnými prostředky z poskytnuté dotace, jejich použití dle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účelového určení stanoveného touto smlouvou, provedení kontroly faktické realizace činnosti na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a předložit při kontrole všechny potřebné účetní a jiné doklady. Kontrola na místě bude dle pokynu poskytovatele provedena v sídle příjemce, v</w:t>
      </w:r>
      <w:r w:rsidR="000D7572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místě realizace projektu nebo v sídle poskytovatele.</w:t>
      </w:r>
    </w:p>
    <w:p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podmínek uvedených v odst. 4 písm. a), c), a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g)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je považováno za porušení méně závažné ve smyslu 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ust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. § 10a odst. 6 zákona o rozpočtových pravidlech. Odvod za tato porušení rozpočtové kázně se stanoví následujícím procentem:</w:t>
      </w:r>
    </w:p>
    <w:p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Předložení vyúčtování podle odst. 4 písm. c) po stanovené lhůtě: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7 kalendářních dnů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8 do 30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10 % z výše schválené dotace,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31 do 50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20 % z výše schválené dotace,</w:t>
      </w:r>
    </w:p>
    <w:p w:rsidR="00E318F9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od 51 kalendářních dnů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30 % z výše schválené dotace,</w:t>
      </w:r>
    </w:p>
    <w:p w:rsidR="00E318F9" w:rsidRDefault="007F48E3">
      <w:pPr>
        <w:numPr>
          <w:ilvl w:val="0"/>
          <w:numId w:val="11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Porušení podmínky stanovené v odst. 4 písm. a)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 xml:space="preserve">  5 % z výše schválené dotace,</w:t>
      </w:r>
    </w:p>
    <w:p w:rsidR="00E318F9" w:rsidRPr="000D0876" w:rsidRDefault="007F48E3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>Porušení podmínky stanovené v odst. 4 písm. g)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ab/>
        <w:t>10 % z výše schválené dotace.</w:t>
      </w:r>
    </w:p>
    <w:p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Poskytovatel dotace si vyhrazuje právo vypovědět tuto smlouvu s výpovědní dobou 30 kalendářních dnů od doručení výpovědi příjemci dotace v případě, že příjemce dotace poruší jakoukoli povinnost nebo podmínky stanovené touto smlouvou. Výpověď musí mít písemnou formu.</w:t>
      </w:r>
    </w:p>
    <w:p w:rsidR="00E318F9" w:rsidRDefault="00E318F9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Pr="000D0876" w:rsidRDefault="007F48E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Příjemce dotace je povinen neprodleně nahlásit městu Orlov</w:t>
      </w:r>
      <w:r w:rsidR="00035ACF">
        <w:rPr>
          <w:rFonts w:ascii="Arial" w:eastAsia="Calibri" w:hAnsi="Arial" w:cs="Arial"/>
          <w:sz w:val="22"/>
          <w:szCs w:val="22"/>
          <w:lang w:eastAsia="en-US"/>
        </w:rPr>
        <w:t>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změny podmínek v činnosti klubu/sportovce, které mají vazbu na výši poskytované dotace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, což jsou zejména postupy a</w:t>
      </w:r>
      <w:r w:rsidR="000D7572" w:rsidRPr="000D087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sestupy družstev mládeže a dospělých, rozpady a vznik družstev, změny majetkových poměrů ke sportovištím, změny počtu členské základny a další podstatné změny mající vliv na</w:t>
      </w:r>
      <w:r w:rsidR="000D7572" w:rsidRPr="000D087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výši poskytované dotace.</w:t>
      </w:r>
    </w:p>
    <w:p w:rsidR="00E318F9" w:rsidRDefault="00E318F9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2F26" w:rsidRDefault="00B52F26">
      <w:pPr>
        <w:spacing w:after="200" w:line="276" w:lineRule="auto"/>
        <w:ind w:left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:rsidR="00E318F9" w:rsidRDefault="007F48E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E318F9" w:rsidRDefault="00E318F9">
      <w:pPr>
        <w:jc w:val="center"/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Administraci dotace dle této smlouvy zabezpečuje: Město Orlová, odbor městských financí a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školství. 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0D0876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</w:pP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Tato smlouva nabývá účinnosti dnem jejího uveřejnění v registru smluv (§ 6 odst. 1 zákona č. 340/2015 Sb., o zvláštních podmínkách účinnosti některých smluv, uveřejňování těchto smluv a o registru smluv (zákon o registru </w:t>
      </w:r>
      <w:proofErr w:type="gramStart"/>
      <w:r w:rsidRPr="000D0876">
        <w:rPr>
          <w:rFonts w:ascii="Arial" w:eastAsia="Calibri" w:hAnsi="Arial" w:cs="Arial"/>
          <w:sz w:val="22"/>
          <w:szCs w:val="22"/>
          <w:lang w:eastAsia="en-US"/>
        </w:rPr>
        <w:t>smluv) (dále</w:t>
      </w:r>
      <w:proofErr w:type="gramEnd"/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 jen „zákon o registru smluv“), není-li stanovena účinnost pozdější, odvíjející se od lhůty stanovené v </w:t>
      </w:r>
      <w:proofErr w:type="spellStart"/>
      <w:r w:rsidRPr="000D0876">
        <w:rPr>
          <w:rFonts w:ascii="Arial" w:eastAsia="Calibri" w:hAnsi="Arial" w:cs="Arial"/>
          <w:sz w:val="22"/>
          <w:szCs w:val="22"/>
          <w:lang w:eastAsia="en-US"/>
        </w:rPr>
        <w:t>ust</w:t>
      </w:r>
      <w:proofErr w:type="spellEnd"/>
      <w:r w:rsidRPr="000D0876">
        <w:rPr>
          <w:rFonts w:ascii="Arial" w:eastAsia="Calibri" w:hAnsi="Arial" w:cs="Arial"/>
          <w:sz w:val="22"/>
          <w:szCs w:val="22"/>
          <w:lang w:eastAsia="en-US"/>
        </w:rPr>
        <w:t>. § 5 odst. 2 zákona o registru smluv. Město Orlová tuto smlouvu zašle správci registru smluv k uveřejnění prostřednictvím registru smluv bez zbytečného odkladu, nejpozději do 30 dnů od jejího uzavření (§ 5 odst. 2 zákona o</w:t>
      </w:r>
      <w:r w:rsidR="0024460B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registru smluv) a platnosti okamžikem jejího podpisu oběma smluvními stranami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Smluvní strany se dohodly, že pro řešení otázek touto smlouvou neupravených, použijí přiměřeně ustanovení zákona č. 89/2012Sb., občanský zákoník, ve znění pozdějších předpisů. Zároveň však vylučují použití jeho ustanovení § 1765 a § 1978 odst. 2. 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Změnit nebo doplnit tuto smlouvu mohou smluvní strany pouze formou písemných dodatků, které budou vzestupně číslovány, výslovně prohlášeny za dodatek této smlouvy a podepsány oprávněnými zástupci smluvních stran. Za písemnou formu nebude pro tento účel považována výměna e-mailových či jiných elektronických zpráv.</w:t>
      </w:r>
    </w:p>
    <w:p w:rsidR="00E318F9" w:rsidRDefault="00E318F9">
      <w:pPr>
        <w:spacing w:after="200" w:line="276" w:lineRule="auto"/>
        <w:ind w:left="284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Právní vztah založený touto smlouvou lze ukončit dohodou nebo výpovědí kterékoliv ze smluvních stran. Výpovědní doba je 30 kalendářních dní a začíná běžet prvním dnem měsíce následujícího po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doručení výpovědi druhé smluvní straně. Ukončení smlouvy na základě výpovědi nezbavuje příjemce dotace povinnosti dotaci řádně vyúčtovat a splnit další podmínky dle čl. VI odst. 4.</w:t>
      </w: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Příjemce dotace je povinen bez zbytečného odkladu informovat poskytovatele o své přeměně či</w:t>
      </w:r>
      <w:r w:rsidR="00EA1E86">
        <w:rPr>
          <w:rFonts w:eastAsia="Calibri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>vstupu do likvidace.</w:t>
      </w:r>
    </w:p>
    <w:p w:rsidR="00E318F9" w:rsidRDefault="00E318F9">
      <w:pPr>
        <w:spacing w:after="200" w:line="276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Smlouva je sepsána ve dvou stejnopisech s platností originálu, z nichž každá strana obdrží jeden stejnopis.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osoby podepisující tuto smlouvu jsou k tomuto úkonu oprávněny.</w:t>
      </w:r>
    </w:p>
    <w:p w:rsidR="00E318F9" w:rsidRDefault="00E318F9">
      <w:p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Smluvní strany prohlašují, že si smlouvu před jejím podpisem přečetly a že byla uzavřena svobodně, určitě, vážně a srozumitelně, nikoliv v tísni a za nápadně nevýhodných podmínek, což stvrzují svými podpisy.</w:t>
      </w:r>
    </w:p>
    <w:p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numPr>
          <w:ilvl w:val="0"/>
          <w:numId w:val="12"/>
        </w:numPr>
        <w:tabs>
          <w:tab w:val="left" w:pos="142"/>
        </w:tabs>
        <w:spacing w:after="200" w:line="276" w:lineRule="auto"/>
        <w:ind w:left="284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Doložka platnosti právního jednání dle § 41 zákona č. 128/2000 Sb., o obcích (obecní zřízení), ve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znění pozdějších předpisů: </w:t>
      </w:r>
    </w:p>
    <w:p w:rsidR="00E318F9" w:rsidRDefault="00E318F9">
      <w:pPr>
        <w:spacing w:after="200" w:line="276" w:lineRule="auto"/>
        <w:ind w:left="720" w:hanging="426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E318F9" w:rsidRDefault="007F48E3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O poskytnutí dotace </w:t>
      </w:r>
      <w:r w:rsidR="000A2721">
        <w:rPr>
          <w:rFonts w:ascii="Arial" w:eastAsia="Calibri" w:hAnsi="Arial" w:cs="Arial"/>
          <w:sz w:val="22"/>
          <w:szCs w:val="22"/>
          <w:lang w:eastAsia="en-US"/>
        </w:rPr>
        <w:t>a uzavření této smlouvy rozhodlo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0876">
        <w:rPr>
          <w:rFonts w:ascii="Arial" w:eastAsia="Calibri" w:hAnsi="Arial" w:cs="Arial"/>
          <w:sz w:val="22"/>
          <w:szCs w:val="22"/>
          <w:lang w:eastAsia="en-US"/>
        </w:rPr>
        <w:t>Zastupitelstvo</w:t>
      </w:r>
      <w:r>
        <w:rPr>
          <w:rFonts w:ascii="Arial" w:eastAsia="Calibri" w:hAnsi="Arial" w:cs="Arial"/>
          <w:color w:val="2E74B5" w:themeColor="accent1" w:themeShade="BF"/>
          <w:sz w:val="22"/>
          <w:szCs w:val="22"/>
          <w:lang w:eastAsia="en-US"/>
        </w:rPr>
        <w:t xml:space="preserve"> 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>města Orlov</w:t>
      </w:r>
      <w:r w:rsidR="00035ACF" w:rsidRPr="000D0876">
        <w:rPr>
          <w:rFonts w:ascii="Arial" w:eastAsia="Calibri" w:hAnsi="Arial" w:cs="Arial"/>
          <w:sz w:val="22"/>
          <w:szCs w:val="22"/>
          <w:lang w:eastAsia="en-US"/>
        </w:rPr>
        <w:t>á</w:t>
      </w:r>
      <w:r w:rsidRPr="000D08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svým usnesením č.</w:t>
      </w:r>
      <w:r w:rsidR="00EA1E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942CB">
        <w:rPr>
          <w:rFonts w:ascii="Arial" w:eastAsia="Calibri" w:hAnsi="Arial" w:cs="Arial"/>
          <w:sz w:val="22"/>
          <w:szCs w:val="22"/>
          <w:lang w:eastAsia="en-US"/>
        </w:rPr>
        <w:t>423</w:t>
      </w:r>
      <w:r>
        <w:rPr>
          <w:rFonts w:ascii="Arial" w:eastAsia="Calibri" w:hAnsi="Arial" w:cs="Arial"/>
          <w:sz w:val="22"/>
          <w:szCs w:val="22"/>
          <w:lang w:eastAsia="en-US"/>
        </w:rPr>
        <w:t>/</w:t>
      </w:r>
      <w:r w:rsidR="000D0876">
        <w:rPr>
          <w:rFonts w:ascii="Arial" w:eastAsia="Calibri" w:hAnsi="Arial" w:cs="Arial"/>
          <w:sz w:val="22"/>
          <w:szCs w:val="22"/>
          <w:lang w:eastAsia="en-US"/>
        </w:rPr>
        <w:t xml:space="preserve">17.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ze dne </w:t>
      </w:r>
      <w:proofErr w:type="gramStart"/>
      <w:r w:rsidR="000D0876">
        <w:rPr>
          <w:rFonts w:ascii="Arial" w:eastAsia="Calibri" w:hAnsi="Arial" w:cs="Arial"/>
          <w:sz w:val="22"/>
          <w:szCs w:val="22"/>
          <w:lang w:eastAsia="en-US"/>
        </w:rPr>
        <w:t>26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0D0876">
        <w:rPr>
          <w:rFonts w:ascii="Arial" w:eastAsia="Calibri" w:hAnsi="Arial" w:cs="Arial"/>
          <w:sz w:val="22"/>
          <w:szCs w:val="22"/>
          <w:lang w:eastAsia="en-US"/>
        </w:rPr>
        <w:t>04</w:t>
      </w:r>
      <w:r>
        <w:rPr>
          <w:rFonts w:ascii="Arial" w:eastAsia="Calibri" w:hAnsi="Arial" w:cs="Arial"/>
          <w:sz w:val="22"/>
          <w:szCs w:val="22"/>
          <w:lang w:eastAsia="en-US"/>
        </w:rPr>
        <w:t>.2021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b/>
          <w:sz w:val="22"/>
          <w:szCs w:val="22"/>
        </w:rPr>
      </w:pPr>
    </w:p>
    <w:p w:rsidR="00E318F9" w:rsidRDefault="007F48E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 poskytovatele dotace:                             </w:t>
      </w:r>
      <w:r>
        <w:rPr>
          <w:rFonts w:ascii="Arial" w:hAnsi="Arial" w:cs="Arial"/>
          <w:b/>
          <w:sz w:val="22"/>
          <w:szCs w:val="22"/>
        </w:rPr>
        <w:tab/>
        <w:t>Za příjemce dotace:</w:t>
      </w:r>
      <w:r>
        <w:rPr>
          <w:rFonts w:ascii="Arial" w:hAnsi="Arial" w:cs="Arial"/>
          <w:b/>
          <w:sz w:val="22"/>
          <w:szCs w:val="22"/>
        </w:rPr>
        <w:tab/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7F48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Orlové dne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A878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04.05.2021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10.05.2021</w:t>
      </w:r>
      <w:bookmarkStart w:id="0" w:name="_GoBack"/>
      <w:bookmarkEnd w:id="0"/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rPr>
          <w:rFonts w:ascii="Arial" w:hAnsi="Arial" w:cs="Arial"/>
          <w:sz w:val="22"/>
          <w:szCs w:val="22"/>
        </w:rPr>
      </w:pPr>
    </w:p>
    <w:p w:rsidR="00E318F9" w:rsidRDefault="00E318F9">
      <w:pPr>
        <w:suppressAutoHyphens/>
        <w:rPr>
          <w:rFonts w:ascii="Arial" w:hAnsi="Arial" w:cs="Arial"/>
          <w:sz w:val="22"/>
          <w:szCs w:val="22"/>
        </w:rPr>
      </w:pPr>
    </w:p>
    <w:p w:rsidR="00E318F9" w:rsidRDefault="007F48E3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50800</wp:posOffset>
                </wp:positionV>
                <wp:extent cx="23050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63EAA" id="Přímá spojnice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8.65pt,4pt" to="430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305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2287D" id="Přímá spojnice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75pt" to="18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E318F9" w:rsidRPr="00B52F26" w:rsidRDefault="007F48E3">
      <w:p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Mgr. Miroslav Chlubna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F6F69">
        <w:rPr>
          <w:rFonts w:ascii="Arial" w:hAnsi="Arial" w:cs="Arial"/>
          <w:b/>
          <w:sz w:val="22"/>
          <w:szCs w:val="22"/>
        </w:rPr>
        <w:t xml:space="preserve">Gabriela </w:t>
      </w:r>
      <w:proofErr w:type="spellStart"/>
      <w:r w:rsidR="003F6F69">
        <w:rPr>
          <w:rFonts w:ascii="Arial" w:hAnsi="Arial" w:cs="Arial"/>
          <w:b/>
          <w:sz w:val="22"/>
          <w:szCs w:val="22"/>
        </w:rPr>
        <w:t>Kristen</w:t>
      </w:r>
      <w:proofErr w:type="spellEnd"/>
    </w:p>
    <w:p w:rsidR="00E318F9" w:rsidRPr="00B52F26" w:rsidRDefault="007F48E3">
      <w:r w:rsidRPr="00B52F26">
        <w:rPr>
          <w:rFonts w:ascii="Arial" w:hAnsi="Arial" w:cs="Arial"/>
          <w:sz w:val="22"/>
          <w:szCs w:val="22"/>
        </w:rPr>
        <w:t xml:space="preserve">starosta města                          </w:t>
      </w:r>
      <w:r w:rsidRPr="00B52F26">
        <w:rPr>
          <w:rFonts w:ascii="Arial" w:hAnsi="Arial" w:cs="Arial"/>
          <w:sz w:val="22"/>
          <w:szCs w:val="22"/>
        </w:rPr>
        <w:tab/>
      </w:r>
      <w:r w:rsidRPr="00B52F26">
        <w:rPr>
          <w:rFonts w:ascii="Arial" w:hAnsi="Arial" w:cs="Arial"/>
          <w:sz w:val="22"/>
          <w:szCs w:val="22"/>
        </w:rPr>
        <w:tab/>
      </w:r>
      <w:r w:rsidRPr="00B52F26">
        <w:rPr>
          <w:rFonts w:ascii="Arial" w:hAnsi="Arial" w:cs="Arial"/>
          <w:sz w:val="22"/>
          <w:szCs w:val="22"/>
        </w:rPr>
        <w:tab/>
      </w:r>
      <w:r w:rsidR="003F6F69">
        <w:rPr>
          <w:rFonts w:ascii="Arial" w:hAnsi="Arial" w:cs="Arial"/>
          <w:sz w:val="22"/>
          <w:szCs w:val="22"/>
        </w:rPr>
        <w:t>předseda</w:t>
      </w:r>
      <w:r w:rsidR="00B52F26" w:rsidRPr="00B52F26">
        <w:rPr>
          <w:rFonts w:ascii="Arial" w:hAnsi="Arial" w:cs="Arial"/>
          <w:sz w:val="22"/>
          <w:szCs w:val="22"/>
        </w:rPr>
        <w:t xml:space="preserve"> spolku</w:t>
      </w:r>
    </w:p>
    <w:sectPr w:rsidR="00E318F9" w:rsidRPr="00B52F26" w:rsidSect="000D7572">
      <w:headerReference w:type="default" r:id="rId8"/>
      <w:footerReference w:type="default" r:id="rId9"/>
      <w:pgSz w:w="11906" w:h="16838"/>
      <w:pgMar w:top="1417" w:right="1417" w:bottom="1417" w:left="993" w:header="708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A8C" w:rsidRDefault="00EC5A8C">
      <w:r>
        <w:separator/>
      </w:r>
    </w:p>
  </w:endnote>
  <w:endnote w:type="continuationSeparator" w:id="0">
    <w:p w:rsidR="00EC5A8C" w:rsidRDefault="00EC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F9" w:rsidRDefault="00E318F9"/>
  <w:sdt>
    <w:sdtPr>
      <w:id w:val="1536164085"/>
      <w:docPartObj>
        <w:docPartGallery w:val="AutoText"/>
      </w:docPartObj>
    </w:sdtPr>
    <w:sdtEndPr/>
    <w:sdtContent>
      <w:sdt>
        <w:sdtPr>
          <w:id w:val="-14538831"/>
          <w:docPartObj>
            <w:docPartGallery w:val="AutoText"/>
          </w:docPartObj>
        </w:sdtPr>
        <w:sdtEndPr/>
        <w:sdtContent>
          <w:p w:rsidR="00E318F9" w:rsidRDefault="007F48E3">
            <w:pPr>
              <w:pStyle w:val="Zpat"/>
              <w:ind w:firstLine="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171450</wp:posOffset>
                  </wp:positionH>
                  <wp:positionV relativeFrom="paragraph">
                    <wp:posOffset>-62865</wp:posOffset>
                  </wp:positionV>
                  <wp:extent cx="377190" cy="442595"/>
                  <wp:effectExtent l="0" t="0" r="3810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294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Město Orlová</w:t>
            </w:r>
          </w:p>
          <w:p w:rsidR="00E318F9" w:rsidRDefault="007F48E3">
            <w:pPr>
              <w:pStyle w:val="Zpat"/>
              <w:tabs>
                <w:tab w:val="clear" w:pos="4536"/>
                <w:tab w:val="clear" w:pos="9072"/>
              </w:tabs>
              <w:ind w:left="993"/>
              <w:jc w:val="both"/>
            </w:pPr>
            <w:r>
              <w:rPr>
                <w:rFonts w:ascii="Arial" w:hAnsi="Arial" w:cs="Arial"/>
              </w:rPr>
              <w:t>Odbor městských financí a školství</w:t>
            </w:r>
            <w:r>
              <w:rPr>
                <w:rFonts w:ascii="Arial" w:hAnsi="Arial" w:cs="Arial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878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8781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E318F9" w:rsidRDefault="00E318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A8C" w:rsidRDefault="00EC5A8C">
      <w:r>
        <w:separator/>
      </w:r>
    </w:p>
  </w:footnote>
  <w:footnote w:type="continuationSeparator" w:id="0">
    <w:p w:rsidR="00EC5A8C" w:rsidRDefault="00EC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F9" w:rsidRDefault="00E318F9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DC5"/>
    <w:multiLevelType w:val="multilevel"/>
    <w:tmpl w:val="0AEF2DC5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1" w15:restartNumberingAfterBreak="0">
    <w:nsid w:val="0BD06CF9"/>
    <w:multiLevelType w:val="multilevel"/>
    <w:tmpl w:val="0BD06CF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77C83"/>
    <w:multiLevelType w:val="multilevel"/>
    <w:tmpl w:val="14177C83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733E"/>
    <w:multiLevelType w:val="multilevel"/>
    <w:tmpl w:val="17E5733E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F33AAE"/>
    <w:multiLevelType w:val="multilevel"/>
    <w:tmpl w:val="1CF33AA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5" w15:restartNumberingAfterBreak="0">
    <w:nsid w:val="1E7471E5"/>
    <w:multiLevelType w:val="multilevel"/>
    <w:tmpl w:val="1E7471E5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71133"/>
    <w:multiLevelType w:val="multilevel"/>
    <w:tmpl w:val="2397113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/>
      </w:rPr>
    </w:lvl>
  </w:abstractNum>
  <w:abstractNum w:abstractNumId="7" w15:restartNumberingAfterBreak="0">
    <w:nsid w:val="2DAE3980"/>
    <w:multiLevelType w:val="multilevel"/>
    <w:tmpl w:val="2DAE39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A1939"/>
    <w:multiLevelType w:val="multilevel"/>
    <w:tmpl w:val="30AA1939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5C9E"/>
    <w:multiLevelType w:val="multilevel"/>
    <w:tmpl w:val="34B65C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03D76"/>
    <w:multiLevelType w:val="multilevel"/>
    <w:tmpl w:val="72F03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16B26"/>
    <w:multiLevelType w:val="multilevel"/>
    <w:tmpl w:val="79516B2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BA"/>
    <w:rsid w:val="000176FB"/>
    <w:rsid w:val="00035ACF"/>
    <w:rsid w:val="000872AC"/>
    <w:rsid w:val="000A2721"/>
    <w:rsid w:val="000B7FB7"/>
    <w:rsid w:val="000D0876"/>
    <w:rsid w:val="000D6033"/>
    <w:rsid w:val="000D7572"/>
    <w:rsid w:val="000F7C3B"/>
    <w:rsid w:val="00130B09"/>
    <w:rsid w:val="001311BE"/>
    <w:rsid w:val="00132A29"/>
    <w:rsid w:val="00140AEC"/>
    <w:rsid w:val="002231BC"/>
    <w:rsid w:val="002314EE"/>
    <w:rsid w:val="0024460B"/>
    <w:rsid w:val="002B487C"/>
    <w:rsid w:val="002D752B"/>
    <w:rsid w:val="002F013D"/>
    <w:rsid w:val="0039282E"/>
    <w:rsid w:val="003F34A3"/>
    <w:rsid w:val="003F6F69"/>
    <w:rsid w:val="00410E4C"/>
    <w:rsid w:val="00425627"/>
    <w:rsid w:val="004657E5"/>
    <w:rsid w:val="004942CB"/>
    <w:rsid w:val="004B6E15"/>
    <w:rsid w:val="004C094C"/>
    <w:rsid w:val="004D5397"/>
    <w:rsid w:val="004D65A0"/>
    <w:rsid w:val="00540AFB"/>
    <w:rsid w:val="00572622"/>
    <w:rsid w:val="00582F9A"/>
    <w:rsid w:val="005C2503"/>
    <w:rsid w:val="00601AAC"/>
    <w:rsid w:val="0066263F"/>
    <w:rsid w:val="00696A26"/>
    <w:rsid w:val="006C38B5"/>
    <w:rsid w:val="006C71C1"/>
    <w:rsid w:val="00767610"/>
    <w:rsid w:val="007B7E3B"/>
    <w:rsid w:val="007F48E3"/>
    <w:rsid w:val="00896941"/>
    <w:rsid w:val="008E00CE"/>
    <w:rsid w:val="009A322E"/>
    <w:rsid w:val="009A38B2"/>
    <w:rsid w:val="00A02B95"/>
    <w:rsid w:val="00A12E45"/>
    <w:rsid w:val="00A176E1"/>
    <w:rsid w:val="00A76840"/>
    <w:rsid w:val="00A8781C"/>
    <w:rsid w:val="00AA3599"/>
    <w:rsid w:val="00B41DB1"/>
    <w:rsid w:val="00B52F26"/>
    <w:rsid w:val="00B55948"/>
    <w:rsid w:val="00B777C8"/>
    <w:rsid w:val="00BD4FF8"/>
    <w:rsid w:val="00C80B3A"/>
    <w:rsid w:val="00D31200"/>
    <w:rsid w:val="00D41983"/>
    <w:rsid w:val="00D62BBA"/>
    <w:rsid w:val="00E06952"/>
    <w:rsid w:val="00E129B2"/>
    <w:rsid w:val="00E13DF3"/>
    <w:rsid w:val="00E3164B"/>
    <w:rsid w:val="00E318F9"/>
    <w:rsid w:val="00E527A2"/>
    <w:rsid w:val="00E824DA"/>
    <w:rsid w:val="00EA1E86"/>
    <w:rsid w:val="00EB7000"/>
    <w:rsid w:val="00EC5A8C"/>
    <w:rsid w:val="00ED0A47"/>
    <w:rsid w:val="00F55B91"/>
    <w:rsid w:val="00FD291F"/>
    <w:rsid w:val="7EB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81B43A3-03AB-4DF1-ADDC-F9E20099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Siln">
    <w:name w:val="Strong"/>
    <w:qFormat/>
    <w:rPr>
      <w:rFonts w:cs="Times New Roman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1885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 Michal</dc:creator>
  <cp:lastModifiedBy>Siekiera Tomáš</cp:lastModifiedBy>
  <cp:revision>12</cp:revision>
  <cp:lastPrinted>2021-05-10T07:56:00Z</cp:lastPrinted>
  <dcterms:created xsi:type="dcterms:W3CDTF">2021-03-09T09:40:00Z</dcterms:created>
  <dcterms:modified xsi:type="dcterms:W3CDTF">2021-05-10T14:25:00Z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