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012C7" w14:textId="77777777"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14:paraId="3ACD403F" w14:textId="77777777"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14:paraId="6F269690" w14:textId="77777777"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14:paraId="366AFECF" w14:textId="77777777"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8"/>
          <w:footerReference w:type="default" r:id="rId9"/>
          <w:pgSz w:w="11906" w:h="16838" w:code="9"/>
          <w:pgMar w:top="126" w:right="1106" w:bottom="993" w:left="1259" w:header="397" w:footer="88" w:gutter="0"/>
          <w:cols w:space="708"/>
          <w:docGrid w:linePitch="360"/>
        </w:sectPr>
      </w:pPr>
    </w:p>
    <w:p w14:paraId="41BE25A3" w14:textId="77777777"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t>Statutární město Ostrava</w:t>
      </w:r>
    </w:p>
    <w:p w14:paraId="36B6C145" w14:textId="77777777"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14:paraId="1C2152DA" w14:textId="77777777"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14:paraId="4574466B" w14:textId="77777777"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14:paraId="18BE4CD1" w14:textId="77777777"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14:paraId="5795AE83" w14:textId="77777777"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14:paraId="2454C776" w14:textId="77777777"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14:paraId="6374B49C" w14:textId="77777777"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14:paraId="0F41AE19" w14:textId="77777777"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14:paraId="65C0BE5C" w14:textId="2F098D11"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00741D01" w:rsidRPr="006120DC">
        <w:rPr>
          <w:rFonts w:ascii="Times New Roman" w:hAnsi="Times New Roman"/>
          <w:sz w:val="22"/>
          <w:szCs w:val="22"/>
        </w:rPr>
        <w:t>jen,,</w:t>
      </w:r>
      <w:proofErr w:type="gramEnd"/>
      <w:r w:rsidR="00741D01" w:rsidRPr="006120DC">
        <w:rPr>
          <w:rFonts w:ascii="Times New Roman" w:hAnsi="Times New Roman"/>
          <w:sz w:val="22"/>
          <w:szCs w:val="22"/>
        </w:rPr>
        <w:t xml:space="preserve"> poskytovatel</w:t>
      </w:r>
      <w:r w:rsidR="000A0096">
        <w:rPr>
          <w:rFonts w:ascii="Times New Roman" w:hAnsi="Times New Roman"/>
          <w:b/>
          <w:sz w:val="22"/>
          <w:szCs w:val="22"/>
        </w:rPr>
        <w:t>“</w:t>
      </w:r>
    </w:p>
    <w:p w14:paraId="2E53C1FD" w14:textId="77777777"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14:paraId="6F38CAE1" w14:textId="701AF6DE" w:rsidR="00E902A8" w:rsidRDefault="00E902A8" w:rsidP="00C140AD">
      <w:pPr>
        <w:tabs>
          <w:tab w:val="left" w:pos="0"/>
          <w:tab w:val="left" w:pos="4706"/>
          <w:tab w:val="left" w:pos="4990"/>
          <w:tab w:val="left" w:pos="9639"/>
        </w:tabs>
        <w:spacing w:before="60"/>
        <w:rPr>
          <w:rFonts w:ascii="Times New Roman" w:hAnsi="Times New Roman"/>
          <w:b/>
          <w:sz w:val="22"/>
          <w:szCs w:val="22"/>
        </w:rPr>
      </w:pPr>
      <w:r w:rsidRPr="00E902A8">
        <w:rPr>
          <w:rFonts w:ascii="Times New Roman" w:hAnsi="Times New Roman"/>
          <w:b/>
          <w:sz w:val="22"/>
          <w:szCs w:val="22"/>
        </w:rPr>
        <w:t>TJ S</w:t>
      </w:r>
      <w:r w:rsidR="006350BE">
        <w:rPr>
          <w:rFonts w:ascii="Times New Roman" w:hAnsi="Times New Roman"/>
          <w:b/>
          <w:sz w:val="22"/>
          <w:szCs w:val="22"/>
        </w:rPr>
        <w:t>okol</w:t>
      </w:r>
      <w:r w:rsidRPr="00E902A8">
        <w:rPr>
          <w:rFonts w:ascii="Times New Roman" w:hAnsi="Times New Roman"/>
          <w:b/>
          <w:sz w:val="22"/>
          <w:szCs w:val="22"/>
        </w:rPr>
        <w:t xml:space="preserve"> </w:t>
      </w:r>
      <w:proofErr w:type="spellStart"/>
      <w:r w:rsidRPr="00E902A8">
        <w:rPr>
          <w:rFonts w:ascii="Times New Roman" w:hAnsi="Times New Roman"/>
          <w:b/>
          <w:sz w:val="22"/>
          <w:szCs w:val="22"/>
        </w:rPr>
        <w:t>Pustkovec</w:t>
      </w:r>
      <w:proofErr w:type="spellEnd"/>
      <w:r w:rsidRPr="00E902A8">
        <w:rPr>
          <w:rFonts w:ascii="Times New Roman" w:hAnsi="Times New Roman"/>
          <w:b/>
          <w:sz w:val="22"/>
          <w:szCs w:val="22"/>
        </w:rPr>
        <w:t xml:space="preserve"> z.s.</w:t>
      </w:r>
    </w:p>
    <w:p w14:paraId="252A30C8" w14:textId="17727F50" w:rsidR="00E902A8" w:rsidRDefault="00E902A8" w:rsidP="00C140AD">
      <w:pPr>
        <w:tabs>
          <w:tab w:val="left" w:pos="0"/>
          <w:tab w:val="left" w:pos="9639"/>
        </w:tabs>
        <w:rPr>
          <w:rFonts w:ascii="Times New Roman" w:hAnsi="Times New Roman"/>
          <w:sz w:val="22"/>
          <w:szCs w:val="22"/>
        </w:rPr>
      </w:pPr>
      <w:r w:rsidRPr="00E902A8">
        <w:rPr>
          <w:rFonts w:ascii="Times New Roman" w:hAnsi="Times New Roman"/>
          <w:sz w:val="22"/>
          <w:szCs w:val="22"/>
        </w:rPr>
        <w:t xml:space="preserve">Pustkovecká 356/103, 708 00 </w:t>
      </w:r>
      <w:r w:rsidR="006350BE" w:rsidRPr="00E902A8">
        <w:rPr>
          <w:rFonts w:ascii="Times New Roman" w:hAnsi="Times New Roman"/>
          <w:sz w:val="22"/>
          <w:szCs w:val="22"/>
        </w:rPr>
        <w:t xml:space="preserve">Ostrava – </w:t>
      </w:r>
      <w:proofErr w:type="spellStart"/>
      <w:r w:rsidR="006350BE" w:rsidRPr="00E902A8">
        <w:rPr>
          <w:rFonts w:ascii="Times New Roman" w:hAnsi="Times New Roman"/>
          <w:sz w:val="22"/>
          <w:szCs w:val="22"/>
        </w:rPr>
        <w:t>Pustkovec</w:t>
      </w:r>
      <w:proofErr w:type="spellEnd"/>
      <w:r w:rsidRPr="00E902A8">
        <w:rPr>
          <w:rFonts w:ascii="Times New Roman" w:hAnsi="Times New Roman"/>
          <w:sz w:val="22"/>
          <w:szCs w:val="22"/>
        </w:rPr>
        <w:t xml:space="preserve"> </w:t>
      </w:r>
    </w:p>
    <w:p w14:paraId="00A444D3" w14:textId="6051CC2B"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667753">
        <w:rPr>
          <w:rFonts w:ascii="Times New Roman" w:hAnsi="Times New Roman"/>
          <w:sz w:val="22"/>
          <w:szCs w:val="22"/>
        </w:rPr>
        <w:t xml:space="preserve">předsedou </w:t>
      </w:r>
      <w:r w:rsidR="00667753" w:rsidRPr="00667753">
        <w:rPr>
          <w:rFonts w:ascii="Times New Roman" w:hAnsi="Times New Roman"/>
          <w:sz w:val="22"/>
          <w:szCs w:val="22"/>
        </w:rPr>
        <w:t xml:space="preserve">Miroslavem </w:t>
      </w:r>
      <w:proofErr w:type="spellStart"/>
      <w:r w:rsidR="00667753" w:rsidRPr="00667753">
        <w:rPr>
          <w:rFonts w:ascii="Times New Roman" w:hAnsi="Times New Roman"/>
          <w:sz w:val="22"/>
          <w:szCs w:val="22"/>
        </w:rPr>
        <w:t>Běhůnkem</w:t>
      </w:r>
      <w:proofErr w:type="spellEnd"/>
    </w:p>
    <w:p w14:paraId="13791B29"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2813BE3A" w14:textId="5ED64ABC"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233959" w:rsidRPr="00233959">
        <w:rPr>
          <w:rFonts w:ascii="Times New Roman" w:hAnsi="Times New Roman"/>
          <w:sz w:val="22"/>
          <w:szCs w:val="22"/>
        </w:rPr>
        <w:t>44741171</w:t>
      </w:r>
    </w:p>
    <w:p w14:paraId="187571BE" w14:textId="026EE209"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sidRPr="006350BE">
        <w:rPr>
          <w:rFonts w:ascii="Times New Roman" w:hAnsi="Times New Roman"/>
          <w:sz w:val="22"/>
          <w:szCs w:val="22"/>
        </w:rPr>
        <w:t>CZ</w:t>
      </w:r>
      <w:r w:rsidR="00233959" w:rsidRPr="006350BE">
        <w:rPr>
          <w:rFonts w:ascii="Times New Roman" w:hAnsi="Times New Roman"/>
          <w:sz w:val="22"/>
          <w:szCs w:val="22"/>
        </w:rPr>
        <w:t xml:space="preserve">44741171 </w:t>
      </w:r>
      <w:r w:rsidRPr="006350BE">
        <w:rPr>
          <w:rFonts w:ascii="Times New Roman" w:hAnsi="Times New Roman"/>
          <w:sz w:val="22"/>
          <w:szCs w:val="22"/>
        </w:rPr>
        <w:t>(</w:t>
      </w:r>
      <w:r w:rsidR="000A0096" w:rsidRPr="006350BE">
        <w:rPr>
          <w:rFonts w:ascii="Times New Roman" w:hAnsi="Times New Roman"/>
          <w:sz w:val="22"/>
          <w:szCs w:val="22"/>
        </w:rPr>
        <w:t>nep</w:t>
      </w:r>
      <w:r w:rsidR="006A2D73" w:rsidRPr="006350BE">
        <w:rPr>
          <w:rFonts w:ascii="Times New Roman" w:hAnsi="Times New Roman"/>
          <w:sz w:val="22"/>
          <w:szCs w:val="22"/>
        </w:rPr>
        <w:t>l</w:t>
      </w:r>
      <w:r w:rsidR="000A0096" w:rsidRPr="006350BE">
        <w:rPr>
          <w:rFonts w:ascii="Times New Roman" w:hAnsi="Times New Roman"/>
          <w:sz w:val="22"/>
          <w:szCs w:val="22"/>
        </w:rPr>
        <w:t>átce</w:t>
      </w:r>
      <w:r w:rsidRPr="006350BE">
        <w:rPr>
          <w:rFonts w:ascii="Times New Roman" w:hAnsi="Times New Roman"/>
          <w:sz w:val="22"/>
          <w:szCs w:val="22"/>
        </w:rPr>
        <w:t xml:space="preserve"> DPH)</w:t>
      </w:r>
      <w:r w:rsidRPr="006120DC">
        <w:rPr>
          <w:rFonts w:ascii="Times New Roman" w:hAnsi="Times New Roman"/>
          <w:sz w:val="22"/>
          <w:szCs w:val="22"/>
        </w:rPr>
        <w:t xml:space="preserve"> </w:t>
      </w:r>
    </w:p>
    <w:p w14:paraId="6C99421D" w14:textId="498DDD3F"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proofErr w:type="spellStart"/>
      <w:r w:rsidR="0033000F">
        <w:rPr>
          <w:rFonts w:ascii="Times New Roman" w:hAnsi="Times New Roman"/>
          <w:sz w:val="22"/>
          <w:szCs w:val="22"/>
        </w:rPr>
        <w:t>xxxxxxxxxxxxxxxxxxxxxxx</w:t>
      </w:r>
      <w:proofErr w:type="spellEnd"/>
    </w:p>
    <w:p w14:paraId="4E8A464C" w14:textId="6F44F5CE"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proofErr w:type="spellStart"/>
      <w:r w:rsidR="0033000F">
        <w:rPr>
          <w:rFonts w:ascii="Times New Roman" w:hAnsi="Times New Roman"/>
          <w:sz w:val="22"/>
          <w:szCs w:val="22"/>
        </w:rPr>
        <w:t>xxxxxxxxxxxxxxxxxxxxxxx</w:t>
      </w:r>
      <w:proofErr w:type="spellEnd"/>
    </w:p>
    <w:p w14:paraId="29B7C3E0"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09E2424B" w14:textId="76B051A8"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r w:rsidR="00FC7DDA" w:rsidRPr="006120DC">
        <w:rPr>
          <w:rFonts w:ascii="Times New Roman" w:hAnsi="Times New Roman"/>
          <w:sz w:val="22"/>
          <w:szCs w:val="22"/>
        </w:rPr>
        <w:t>jen,</w:t>
      </w:r>
      <w:r w:rsidR="0072770A" w:rsidRPr="006120DC">
        <w:rPr>
          <w:rFonts w:ascii="Times New Roman" w:hAnsi="Times New Roman"/>
          <w:sz w:val="22"/>
          <w:szCs w:val="22"/>
        </w:rPr>
        <w:t xml:space="preserve"> příjemce</w:t>
      </w:r>
      <w:r w:rsidR="000A0096">
        <w:rPr>
          <w:rFonts w:ascii="Times New Roman" w:hAnsi="Times New Roman"/>
          <w:b/>
          <w:sz w:val="22"/>
          <w:szCs w:val="22"/>
        </w:rPr>
        <w:t>“</w:t>
      </w:r>
    </w:p>
    <w:p w14:paraId="4815E986" w14:textId="77777777"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r w:rsidRPr="006120DC">
        <w:rPr>
          <w:rFonts w:cs="Arial"/>
          <w:b/>
          <w:sz w:val="24"/>
          <w:szCs w:val="24"/>
        </w:rPr>
        <w:t>se dohodly:</w:t>
      </w:r>
    </w:p>
    <w:p w14:paraId="0BAC8EF4" w14:textId="77777777"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14:paraId="75F4CEE0" w14:textId="77777777" w:rsidR="00795E5C" w:rsidRPr="00936662" w:rsidRDefault="00304B36" w:rsidP="00F04121">
      <w:pPr>
        <w:pStyle w:val="Nadpis1"/>
      </w:pPr>
      <w:r>
        <w:br/>
      </w:r>
      <w:r w:rsidR="004D1482" w:rsidRPr="00936662">
        <w:t>Úvodní ustanovení</w:t>
      </w:r>
      <w:r w:rsidR="00E72E06" w:rsidRPr="00936662">
        <w:t xml:space="preserve"> </w:t>
      </w:r>
    </w:p>
    <w:p w14:paraId="4BB155F8" w14:textId="77777777"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14:paraId="6D3BE8D4"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nejpozději však do 30 dnů ode dne, kdy ke změně došlo. </w:t>
      </w:r>
    </w:p>
    <w:p w14:paraId="2E5FEFC6"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14:paraId="317E41FE" w14:textId="09DE02F1"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14:paraId="2523815D" w14:textId="77777777" w:rsidR="00FA1D6E" w:rsidRPr="009D470D" w:rsidRDefault="00FA1D6E" w:rsidP="00FA1D6E">
      <w:pPr>
        <w:tabs>
          <w:tab w:val="left" w:pos="0"/>
          <w:tab w:val="left" w:leader="underscore" w:pos="4706"/>
          <w:tab w:val="left" w:pos="4990"/>
          <w:tab w:val="left" w:leader="underscore" w:pos="9639"/>
        </w:tabs>
        <w:spacing w:before="120"/>
        <w:jc w:val="both"/>
        <w:rPr>
          <w:rFonts w:ascii="Times New Roman" w:hAnsi="Times New Roman"/>
          <w:sz w:val="22"/>
          <w:szCs w:val="22"/>
        </w:rPr>
      </w:pPr>
    </w:p>
    <w:p w14:paraId="53B6768D" w14:textId="77777777"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w:t>
      </w:r>
      <w:r>
        <w:rPr>
          <w:rFonts w:ascii="Times New Roman" w:hAnsi="Times New Roman"/>
          <w:sz w:val="22"/>
          <w:szCs w:val="22"/>
        </w:rPr>
        <w:t xml:space="preserve">ochrannou </w:t>
      </w:r>
      <w:r w:rsidRPr="0037447F">
        <w:rPr>
          <w:rFonts w:ascii="Times New Roman" w:hAnsi="Times New Roman"/>
          <w:sz w:val="22"/>
          <w:szCs w:val="22"/>
        </w:rPr>
        <w:t>známku ve spojení s výrobky a službami, pro něž je chráněna. Město je oprávněno poskytnout podlicenci k užití loga města třetí osobě.</w:t>
      </w:r>
    </w:p>
    <w:p w14:paraId="19EEF1CA" w14:textId="77777777"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800CD4" w:rsidRPr="00800CD4">
        <w:rPr>
          <w:rFonts w:ascii="Times New Roman" w:hAnsi="Times New Roman"/>
          <w:sz w:val="22"/>
          <w:szCs w:val="22"/>
        </w:rPr>
        <w:t>9</w:t>
      </w:r>
      <w:r w:rsidRPr="00800CD4">
        <w:rPr>
          <w:rFonts w:ascii="Times New Roman" w:hAnsi="Times New Roman"/>
          <w:sz w:val="22"/>
          <w:szCs w:val="22"/>
        </w:rPr>
        <w:t xml:space="preserve"> a </w:t>
      </w:r>
      <w:r w:rsidR="00946EBE" w:rsidRPr="00800CD4">
        <w:rPr>
          <w:rFonts w:ascii="Times New Roman" w:hAnsi="Times New Roman"/>
          <w:sz w:val="22"/>
          <w:szCs w:val="22"/>
        </w:rPr>
        <w:t>1</w:t>
      </w:r>
      <w:r w:rsidR="00800CD4" w:rsidRPr="00800CD4">
        <w:rPr>
          <w:rFonts w:ascii="Times New Roman" w:hAnsi="Times New Roman"/>
          <w:sz w:val="22"/>
          <w:szCs w:val="22"/>
        </w:rPr>
        <w:t>0</w:t>
      </w:r>
      <w:r w:rsidRPr="00800CD4">
        <w:rPr>
          <w:rFonts w:ascii="Times New Roman" w:hAnsi="Times New Roman"/>
          <w:sz w:val="22"/>
          <w:szCs w:val="22"/>
        </w:rPr>
        <w:t xml:space="preserve"> článku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14:paraId="7EBEA1CE" w14:textId="77777777" w:rsidR="00795E5C" w:rsidRPr="006120DC" w:rsidRDefault="000C60AC" w:rsidP="00936662">
      <w:pPr>
        <w:pStyle w:val="Nadpis1"/>
      </w:pPr>
      <w:r>
        <w:br/>
      </w:r>
      <w:r w:rsidR="00795E5C" w:rsidRPr="006120DC">
        <w:t>Předmět smlouvy</w:t>
      </w:r>
    </w:p>
    <w:p w14:paraId="72524A5A" w14:textId="6D9CC3BD"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E902A8">
        <w:rPr>
          <w:rFonts w:ascii="Times New Roman" w:hAnsi="Times New Roman"/>
          <w:sz w:val="22"/>
          <w:szCs w:val="22"/>
        </w:rPr>
        <w:t xml:space="preserve">vymezené </w:t>
      </w:r>
      <w:r w:rsidRPr="00E902A8">
        <w:rPr>
          <w:rFonts w:ascii="Times New Roman" w:hAnsi="Times New Roman"/>
          <w:iCs/>
          <w:sz w:val="22"/>
          <w:szCs w:val="22"/>
        </w:rPr>
        <w:t>neinvestiční</w:t>
      </w:r>
      <w:r w:rsidRPr="00E902A8">
        <w:rPr>
          <w:rFonts w:ascii="Times New Roman" w:hAnsi="Times New Roman"/>
          <w:sz w:val="22"/>
          <w:szCs w:val="22"/>
        </w:rPr>
        <w:t xml:space="preserve"> dotace</w:t>
      </w:r>
      <w:r w:rsidRPr="004A50AA">
        <w:rPr>
          <w:rFonts w:ascii="Times New Roman" w:hAnsi="Times New Roman"/>
          <w:sz w:val="22"/>
          <w:szCs w:val="22"/>
        </w:rPr>
        <w:t xml:space="preserv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14:paraId="59FB5BE6" w14:textId="77777777"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 znění pozdějších předpisů.</w:t>
      </w:r>
    </w:p>
    <w:p w14:paraId="1B01747A" w14:textId="77777777"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21DE31B5" w14:textId="77777777" w:rsidR="00BB43AB" w:rsidRPr="00BB43AB" w:rsidRDefault="00F6439E" w:rsidP="0067415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E4716">
        <w:rPr>
          <w:rFonts w:ascii="Times New Roman" w:hAnsi="Times New Roman"/>
          <w:sz w:val="22"/>
          <w:szCs w:val="22"/>
        </w:rPr>
        <w:t>Dotace je poskytována v </w:t>
      </w:r>
      <w:r w:rsidR="008D48AC">
        <w:rPr>
          <w:rFonts w:ascii="Times New Roman" w:hAnsi="Times New Roman"/>
          <w:sz w:val="22"/>
          <w:szCs w:val="22"/>
        </w:rPr>
        <w:t>souladu s Programy</w:t>
      </w:r>
      <w:r w:rsidRPr="000F163A">
        <w:rPr>
          <w:rFonts w:ascii="Times New Roman" w:hAnsi="Times New Roman"/>
          <w:sz w:val="22"/>
          <w:szCs w:val="22"/>
        </w:rPr>
        <w:t xml:space="preserve"> na </w:t>
      </w:r>
      <w:r w:rsidR="00351B8A" w:rsidRPr="00817333">
        <w:rPr>
          <w:rFonts w:ascii="Times New Roman" w:hAnsi="Times New Roman"/>
          <w:sz w:val="22"/>
          <w:szCs w:val="22"/>
        </w:rPr>
        <w:t xml:space="preserve">podporu </w:t>
      </w:r>
      <w:r w:rsidR="008D48AC" w:rsidRPr="008D48AC">
        <w:rPr>
          <w:rFonts w:ascii="Times New Roman" w:hAnsi="Times New Roman"/>
          <w:sz w:val="22"/>
          <w:szCs w:val="22"/>
        </w:rPr>
        <w:t xml:space="preserve">tělovýchovy a sportu a </w:t>
      </w:r>
      <w:r w:rsidR="00932E8F" w:rsidRPr="008D48AC">
        <w:rPr>
          <w:rFonts w:ascii="Times New Roman" w:hAnsi="Times New Roman"/>
          <w:sz w:val="22"/>
          <w:szCs w:val="22"/>
        </w:rPr>
        <w:t>v</w:t>
      </w:r>
      <w:r w:rsidR="00351B8A" w:rsidRPr="008D48AC">
        <w:rPr>
          <w:rFonts w:ascii="Times New Roman" w:hAnsi="Times New Roman"/>
          <w:sz w:val="22"/>
          <w:szCs w:val="22"/>
        </w:rPr>
        <w:t xml:space="preserve">rcholového sportu </w:t>
      </w:r>
      <w:r w:rsidR="00351B8A" w:rsidRPr="00817333">
        <w:rPr>
          <w:rFonts w:ascii="Times New Roman" w:hAnsi="Times New Roman"/>
          <w:sz w:val="22"/>
          <w:szCs w:val="22"/>
        </w:rPr>
        <w:t xml:space="preserve">z rozpočtu statutárního města Ostravy pro rok </w:t>
      </w:r>
      <w:r w:rsidR="00274B68" w:rsidRPr="00817333">
        <w:rPr>
          <w:rFonts w:ascii="Times New Roman" w:hAnsi="Times New Roman"/>
          <w:sz w:val="22"/>
          <w:szCs w:val="22"/>
        </w:rPr>
        <w:t>20</w:t>
      </w:r>
      <w:r w:rsidR="00274B68">
        <w:rPr>
          <w:rFonts w:ascii="Times New Roman" w:hAnsi="Times New Roman"/>
          <w:sz w:val="22"/>
          <w:szCs w:val="22"/>
        </w:rPr>
        <w:t>21</w:t>
      </w:r>
      <w:r w:rsidRPr="000F163A">
        <w:rPr>
          <w:rFonts w:ascii="Times New Roman" w:hAnsi="Times New Roman"/>
          <w:sz w:val="22"/>
          <w:szCs w:val="22"/>
        </w:rPr>
        <w:t xml:space="preserve">, </w:t>
      </w:r>
      <w:r w:rsidRPr="0067415B">
        <w:rPr>
          <w:rFonts w:ascii="Times New Roman" w:hAnsi="Times New Roman"/>
          <w:sz w:val="22"/>
          <w:szCs w:val="22"/>
        </w:rPr>
        <w:t xml:space="preserve">schváleným usnesením zastupitelstva města Ostravy </w:t>
      </w:r>
      <w:r w:rsidR="009E43E3">
        <w:rPr>
          <w:rFonts w:ascii="Times New Roman" w:hAnsi="Times New Roman"/>
          <w:sz w:val="22"/>
          <w:szCs w:val="22"/>
        </w:rPr>
        <w:t xml:space="preserve">č. </w:t>
      </w:r>
      <w:r w:rsidR="0067415B" w:rsidRPr="0067415B">
        <w:rPr>
          <w:rFonts w:ascii="Times New Roman" w:hAnsi="Times New Roman"/>
          <w:sz w:val="22"/>
          <w:szCs w:val="22"/>
        </w:rPr>
        <w:t>0980/ZM1822/15 ze dne 24. 6. 2020</w:t>
      </w:r>
      <w:r w:rsidRPr="0067415B">
        <w:rPr>
          <w:rFonts w:ascii="Times New Roman" w:hAnsi="Times New Roman"/>
          <w:sz w:val="22"/>
          <w:szCs w:val="22"/>
        </w:rPr>
        <w:t>. Pro právní</w:t>
      </w:r>
      <w:r>
        <w:rPr>
          <w:rFonts w:ascii="Times New Roman" w:hAnsi="Times New Roman"/>
          <w:sz w:val="22"/>
          <w:szCs w:val="22"/>
        </w:rPr>
        <w:t xml:space="preserve">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14:paraId="6425A7DF" w14:textId="77777777" w:rsidR="00795E5C" w:rsidRPr="00936662" w:rsidRDefault="000C60AC" w:rsidP="000C25F7">
      <w:pPr>
        <w:pStyle w:val="Nadpis1"/>
        <w:keepNext/>
      </w:pPr>
      <w:r>
        <w:br/>
      </w:r>
      <w:bookmarkStart w:id="0" w:name="_Ref519705955"/>
      <w:r w:rsidR="00795E5C" w:rsidRPr="00936662">
        <w:t>Účel dotace</w:t>
      </w:r>
      <w:bookmarkEnd w:id="0"/>
    </w:p>
    <w:p w14:paraId="13A5FBEB" w14:textId="77777777"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14:paraId="3CB6A914" w14:textId="10BEA10A" w:rsidR="00BA1D67" w:rsidRPr="00E902A8" w:rsidRDefault="00AA5CAF" w:rsidP="00AA5CAF">
      <w:pPr>
        <w:tabs>
          <w:tab w:val="left" w:pos="0"/>
          <w:tab w:val="left" w:pos="2552"/>
          <w:tab w:val="left" w:leader="underscore" w:pos="9639"/>
        </w:tabs>
        <w:jc w:val="both"/>
        <w:rPr>
          <w:rFonts w:ascii="Times New Roman" w:hAnsi="Times New Roman"/>
          <w:b/>
          <w:sz w:val="22"/>
          <w:szCs w:val="22"/>
        </w:rPr>
      </w:pPr>
      <w:r w:rsidRPr="00E902A8">
        <w:rPr>
          <w:rFonts w:ascii="Times New Roman" w:hAnsi="Times New Roman"/>
          <w:b/>
          <w:sz w:val="22"/>
          <w:szCs w:val="22"/>
        </w:rPr>
        <w:t>Název projektu:</w:t>
      </w:r>
      <w:r w:rsidR="00E902A8" w:rsidRPr="00E902A8">
        <w:rPr>
          <w:rFonts w:ascii="Times New Roman" w:hAnsi="Times New Roman"/>
          <w:b/>
          <w:sz w:val="22"/>
          <w:szCs w:val="22"/>
        </w:rPr>
        <w:t xml:space="preserve"> „Podpora trenérů a cvičitelů, včetně provozních nákladů za nájmy a energie“.</w:t>
      </w:r>
    </w:p>
    <w:p w14:paraId="61BE1B0B" w14:textId="38695A36" w:rsidR="00AA5CAF" w:rsidRPr="00E902A8" w:rsidRDefault="00AA5CAF" w:rsidP="00AA5CAF">
      <w:pPr>
        <w:tabs>
          <w:tab w:val="left" w:pos="0"/>
          <w:tab w:val="left" w:pos="2552"/>
          <w:tab w:val="left" w:leader="underscore" w:pos="9639"/>
        </w:tabs>
        <w:jc w:val="both"/>
        <w:rPr>
          <w:rFonts w:ascii="Times New Roman" w:hAnsi="Times New Roman"/>
          <w:b/>
          <w:sz w:val="18"/>
          <w:szCs w:val="18"/>
        </w:rPr>
      </w:pPr>
      <w:r w:rsidRPr="00E902A8">
        <w:rPr>
          <w:rFonts w:ascii="Times New Roman" w:hAnsi="Times New Roman"/>
          <w:b/>
          <w:sz w:val="22"/>
          <w:szCs w:val="22"/>
        </w:rPr>
        <w:tab/>
      </w:r>
    </w:p>
    <w:p w14:paraId="5520696F" w14:textId="732B2C29" w:rsidR="00AA5CAF" w:rsidRPr="00E902A8" w:rsidRDefault="00AA5CAF" w:rsidP="00AA5CAF">
      <w:pPr>
        <w:tabs>
          <w:tab w:val="left" w:pos="0"/>
          <w:tab w:val="left" w:pos="2552"/>
          <w:tab w:val="left" w:leader="underscore" w:pos="9639"/>
        </w:tabs>
        <w:jc w:val="both"/>
        <w:rPr>
          <w:rFonts w:ascii="Times New Roman" w:hAnsi="Times New Roman"/>
          <w:sz w:val="18"/>
          <w:szCs w:val="18"/>
        </w:rPr>
      </w:pPr>
      <w:r w:rsidRPr="00E902A8">
        <w:rPr>
          <w:rFonts w:ascii="Times New Roman" w:hAnsi="Times New Roman"/>
          <w:b/>
          <w:sz w:val="22"/>
          <w:szCs w:val="22"/>
        </w:rPr>
        <w:t>Účel použití dotace:</w:t>
      </w:r>
      <w:r w:rsidRPr="00E902A8">
        <w:rPr>
          <w:rFonts w:ascii="Times New Roman" w:hAnsi="Times New Roman"/>
          <w:b/>
          <w:sz w:val="22"/>
          <w:szCs w:val="22"/>
        </w:rPr>
        <w:tab/>
      </w:r>
    </w:p>
    <w:p w14:paraId="5779AB81" w14:textId="25D6EB86"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E902A8">
        <w:rPr>
          <w:rFonts w:ascii="Times New Roman" w:hAnsi="Times New Roman"/>
          <w:sz w:val="22"/>
          <w:szCs w:val="22"/>
        </w:rPr>
        <w:t>Příjemce je povinen použít dotaci v souladu s účelem této smlouvy a předloženým projektem k úhradě uznatelných nákladů prokazatelně souvisejících s realizací účelu dotace dle tohoto článku této smlouvy, a to pouze na:</w:t>
      </w:r>
    </w:p>
    <w:p w14:paraId="15CA0109" w14:textId="77777777" w:rsidR="00E902A8" w:rsidRPr="00E902A8" w:rsidRDefault="00E902A8" w:rsidP="00E902A8">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E902A8">
        <w:rPr>
          <w:rFonts w:ascii="Times New Roman" w:hAnsi="Times New Roman"/>
          <w:sz w:val="22"/>
          <w:szCs w:val="22"/>
        </w:rPr>
        <w:t>energie, teplo, vodné, stočné, spotřeba plynu, odvoz odpadu;</w:t>
      </w:r>
    </w:p>
    <w:p w14:paraId="2E63C455" w14:textId="345FAA8B" w:rsidR="00E902A8" w:rsidRPr="00E902A8" w:rsidRDefault="00E902A8" w:rsidP="00E902A8">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E902A8">
        <w:rPr>
          <w:rFonts w:ascii="Times New Roman" w:hAnsi="Times New Roman"/>
          <w:sz w:val="22"/>
          <w:szCs w:val="22"/>
        </w:rPr>
        <w:t>odměny z dohod (OON – DPP, DPČ vč. zákonných odvodů), služby (OSVČ), jiné služby a</w:t>
      </w:r>
      <w:r>
        <w:rPr>
          <w:rFonts w:ascii="Times New Roman" w:hAnsi="Times New Roman"/>
          <w:sz w:val="22"/>
          <w:szCs w:val="22"/>
        </w:rPr>
        <w:t> </w:t>
      </w:r>
      <w:r w:rsidRPr="00E902A8">
        <w:rPr>
          <w:rFonts w:ascii="Times New Roman" w:hAnsi="Times New Roman"/>
          <w:sz w:val="22"/>
          <w:szCs w:val="22"/>
        </w:rPr>
        <w:t>odměny trenérů a cvičitelů;</w:t>
      </w:r>
    </w:p>
    <w:p w14:paraId="41163099" w14:textId="2D72F668" w:rsidR="00E902A8" w:rsidRPr="00E902A8" w:rsidRDefault="00E902A8" w:rsidP="00E902A8">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E902A8">
        <w:rPr>
          <w:rFonts w:ascii="Times New Roman" w:hAnsi="Times New Roman"/>
          <w:sz w:val="22"/>
          <w:szCs w:val="22"/>
        </w:rPr>
        <w:t>opravy a udržování sportovišť a sportovního vybavení vč. nákupu materiálu a příslušenství.</w:t>
      </w:r>
    </w:p>
    <w:p w14:paraId="529B2DC3" w14:textId="77777777" w:rsidR="00AA5CAF" w:rsidRPr="00817333" w:rsidRDefault="00AA5CAF" w:rsidP="00AA5CAF">
      <w:pPr>
        <w:pStyle w:val="Odstavecseseznamem"/>
        <w:tabs>
          <w:tab w:val="left" w:pos="0"/>
        </w:tabs>
        <w:ind w:left="284"/>
        <w:jc w:val="both"/>
        <w:rPr>
          <w:rFonts w:ascii="Times New Roman" w:hAnsi="Times New Roman"/>
          <w:b/>
          <w:sz w:val="22"/>
          <w:szCs w:val="22"/>
        </w:rPr>
      </w:pPr>
    </w:p>
    <w:p w14:paraId="26376D7B" w14:textId="5E268DE5"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14:paraId="081E847A" w14:textId="15CD0095" w:rsidR="00FA1D6E" w:rsidRDefault="00FA1D6E" w:rsidP="00AA5CAF">
      <w:pPr>
        <w:tabs>
          <w:tab w:val="left" w:pos="0"/>
          <w:tab w:val="left" w:leader="underscore" w:pos="4706"/>
          <w:tab w:val="left" w:pos="4990"/>
          <w:tab w:val="left" w:leader="underscore" w:pos="9639"/>
        </w:tabs>
        <w:jc w:val="both"/>
        <w:rPr>
          <w:rFonts w:ascii="Times New Roman" w:hAnsi="Times New Roman"/>
          <w:sz w:val="22"/>
          <w:szCs w:val="22"/>
        </w:rPr>
      </w:pPr>
    </w:p>
    <w:p w14:paraId="749C19CF" w14:textId="2397178E" w:rsidR="00FA1D6E" w:rsidRDefault="00FA1D6E" w:rsidP="00AA5CAF">
      <w:pPr>
        <w:tabs>
          <w:tab w:val="left" w:pos="0"/>
          <w:tab w:val="left" w:leader="underscore" w:pos="4706"/>
          <w:tab w:val="left" w:pos="4990"/>
          <w:tab w:val="left" w:leader="underscore" w:pos="9639"/>
        </w:tabs>
        <w:jc w:val="both"/>
        <w:rPr>
          <w:rFonts w:ascii="Times New Roman" w:hAnsi="Times New Roman"/>
          <w:sz w:val="22"/>
          <w:szCs w:val="22"/>
        </w:rPr>
      </w:pPr>
    </w:p>
    <w:p w14:paraId="766F7813" w14:textId="2D5E7AC6" w:rsidR="00FA1D6E" w:rsidRDefault="00FA1D6E" w:rsidP="00AA5CAF">
      <w:pPr>
        <w:tabs>
          <w:tab w:val="left" w:pos="0"/>
          <w:tab w:val="left" w:leader="underscore" w:pos="4706"/>
          <w:tab w:val="left" w:pos="4990"/>
          <w:tab w:val="left" w:leader="underscore" w:pos="9639"/>
        </w:tabs>
        <w:jc w:val="both"/>
        <w:rPr>
          <w:rFonts w:ascii="Times New Roman" w:hAnsi="Times New Roman"/>
          <w:sz w:val="22"/>
          <w:szCs w:val="22"/>
        </w:rPr>
      </w:pPr>
    </w:p>
    <w:p w14:paraId="1C98B9CD" w14:textId="77777777" w:rsidR="00FA1D6E" w:rsidRDefault="00FA1D6E" w:rsidP="00AA5CAF">
      <w:pPr>
        <w:tabs>
          <w:tab w:val="left" w:pos="0"/>
          <w:tab w:val="left" w:leader="underscore" w:pos="4706"/>
          <w:tab w:val="left" w:pos="4990"/>
          <w:tab w:val="left" w:leader="underscore" w:pos="9639"/>
        </w:tabs>
        <w:jc w:val="both"/>
        <w:rPr>
          <w:rFonts w:ascii="Times New Roman" w:hAnsi="Times New Roman"/>
          <w:sz w:val="22"/>
          <w:szCs w:val="22"/>
        </w:rPr>
      </w:pPr>
    </w:p>
    <w:p w14:paraId="55437BDE" w14:textId="77777777" w:rsidR="00AA5CAF" w:rsidRPr="00936662" w:rsidRDefault="000C60AC" w:rsidP="00936662">
      <w:pPr>
        <w:pStyle w:val="Nadpis1"/>
      </w:pPr>
      <w:r>
        <w:lastRenderedPageBreak/>
        <w:br/>
      </w:r>
      <w:r w:rsidR="00AA5CAF" w:rsidRPr="00936662">
        <w:t>Výše dotace</w:t>
      </w:r>
    </w:p>
    <w:p w14:paraId="18F3CADE" w14:textId="42BBCDB5" w:rsidR="00274B68" w:rsidRPr="00356942" w:rsidRDefault="00356942" w:rsidP="00356942">
      <w:pPr>
        <w:tabs>
          <w:tab w:val="left" w:pos="0"/>
          <w:tab w:val="left" w:leader="underscore" w:pos="4706"/>
          <w:tab w:val="left" w:pos="4990"/>
          <w:tab w:val="left" w:leader="underscore" w:pos="9639"/>
        </w:tabs>
        <w:jc w:val="both"/>
        <w:rPr>
          <w:rFonts w:ascii="Times New Roman" w:hAnsi="Times New Roman"/>
          <w:sz w:val="22"/>
          <w:szCs w:val="22"/>
          <w:highlight w:val="yellow"/>
        </w:rPr>
      </w:pPr>
      <w:r w:rsidRPr="00356942">
        <w:rPr>
          <w:rFonts w:ascii="Times New Roman" w:hAnsi="Times New Roman"/>
          <w:sz w:val="22"/>
          <w:szCs w:val="22"/>
        </w:rPr>
        <w:t xml:space="preserve">Dotace se příjemci poskytuje v celkové výši </w:t>
      </w:r>
      <w:proofErr w:type="gramStart"/>
      <w:r w:rsidR="00E902A8">
        <w:rPr>
          <w:rFonts w:ascii="Times New Roman" w:hAnsi="Times New Roman"/>
          <w:b/>
          <w:sz w:val="22"/>
          <w:szCs w:val="22"/>
        </w:rPr>
        <w:t>62.000</w:t>
      </w:r>
      <w:r w:rsidRPr="00356942">
        <w:rPr>
          <w:rFonts w:ascii="Times New Roman" w:hAnsi="Times New Roman"/>
          <w:b/>
          <w:sz w:val="22"/>
          <w:szCs w:val="22"/>
        </w:rPr>
        <w:t>,-</w:t>
      </w:r>
      <w:proofErr w:type="gramEnd"/>
      <w:r w:rsidRPr="00356942">
        <w:rPr>
          <w:rFonts w:ascii="Times New Roman" w:hAnsi="Times New Roman"/>
          <w:b/>
          <w:sz w:val="22"/>
          <w:szCs w:val="22"/>
        </w:rPr>
        <w:t> Kč</w:t>
      </w:r>
      <w:r w:rsidRPr="00356942">
        <w:rPr>
          <w:rFonts w:ascii="Times New Roman" w:hAnsi="Times New Roman"/>
          <w:sz w:val="22"/>
          <w:szCs w:val="22"/>
        </w:rPr>
        <w:t xml:space="preserve">, slovy </w:t>
      </w:r>
      <w:proofErr w:type="spellStart"/>
      <w:r w:rsidR="00E902A8">
        <w:rPr>
          <w:rFonts w:ascii="Times New Roman" w:hAnsi="Times New Roman"/>
          <w:b/>
          <w:sz w:val="22"/>
          <w:szCs w:val="22"/>
        </w:rPr>
        <w:t>šedesátdv</w:t>
      </w:r>
      <w:r w:rsidR="004A4A01">
        <w:rPr>
          <w:rFonts w:ascii="Times New Roman" w:hAnsi="Times New Roman"/>
          <w:b/>
          <w:sz w:val="22"/>
          <w:szCs w:val="22"/>
        </w:rPr>
        <w:t>a</w:t>
      </w:r>
      <w:r w:rsidR="00E902A8">
        <w:rPr>
          <w:rFonts w:ascii="Times New Roman" w:hAnsi="Times New Roman"/>
          <w:b/>
          <w:sz w:val="22"/>
          <w:szCs w:val="22"/>
        </w:rPr>
        <w:t>tisíc</w:t>
      </w:r>
      <w:proofErr w:type="spellEnd"/>
      <w:r w:rsidRPr="00356942">
        <w:rPr>
          <w:rFonts w:ascii="Times New Roman" w:hAnsi="Times New Roman"/>
          <w:sz w:val="22"/>
          <w:szCs w:val="22"/>
        </w:rPr>
        <w:t xml:space="preserve"> korun českých. Peněžní prostředky budou bezhotovostně převedeny na účet příjemce uvedený v záhlaví této </w:t>
      </w:r>
      <w:proofErr w:type="gramStart"/>
      <w:r w:rsidRPr="00356942">
        <w:rPr>
          <w:rFonts w:ascii="Times New Roman" w:hAnsi="Times New Roman"/>
          <w:sz w:val="22"/>
          <w:szCs w:val="22"/>
        </w:rPr>
        <w:t>smlouvy</w:t>
      </w:r>
      <w:proofErr w:type="gramEnd"/>
      <w:r w:rsidRPr="00356942">
        <w:rPr>
          <w:rFonts w:ascii="Times New Roman" w:hAnsi="Times New Roman"/>
          <w:sz w:val="22"/>
          <w:szCs w:val="22"/>
        </w:rPr>
        <w:t xml:space="preserve"> a to jednorázově do 15 dnů po nabytí účinnosti této smlouvy. Platba se považuje z</w:t>
      </w:r>
      <w:r w:rsidR="00154BB6">
        <w:rPr>
          <w:rFonts w:ascii="Times New Roman" w:hAnsi="Times New Roman"/>
          <w:sz w:val="22"/>
          <w:szCs w:val="22"/>
        </w:rPr>
        <w:t>a</w:t>
      </w:r>
      <w:r w:rsidRPr="00356942">
        <w:rPr>
          <w:rFonts w:ascii="Times New Roman" w:hAnsi="Times New Roman"/>
          <w:sz w:val="22"/>
          <w:szCs w:val="22"/>
        </w:rPr>
        <w:t xml:space="preserve"> uskutečněnou dnem odepsání příslušné částky z účtu poskytovatele.</w:t>
      </w:r>
    </w:p>
    <w:p w14:paraId="5BBA6A9B" w14:textId="77777777" w:rsidR="00795E5C" w:rsidRPr="006120DC" w:rsidRDefault="000C60AC" w:rsidP="003B3812">
      <w:pPr>
        <w:pStyle w:val="Nadpis1"/>
      </w:pPr>
      <w:r>
        <w:br/>
      </w:r>
      <w:bookmarkStart w:id="1" w:name="_Ref519703308"/>
      <w:r w:rsidR="00795E5C" w:rsidRPr="006120DC">
        <w:t>Podmínky použití dotace</w:t>
      </w:r>
      <w:bookmarkEnd w:id="1"/>
    </w:p>
    <w:p w14:paraId="1998B2D9" w14:textId="77777777"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2"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2"/>
    </w:p>
    <w:p w14:paraId="1211EFF3" w14:textId="02568A6C" w:rsidR="00B8502C" w:rsidRPr="004E732E"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w:t>
      </w:r>
      <w:r w:rsidRPr="009D5833">
        <w:rPr>
          <w:rFonts w:ascii="Times New Roman" w:hAnsi="Times New Roman"/>
          <w:sz w:val="22"/>
          <w:szCs w:val="22"/>
        </w:rPr>
        <w:t xml:space="preserve">projektu </w:t>
      </w:r>
      <w:r w:rsidRPr="009D5833">
        <w:rPr>
          <w:rFonts w:ascii="Times New Roman" w:hAnsi="Times New Roman"/>
          <w:b/>
          <w:sz w:val="22"/>
          <w:szCs w:val="22"/>
        </w:rPr>
        <w:t xml:space="preserve">od </w:t>
      </w:r>
      <w:r w:rsidR="009D5833" w:rsidRPr="009D5833">
        <w:rPr>
          <w:rFonts w:ascii="Times New Roman" w:hAnsi="Times New Roman"/>
          <w:b/>
          <w:sz w:val="22"/>
          <w:szCs w:val="22"/>
        </w:rPr>
        <w:t>1.1.2021</w:t>
      </w:r>
      <w:r w:rsidRPr="009D5833">
        <w:rPr>
          <w:rFonts w:ascii="Times New Roman" w:hAnsi="Times New Roman"/>
          <w:b/>
          <w:sz w:val="22"/>
          <w:szCs w:val="22"/>
        </w:rPr>
        <w:t xml:space="preserve"> do </w:t>
      </w:r>
      <w:r w:rsidR="009D5833" w:rsidRPr="009D5833">
        <w:rPr>
          <w:rFonts w:ascii="Times New Roman" w:hAnsi="Times New Roman"/>
          <w:b/>
          <w:sz w:val="22"/>
          <w:szCs w:val="22"/>
        </w:rPr>
        <w:t>15</w:t>
      </w:r>
      <w:r w:rsidR="009D5833">
        <w:rPr>
          <w:rFonts w:ascii="Times New Roman" w:hAnsi="Times New Roman"/>
          <w:b/>
          <w:sz w:val="22"/>
          <w:szCs w:val="22"/>
        </w:rPr>
        <w:t>.12.2021</w:t>
      </w:r>
      <w:r w:rsidRPr="00B8502C">
        <w:rPr>
          <w:rFonts w:ascii="Times New Roman" w:hAnsi="Times New Roman"/>
          <w:b/>
          <w:sz w:val="22"/>
          <w:szCs w:val="22"/>
        </w:rPr>
        <w:t xml:space="preserve"> </w:t>
      </w:r>
      <w:r w:rsidRPr="00B8502C">
        <w:rPr>
          <w:rFonts w:ascii="Times New Roman" w:hAnsi="Times New Roman"/>
          <w:sz w:val="22"/>
          <w:szCs w:val="22"/>
        </w:rPr>
        <w:t>a současně se k tomuto období</w:t>
      </w:r>
      <w:r w:rsidR="00D61B06" w:rsidRPr="00B8502C">
        <w:rPr>
          <w:rFonts w:ascii="Times New Roman" w:hAnsi="Times New Roman"/>
          <w:sz w:val="22"/>
          <w:szCs w:val="22"/>
        </w:rPr>
        <w:t xml:space="preserve"> </w:t>
      </w:r>
      <w:r w:rsidR="00B8502C" w:rsidRPr="00B8502C">
        <w:rPr>
          <w:rFonts w:ascii="Times New Roman" w:hAnsi="Times New Roman"/>
          <w:sz w:val="22"/>
          <w:szCs w:val="22"/>
        </w:rPr>
        <w:t xml:space="preserve">vztahuje </w:t>
      </w:r>
      <w:r w:rsidR="00D61B06" w:rsidRPr="004E732E">
        <w:rPr>
          <w:rFonts w:ascii="Times New Roman" w:hAnsi="Times New Roman"/>
          <w:sz w:val="22"/>
          <w:szCs w:val="22"/>
        </w:rPr>
        <w:t>(s výjimkou nákladů spojených s úhradou účasti v soutěžích přesahujících do následujícího kalendářního roku)</w:t>
      </w:r>
      <w:r w:rsidR="0072770A">
        <w:rPr>
          <w:rFonts w:ascii="Times New Roman" w:hAnsi="Times New Roman"/>
          <w:sz w:val="22"/>
          <w:szCs w:val="22"/>
        </w:rPr>
        <w:t>;</w:t>
      </w:r>
    </w:p>
    <w:p w14:paraId="552EEAD5" w14:textId="77777777" w:rsidR="00B8502C" w:rsidRPr="00213D76" w:rsidRDefault="00B8502C"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4"/>
          <w:szCs w:val="22"/>
        </w:rPr>
      </w:pPr>
      <w:r w:rsidRPr="004E732E">
        <w:rPr>
          <w:rFonts w:ascii="Times New Roman" w:hAnsi="Times New Roman"/>
          <w:sz w:val="22"/>
        </w:rPr>
        <w:t xml:space="preserve">byl uhrazen </w:t>
      </w:r>
      <w:r w:rsidRPr="00213D76">
        <w:rPr>
          <w:rFonts w:ascii="Times New Roman" w:hAnsi="Times New Roman"/>
          <w:sz w:val="22"/>
        </w:rPr>
        <w:t xml:space="preserve">nejpozději před uplynutím lhůty pro předložení závěrečného </w:t>
      </w:r>
      <w:r w:rsidR="00BE1C8A" w:rsidRPr="00213D76">
        <w:rPr>
          <w:rFonts w:ascii="Times New Roman" w:hAnsi="Times New Roman"/>
          <w:sz w:val="22"/>
        </w:rPr>
        <w:t xml:space="preserve">finančního </w:t>
      </w:r>
      <w:r w:rsidRPr="00213D76">
        <w:rPr>
          <w:rFonts w:ascii="Times New Roman" w:hAnsi="Times New Roman"/>
          <w:sz w:val="22"/>
        </w:rPr>
        <w:t>v</w:t>
      </w:r>
      <w:r w:rsidR="00BE1C8A" w:rsidRPr="00213D76">
        <w:rPr>
          <w:rFonts w:ascii="Times New Roman" w:hAnsi="Times New Roman"/>
          <w:sz w:val="22"/>
        </w:rPr>
        <w:t>ypořádání;</w:t>
      </w:r>
    </w:p>
    <w:p w14:paraId="3CB2640C" w14:textId="4122BE56" w:rsidR="00AA5CAF" w:rsidRDefault="00AA5CAF" w:rsidP="003D6C3E">
      <w:pPr>
        <w:pStyle w:val="Odstavecseseznamem"/>
        <w:numPr>
          <w:ilvl w:val="0"/>
          <w:numId w:val="11"/>
        </w:numPr>
        <w:spacing w:before="60"/>
        <w:jc w:val="both"/>
        <w:rPr>
          <w:rFonts w:ascii="Times New Roman" w:hAnsi="Times New Roman"/>
          <w:sz w:val="22"/>
          <w:szCs w:val="22"/>
        </w:rPr>
      </w:pPr>
      <w:r w:rsidRPr="00213D76">
        <w:rPr>
          <w:rFonts w:ascii="Times New Roman" w:hAnsi="Times New Roman"/>
          <w:sz w:val="22"/>
          <w:szCs w:val="22"/>
        </w:rPr>
        <w:t>byl vynaložen v souladu s účelovým určením dle čl. III. a podmínkami</w:t>
      </w:r>
      <w:r w:rsidRPr="006120DC">
        <w:rPr>
          <w:rFonts w:ascii="Times New Roman" w:hAnsi="Times New Roman"/>
          <w:sz w:val="22"/>
          <w:szCs w:val="22"/>
        </w:rPr>
        <w:t xml:space="preserve"> této smlouvy</w:t>
      </w:r>
      <w:r w:rsidR="00BE1C8A">
        <w:rPr>
          <w:rFonts w:ascii="Times New Roman" w:hAnsi="Times New Roman"/>
          <w:sz w:val="22"/>
          <w:szCs w:val="22"/>
        </w:rPr>
        <w:t>;</w:t>
      </w:r>
      <w:r w:rsidRPr="006120DC">
        <w:rPr>
          <w:rFonts w:ascii="Times New Roman" w:hAnsi="Times New Roman"/>
          <w:sz w:val="22"/>
          <w:szCs w:val="22"/>
        </w:rPr>
        <w:t xml:space="preserve"> </w:t>
      </w:r>
    </w:p>
    <w:p w14:paraId="22B4F75A" w14:textId="77777777"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14:paraId="13820D1E" w14:textId="77777777" w:rsidR="00AA5CAF"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14:paraId="7F3DEE11" w14:textId="77777777" w:rsidR="00154BB6" w:rsidRPr="005F5F43" w:rsidRDefault="00154BB6"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Pr>
          <w:rFonts w:ascii="Times New Roman" w:hAnsi="Times New Roman"/>
          <w:sz w:val="22"/>
          <w:szCs w:val="22"/>
        </w:rPr>
        <w:t>je definován (konkretizován) touto smlouvou.</w:t>
      </w:r>
    </w:p>
    <w:p w14:paraId="05E30EE5" w14:textId="77777777"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14:paraId="72BF1F76" w14:textId="77777777"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14:paraId="2926DB85"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14:paraId="52C03549"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 xml:space="preserve">ve spojitosti s projektem, na jehož přípravu a </w:t>
      </w:r>
      <w:r w:rsidRPr="00800CD4">
        <w:rPr>
          <w:sz w:val="22"/>
          <w:szCs w:val="22"/>
        </w:rPr>
        <w:t>realizaci mu byla poskytnuta dotace;</w:t>
      </w:r>
    </w:p>
    <w:p w14:paraId="32C925A9"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 xml:space="preserve">smluvní pokuty, penále, úroky z prodlení či jakékoliv jiné </w:t>
      </w:r>
      <w:r w:rsidR="009468C7" w:rsidRPr="00800CD4">
        <w:rPr>
          <w:sz w:val="22"/>
          <w:szCs w:val="22"/>
        </w:rPr>
        <w:t xml:space="preserve">zákonné či </w:t>
      </w:r>
      <w:r w:rsidR="00D707D2" w:rsidRPr="00800CD4">
        <w:rPr>
          <w:sz w:val="22"/>
          <w:szCs w:val="22"/>
        </w:rPr>
        <w:t xml:space="preserve">smluvní </w:t>
      </w:r>
      <w:r w:rsidRPr="00800CD4">
        <w:rPr>
          <w:sz w:val="22"/>
          <w:szCs w:val="22"/>
        </w:rPr>
        <w:t>majetkové sankce;</w:t>
      </w:r>
    </w:p>
    <w:p w14:paraId="69B68CB3"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náklady na</w:t>
      </w:r>
      <w:r w:rsidR="00F66E90" w:rsidRPr="00800CD4">
        <w:rPr>
          <w:sz w:val="22"/>
          <w:szCs w:val="22"/>
        </w:rPr>
        <w:t xml:space="preserve"> pohoštění – rauty, občerstvení,</w:t>
      </w:r>
      <w:r w:rsidR="004F6652" w:rsidRPr="00800CD4">
        <w:rPr>
          <w:sz w:val="22"/>
          <w:szCs w:val="22"/>
        </w:rPr>
        <w:t xml:space="preserve"> nákup potravin (mimo věcné ceny)</w:t>
      </w:r>
      <w:r w:rsidR="00681216" w:rsidRPr="00800CD4">
        <w:rPr>
          <w:sz w:val="22"/>
          <w:szCs w:val="22"/>
        </w:rPr>
        <w:t>;</w:t>
      </w:r>
    </w:p>
    <w:p w14:paraId="1B4093BC" w14:textId="77777777" w:rsidR="0097362D" w:rsidRPr="00800CD4" w:rsidRDefault="00681216" w:rsidP="00FB6148">
      <w:pPr>
        <w:pStyle w:val="Zsady-prosttext"/>
        <w:numPr>
          <w:ilvl w:val="0"/>
          <w:numId w:val="6"/>
        </w:numPr>
        <w:tabs>
          <w:tab w:val="clear" w:pos="454"/>
          <w:tab w:val="num" w:pos="709"/>
        </w:tabs>
        <w:spacing w:after="0"/>
        <w:ind w:left="641" w:hanging="284"/>
        <w:rPr>
          <w:sz w:val="22"/>
          <w:szCs w:val="22"/>
        </w:rPr>
      </w:pPr>
      <w:r w:rsidRPr="00800CD4">
        <w:rPr>
          <w:sz w:val="22"/>
          <w:szCs w:val="22"/>
        </w:rPr>
        <w:t>dary;</w:t>
      </w:r>
      <w:r w:rsidR="00FB6148" w:rsidRPr="00800CD4">
        <w:rPr>
          <w:sz w:val="22"/>
          <w:szCs w:val="22"/>
        </w:rPr>
        <w:t xml:space="preserve"> </w:t>
      </w:r>
      <w:r w:rsidR="0097362D" w:rsidRPr="00800CD4">
        <w:rPr>
          <w:sz w:val="22"/>
          <w:szCs w:val="22"/>
        </w:rPr>
        <w:t xml:space="preserve">odpisy </w:t>
      </w:r>
      <w:r w:rsidRPr="00800CD4">
        <w:rPr>
          <w:sz w:val="22"/>
          <w:szCs w:val="22"/>
        </w:rPr>
        <w:t>z majetku; dárkové poukazy, šeky;</w:t>
      </w:r>
    </w:p>
    <w:p w14:paraId="17704B92"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14:paraId="4A0FE353"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14:paraId="5E90C556"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14:paraId="72EF5A71" w14:textId="77777777"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14:paraId="636D97F6" w14:textId="77777777"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odměn</w:t>
      </w:r>
      <w:r w:rsidR="00782B54">
        <w:rPr>
          <w:sz w:val="22"/>
          <w:szCs w:val="22"/>
        </w:rPr>
        <w:t>y</w:t>
      </w:r>
      <w:r w:rsidRPr="00213FA1">
        <w:rPr>
          <w:sz w:val="22"/>
          <w:szCs w:val="22"/>
        </w:rPr>
        <w:t xml:space="preserve">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14:paraId="7E6B9C65"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daňové poradenství, multimediální prezentace, zajištění marketingového a reklamního servisu, konzultace, auditorské služby;</w:t>
      </w:r>
    </w:p>
    <w:p w14:paraId="015BBB57"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hostování sportovců z jiných klubů, platy sportovců, nákupy hráčů;</w:t>
      </w:r>
    </w:p>
    <w:p w14:paraId="372EBAC5"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nákup pozemků či jiných věcí nemovitých a jakéhokoli majetku zatíženého zástavním právem;</w:t>
      </w:r>
    </w:p>
    <w:p w14:paraId="16BFD9F5" w14:textId="77777777" w:rsidR="00154BB6" w:rsidRPr="00155AD6" w:rsidRDefault="00223922"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alkoholické nápoje, tabák</w:t>
      </w:r>
      <w:r w:rsidR="00932E8F" w:rsidRPr="00155AD6">
        <w:rPr>
          <w:sz w:val="22"/>
          <w:szCs w:val="22"/>
        </w:rPr>
        <w:t>ové</w:t>
      </w:r>
      <w:r w:rsidRPr="00155AD6">
        <w:rPr>
          <w:sz w:val="22"/>
          <w:szCs w:val="22"/>
        </w:rPr>
        <w:t xml:space="preserve"> a jiné návykové látky</w:t>
      </w:r>
      <w:r w:rsidR="009B7CE4" w:rsidRPr="00155AD6">
        <w:rPr>
          <w:sz w:val="22"/>
          <w:szCs w:val="22"/>
        </w:rPr>
        <w:t>;</w:t>
      </w:r>
    </w:p>
    <w:p w14:paraId="59194865" w14:textId="77777777" w:rsidR="00223922" w:rsidRPr="00155AD6" w:rsidRDefault="00154BB6"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dlouhodobý nájem bytů</w:t>
      </w:r>
      <w:r w:rsidR="00223922" w:rsidRPr="00155AD6">
        <w:rPr>
          <w:sz w:val="22"/>
          <w:szCs w:val="22"/>
        </w:rPr>
        <w:t>.</w:t>
      </w:r>
    </w:p>
    <w:p w14:paraId="39FB33F7" w14:textId="29E11468"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72770A" w:rsidRPr="006120DC">
        <w:rPr>
          <w:rFonts w:ascii="Times New Roman" w:hAnsi="Times New Roman"/>
          <w:sz w:val="22"/>
          <w:szCs w:val="22"/>
        </w:rPr>
        <w:t>jen,,</w:t>
      </w:r>
      <w:proofErr w:type="gramEnd"/>
      <w:r w:rsidR="0072770A" w:rsidRPr="006120DC">
        <w:rPr>
          <w:rFonts w:ascii="Times New Roman" w:hAnsi="Times New Roman"/>
          <w:sz w:val="22"/>
          <w:szCs w:val="22"/>
        </w:rPr>
        <w:t xml:space="preserve"> DPH</w:t>
      </w:r>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14:paraId="75056C6F" w14:textId="77777777"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 xml:space="preserve">Obdobně se postupuje v případě, že příjemce neuplatní DPH z důvodu použití poměru mezi plněním, které se vztahuje k ekonomické činnosti </w:t>
      </w:r>
      <w:r w:rsidR="00DE572C" w:rsidRPr="006120DC">
        <w:rPr>
          <w:rFonts w:ascii="Times New Roman" w:hAnsi="Times New Roman"/>
          <w:color w:val="000000"/>
          <w:sz w:val="22"/>
          <w:szCs w:val="22"/>
        </w:rPr>
        <w:lastRenderedPageBreak/>
        <w:t xml:space="preserve">příjemce a ostatní činností příjemce, která není ekonomickou </w:t>
      </w:r>
      <w:proofErr w:type="gramStart"/>
      <w:r w:rsidR="00DE572C" w:rsidRPr="006120DC">
        <w:rPr>
          <w:rFonts w:ascii="Times New Roman" w:hAnsi="Times New Roman"/>
          <w:color w:val="000000"/>
          <w:sz w:val="22"/>
          <w:szCs w:val="22"/>
        </w:rPr>
        <w:t>činností</w:t>
      </w:r>
      <w:proofErr w:type="gramEnd"/>
      <w:r w:rsidR="00DE572C" w:rsidRPr="006120DC">
        <w:rPr>
          <w:rFonts w:ascii="Times New Roman" w:hAnsi="Times New Roman"/>
          <w:color w:val="000000"/>
          <w:sz w:val="22"/>
          <w:szCs w:val="22"/>
        </w:rPr>
        <w:t xml:space="preserve">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14:paraId="6C1DD921" w14:textId="77777777"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14:paraId="501FBC1A" w14:textId="6A581583"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Výdaj na úhradu zálohové faktury,</w:t>
      </w:r>
      <w:r w:rsidR="00527262">
        <w:rPr>
          <w:rFonts w:ascii="Times New Roman" w:hAnsi="Times New Roman"/>
          <w:sz w:val="22"/>
          <w:szCs w:val="22"/>
        </w:rPr>
        <w:t xml:space="preserve"> </w:t>
      </w:r>
      <w:r w:rsidR="00D61E90" w:rsidRPr="00527262">
        <w:rPr>
          <w:rFonts w:ascii="Times New Roman" w:hAnsi="Times New Roman"/>
          <w:iCs/>
          <w:sz w:val="22"/>
          <w:szCs w:val="22"/>
        </w:rPr>
        <w:t>která nebud</w:t>
      </w:r>
      <w:r w:rsidR="00E4564B" w:rsidRPr="00527262">
        <w:rPr>
          <w:rFonts w:ascii="Times New Roman" w:hAnsi="Times New Roman"/>
          <w:iCs/>
          <w:sz w:val="22"/>
          <w:szCs w:val="22"/>
        </w:rPr>
        <w:t>e</w:t>
      </w:r>
      <w:r w:rsidR="00D61E90" w:rsidRPr="00527262">
        <w:rPr>
          <w:rFonts w:ascii="Times New Roman" w:hAnsi="Times New Roman"/>
          <w:iCs/>
          <w:sz w:val="22"/>
          <w:szCs w:val="22"/>
        </w:rPr>
        <w:t xml:space="preserve"> do termínu konečného čerpání dotace </w:t>
      </w:r>
      <w:r w:rsidR="00527262" w:rsidRPr="00527262">
        <w:rPr>
          <w:rFonts w:ascii="Times New Roman" w:hAnsi="Times New Roman"/>
          <w:iCs/>
          <w:sz w:val="22"/>
          <w:szCs w:val="22"/>
        </w:rPr>
        <w:t>vyúčtována</w:t>
      </w:r>
      <w:r w:rsidR="00527262">
        <w:rPr>
          <w:rFonts w:ascii="Times New Roman" w:hAnsi="Times New Roman"/>
          <w:i/>
          <w:sz w:val="22"/>
          <w:szCs w:val="22"/>
        </w:rPr>
        <w:t xml:space="preserve">, </w:t>
      </w:r>
      <w:r w:rsidR="00527262" w:rsidRPr="00817333">
        <w:rPr>
          <w:rFonts w:ascii="Times New Roman" w:hAnsi="Times New Roman"/>
          <w:sz w:val="22"/>
          <w:szCs w:val="22"/>
        </w:rPr>
        <w:t>není</w:t>
      </w:r>
      <w:r w:rsidRPr="00817333">
        <w:rPr>
          <w:rFonts w:ascii="Times New Roman" w:hAnsi="Times New Roman"/>
          <w:sz w:val="22"/>
          <w:szCs w:val="22"/>
        </w:rPr>
        <w:t xml:space="preserve">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14:paraId="6C8007AF" w14:textId="77777777" w:rsidR="00964003" w:rsidRPr="000C60AC" w:rsidRDefault="00792D37" w:rsidP="00290DAF">
      <w:pPr>
        <w:pStyle w:val="Nadpis2"/>
        <w:spacing w:after="0"/>
      </w:pPr>
      <w:r w:rsidRPr="000C60AC">
        <w:t>Příjemce se dále zavazuje</w:t>
      </w:r>
    </w:p>
    <w:p w14:paraId="06B3C767" w14:textId="77777777"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14:paraId="39F57397" w14:textId="77777777" w:rsidR="00473516" w:rsidRPr="00155AD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 xml:space="preserve">Originály účetních dokladů </w:t>
      </w:r>
      <w:r w:rsidRPr="00155AD6">
        <w:rPr>
          <w:rFonts w:ascii="Times New Roman" w:hAnsi="Times New Roman"/>
          <w:sz w:val="22"/>
          <w:szCs w:val="22"/>
        </w:rPr>
        <w:t>týkající se realizaci projektu</w:t>
      </w:r>
      <w:r w:rsidR="00473516" w:rsidRPr="00155AD6">
        <w:rPr>
          <w:rFonts w:ascii="Times New Roman" w:hAnsi="Times New Roman"/>
          <w:sz w:val="22"/>
          <w:szCs w:val="22"/>
        </w:rPr>
        <w:t xml:space="preserve"> označit</w:t>
      </w:r>
      <w:r w:rsidR="00473516" w:rsidRPr="00155AD6">
        <w:rPr>
          <w:rFonts w:ascii="Times New Roman" w:hAnsi="Times New Roman"/>
          <w:b/>
          <w:sz w:val="22"/>
          <w:szCs w:val="22"/>
        </w:rPr>
        <w:t xml:space="preserve"> „Financováno z rozpočtu statutárního města Ostravy“</w:t>
      </w:r>
      <w:r w:rsidR="00290DAF" w:rsidRPr="00155AD6">
        <w:rPr>
          <w:rFonts w:ascii="Times New Roman" w:hAnsi="Times New Roman"/>
          <w:sz w:val="22"/>
          <w:szCs w:val="22"/>
        </w:rPr>
        <w:t xml:space="preserve"> </w:t>
      </w:r>
      <w:r w:rsidRPr="00155AD6">
        <w:rPr>
          <w:rFonts w:ascii="Times New Roman" w:hAnsi="Times New Roman"/>
          <w:sz w:val="22"/>
          <w:szCs w:val="22"/>
        </w:rPr>
        <w:t>(</w:t>
      </w:r>
      <w:r w:rsidR="00290DAF" w:rsidRPr="00155AD6">
        <w:rPr>
          <w:rFonts w:ascii="Times New Roman" w:hAnsi="Times New Roman"/>
          <w:sz w:val="22"/>
          <w:szCs w:val="22"/>
        </w:rPr>
        <w:t xml:space="preserve">příp. </w:t>
      </w:r>
      <w:r w:rsidR="00290DAF" w:rsidRPr="00155AD6">
        <w:rPr>
          <w:rFonts w:ascii="Times New Roman" w:hAnsi="Times New Roman"/>
          <w:b/>
          <w:sz w:val="22"/>
          <w:szCs w:val="22"/>
        </w:rPr>
        <w:t>„Financováno z rozpočtu SMO“</w:t>
      </w:r>
      <w:r w:rsidR="009B7CE4" w:rsidRPr="00155AD6">
        <w:rPr>
          <w:rFonts w:ascii="Times New Roman" w:hAnsi="Times New Roman"/>
          <w:b/>
          <w:sz w:val="22"/>
          <w:szCs w:val="22"/>
        </w:rPr>
        <w:t xml:space="preserve"> </w:t>
      </w:r>
      <w:r w:rsidR="009B7CE4" w:rsidRPr="00155AD6">
        <w:rPr>
          <w:rFonts w:ascii="Times New Roman" w:hAnsi="Times New Roman"/>
          <w:sz w:val="22"/>
          <w:szCs w:val="22"/>
        </w:rPr>
        <w:t>apod.</w:t>
      </w:r>
      <w:r w:rsidR="005D4576" w:rsidRPr="00155AD6">
        <w:rPr>
          <w:rFonts w:ascii="Times New Roman" w:hAnsi="Times New Roman"/>
          <w:sz w:val="22"/>
          <w:szCs w:val="22"/>
        </w:rPr>
        <w:t>)</w:t>
      </w:r>
      <w:r w:rsidR="00473516" w:rsidRPr="00155AD6">
        <w:rPr>
          <w:rFonts w:ascii="Times New Roman" w:hAnsi="Times New Roman"/>
          <w:sz w:val="22"/>
          <w:szCs w:val="22"/>
        </w:rPr>
        <w:t xml:space="preserve"> s </w:t>
      </w:r>
      <w:r w:rsidR="00473516" w:rsidRPr="00155AD6">
        <w:rPr>
          <w:rFonts w:ascii="Times New Roman" w:hAnsi="Times New Roman"/>
          <w:b/>
          <w:sz w:val="22"/>
          <w:szCs w:val="22"/>
        </w:rPr>
        <w:t>uvedením evidenčního čísla této smlouvy a výši použité dotace v Kč</w:t>
      </w:r>
      <w:r w:rsidR="00473516" w:rsidRPr="00155AD6">
        <w:rPr>
          <w:rFonts w:ascii="Times New Roman" w:hAnsi="Times New Roman"/>
          <w:sz w:val="22"/>
          <w:szCs w:val="22"/>
        </w:rPr>
        <w:t>, kterou uplatňuje do finančního vypořádání z předloženého dokladu.</w:t>
      </w:r>
    </w:p>
    <w:p w14:paraId="1860320A" w14:textId="3B7DFF74" w:rsidR="00791A5A"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55AD6">
        <w:rPr>
          <w:rFonts w:ascii="Times New Roman" w:hAnsi="Times New Roman"/>
          <w:sz w:val="22"/>
          <w:szCs w:val="22"/>
        </w:rPr>
        <w:t>O</w:t>
      </w:r>
      <w:r w:rsidR="004E0366" w:rsidRPr="00155AD6">
        <w:rPr>
          <w:rFonts w:ascii="Times New Roman" w:hAnsi="Times New Roman"/>
          <w:sz w:val="22"/>
          <w:szCs w:val="22"/>
        </w:rPr>
        <w:t xml:space="preserve">značit majetek </w:t>
      </w:r>
      <w:r w:rsidR="005D5331" w:rsidRPr="00155AD6">
        <w:rPr>
          <w:rFonts w:ascii="Times New Roman" w:hAnsi="Times New Roman"/>
          <w:sz w:val="22"/>
          <w:szCs w:val="22"/>
        </w:rPr>
        <w:t xml:space="preserve">nad </w:t>
      </w:r>
      <w:r w:rsidR="005D5331" w:rsidRPr="00155AD6">
        <w:rPr>
          <w:rFonts w:ascii="Times New Roman" w:hAnsi="Times New Roman"/>
          <w:b/>
          <w:sz w:val="22"/>
          <w:szCs w:val="22"/>
        </w:rPr>
        <w:t>40.000, - Kč</w:t>
      </w:r>
      <w:r w:rsidR="005D5331" w:rsidRPr="00155AD6">
        <w:rPr>
          <w:rFonts w:ascii="Times New Roman" w:hAnsi="Times New Roman"/>
          <w:sz w:val="22"/>
          <w:szCs w:val="22"/>
        </w:rPr>
        <w:t xml:space="preserve"> </w:t>
      </w:r>
      <w:r w:rsidR="004E0366" w:rsidRPr="00155AD6">
        <w:rPr>
          <w:rFonts w:ascii="Times New Roman" w:hAnsi="Times New Roman"/>
          <w:sz w:val="22"/>
          <w:szCs w:val="22"/>
        </w:rPr>
        <w:t xml:space="preserve">pořízený nebo technicky zhodnocený z dotace nebo její části viditelně textem: </w:t>
      </w:r>
      <w:r w:rsidR="004E0366" w:rsidRPr="00155AD6">
        <w:rPr>
          <w:rFonts w:ascii="Times New Roman" w:hAnsi="Times New Roman"/>
          <w:b/>
          <w:sz w:val="22"/>
          <w:szCs w:val="22"/>
        </w:rPr>
        <w:t>„Financováno z rozpočtu statutárního města Ostravy“</w:t>
      </w:r>
      <w:r w:rsidR="005D4576" w:rsidRPr="00155AD6">
        <w:rPr>
          <w:rFonts w:ascii="Times New Roman" w:hAnsi="Times New Roman"/>
          <w:b/>
          <w:sz w:val="22"/>
          <w:szCs w:val="22"/>
        </w:rPr>
        <w:t xml:space="preserve"> </w:t>
      </w:r>
      <w:r w:rsidR="009B7CE4" w:rsidRPr="00155AD6">
        <w:rPr>
          <w:rFonts w:ascii="Times New Roman" w:hAnsi="Times New Roman"/>
          <w:sz w:val="22"/>
          <w:szCs w:val="22"/>
        </w:rPr>
        <w:t xml:space="preserve">(příp. </w:t>
      </w:r>
      <w:r w:rsidR="009B7CE4" w:rsidRPr="00155AD6">
        <w:rPr>
          <w:rFonts w:ascii="Times New Roman" w:hAnsi="Times New Roman"/>
          <w:b/>
          <w:sz w:val="22"/>
          <w:szCs w:val="22"/>
        </w:rPr>
        <w:t xml:space="preserve">„Financováno z rozpočtu SMO“ </w:t>
      </w:r>
      <w:r w:rsidR="009B7CE4" w:rsidRPr="00155AD6">
        <w:rPr>
          <w:rFonts w:ascii="Times New Roman" w:hAnsi="Times New Roman"/>
          <w:sz w:val="22"/>
          <w:szCs w:val="22"/>
        </w:rPr>
        <w:t>apod.)</w:t>
      </w:r>
      <w:r w:rsidR="004E0366" w:rsidRPr="00155AD6">
        <w:rPr>
          <w:rFonts w:ascii="Times New Roman" w:hAnsi="Times New Roman"/>
          <w:sz w:val="22"/>
          <w:szCs w:val="22"/>
        </w:rPr>
        <w:t>. Nepředat takový majetek</w:t>
      </w:r>
      <w:r w:rsidR="004E0366" w:rsidRPr="00585EF5">
        <w:rPr>
          <w:rFonts w:ascii="Times New Roman" w:hAnsi="Times New Roman"/>
          <w:sz w:val="22"/>
          <w:szCs w:val="22"/>
        </w:rPr>
        <w:t xml:space="preserve"> do užívání z titulu výpůjčky či nájmu jinému subjektu, nezcizit jej a nepřevést na jinou právnickou nebo fyzickou osobu. Tento závazek zaniká uplynutím </w:t>
      </w:r>
      <w:r w:rsidR="00311E5F">
        <w:rPr>
          <w:rFonts w:ascii="Times New Roman" w:hAnsi="Times New Roman"/>
          <w:sz w:val="22"/>
          <w:szCs w:val="22"/>
        </w:rPr>
        <w:t>10</w:t>
      </w:r>
      <w:r w:rsidR="00311E5F" w:rsidRPr="00585EF5">
        <w:rPr>
          <w:rFonts w:ascii="Times New Roman" w:hAnsi="Times New Roman"/>
          <w:sz w:val="22"/>
          <w:szCs w:val="22"/>
        </w:rPr>
        <w:t xml:space="preserve"> </w:t>
      </w:r>
      <w:r w:rsidR="004E0366" w:rsidRPr="00585EF5">
        <w:rPr>
          <w:rFonts w:ascii="Times New Roman" w:hAnsi="Times New Roman"/>
          <w:sz w:val="22"/>
          <w:szCs w:val="22"/>
        </w:rPr>
        <w:t xml:space="preserve">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p>
    <w:p w14:paraId="003A187D"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14:paraId="4FCA19B3"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14:paraId="1748BAE7" w14:textId="3303A897" w:rsidR="006F134B" w:rsidRPr="006F134B"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V průběhu realizace účelu prokazatelným a vhodným způsobem prezentovat statutární město Ostravu, a to zejména takto:</w:t>
      </w:r>
    </w:p>
    <w:p w14:paraId="5C36EDBB"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viditelně uvádět na všech oficiálních písemnostech a tiskových materiálech, které souvisejí s činností příjemce dotace schválené logo města </w:t>
      </w:r>
      <w:proofErr w:type="gramStart"/>
      <w:r w:rsidRPr="006F134B">
        <w:rPr>
          <w:rFonts w:ascii="Times New Roman" w:hAnsi="Times New Roman"/>
          <w:sz w:val="22"/>
          <w:szCs w:val="22"/>
        </w:rPr>
        <w:t>Ostravy - zejména</w:t>
      </w:r>
      <w:proofErr w:type="gramEnd"/>
      <w:r w:rsidRPr="006F134B">
        <w:rPr>
          <w:rFonts w:ascii="Times New Roman" w:hAnsi="Times New Roman"/>
          <w:sz w:val="22"/>
          <w:szCs w:val="22"/>
        </w:rPr>
        <w:t xml:space="preserve"> na plakátech, letácích, vstupenkách, publikacích a klubových tiskovinách;</w:t>
      </w:r>
    </w:p>
    <w:p w14:paraId="424B1984"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schválené logo města na hráčských a trenérských úborech;</w:t>
      </w:r>
    </w:p>
    <w:p w14:paraId="561EBD16"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 případě, že provozuje webové stránky uvedením schváleného loga města s </w:t>
      </w:r>
      <w:proofErr w:type="spellStart"/>
      <w:r w:rsidRPr="006F134B">
        <w:rPr>
          <w:rFonts w:ascii="Times New Roman" w:hAnsi="Times New Roman"/>
          <w:sz w:val="22"/>
          <w:szCs w:val="22"/>
        </w:rPr>
        <w:t>hyperlinkem</w:t>
      </w:r>
      <w:proofErr w:type="spellEnd"/>
      <w:r w:rsidRPr="006F134B">
        <w:rPr>
          <w:rFonts w:ascii="Times New Roman" w:hAnsi="Times New Roman"/>
          <w:sz w:val="22"/>
          <w:szCs w:val="22"/>
        </w:rPr>
        <w:t xml:space="preserve"> na webové stránky poskytovatele a zveřejněním sdělení o finanční </w:t>
      </w:r>
      <w:r>
        <w:rPr>
          <w:rFonts w:ascii="Times New Roman" w:hAnsi="Times New Roman"/>
          <w:sz w:val="22"/>
          <w:szCs w:val="22"/>
        </w:rPr>
        <w:t>podpoře ze strany poskytovatele</w:t>
      </w:r>
      <w:r w:rsidRPr="006F134B">
        <w:rPr>
          <w:rFonts w:ascii="Times New Roman" w:hAnsi="Times New Roman"/>
          <w:sz w:val="22"/>
          <w:szCs w:val="22"/>
        </w:rPr>
        <w:t xml:space="preserve"> a uvedeným způsobem prezentovat město také na sociálních sítích;</w:t>
      </w:r>
    </w:p>
    <w:p w14:paraId="7448D08D"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realizace jakékoli formy mediální kampaně (t</w:t>
      </w:r>
      <w:r>
        <w:rPr>
          <w:rFonts w:ascii="Times New Roman" w:hAnsi="Times New Roman"/>
          <w:sz w:val="22"/>
          <w:szCs w:val="22"/>
        </w:rPr>
        <w:t xml:space="preserve">isková, rozhlasová, televizní, </w:t>
      </w:r>
      <w:r w:rsidRPr="006F134B">
        <w:rPr>
          <w:rFonts w:ascii="Times New Roman" w:hAnsi="Times New Roman"/>
          <w:sz w:val="22"/>
          <w:szCs w:val="22"/>
        </w:rPr>
        <w:t>internetová včetně sociálních sítí) v ČR i v zahraničí uvádět skutečnost, že je činnost podporována statutárním městem Ostrava</w:t>
      </w:r>
    </w:p>
    <w:p w14:paraId="2875B014" w14:textId="77777777" w:rsid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logo města na viditelném a důstojném místě v mí</w:t>
      </w:r>
      <w:r>
        <w:rPr>
          <w:rFonts w:ascii="Times New Roman" w:hAnsi="Times New Roman"/>
          <w:sz w:val="22"/>
          <w:szCs w:val="22"/>
        </w:rPr>
        <w:t xml:space="preserve">stě konání sportovní činnosti, </w:t>
      </w:r>
      <w:r w:rsidRPr="006F134B">
        <w:rPr>
          <w:rFonts w:ascii="Times New Roman" w:hAnsi="Times New Roman"/>
          <w:sz w:val="22"/>
          <w:szCs w:val="22"/>
        </w:rPr>
        <w:t xml:space="preserve">(sportovní hala, tělocvična, sportovní areál) </w:t>
      </w:r>
    </w:p>
    <w:p w14:paraId="5A463423" w14:textId="6CA42C50"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 xml:space="preserve">Všechny formy, rozsah a způsob prezentace města je Příjemce dotace povinen v dostatečném časovém předstihu (v souladu s časovým harmonogramem mediální kampaně akce) konzultovat s odborem kancelář primátora, oddělením </w:t>
      </w:r>
      <w:r w:rsidR="00AF697B" w:rsidRPr="00AF697B">
        <w:rPr>
          <w:rFonts w:ascii="Times New Roman" w:hAnsi="Times New Roman"/>
          <w:sz w:val="22"/>
          <w:szCs w:val="22"/>
        </w:rPr>
        <w:t xml:space="preserve">komunikace, digitálních médií a zahraničních </w:t>
      </w:r>
      <w:proofErr w:type="gramStart"/>
      <w:r w:rsidR="00AF697B" w:rsidRPr="00AF697B">
        <w:rPr>
          <w:rFonts w:ascii="Times New Roman" w:hAnsi="Times New Roman"/>
          <w:sz w:val="22"/>
          <w:szCs w:val="22"/>
        </w:rPr>
        <w:t>vztahů</w:t>
      </w:r>
      <w:r w:rsidR="00AF697B">
        <w:rPr>
          <w:rFonts w:ascii="Times New Roman" w:hAnsi="Times New Roman"/>
          <w:sz w:val="22"/>
          <w:szCs w:val="22"/>
        </w:rPr>
        <w:t xml:space="preserve"> </w:t>
      </w:r>
      <w:r w:rsidRPr="006F134B">
        <w:rPr>
          <w:rFonts w:ascii="Times New Roman" w:hAnsi="Times New Roman"/>
          <w:sz w:val="22"/>
          <w:szCs w:val="22"/>
        </w:rPr>
        <w:t xml:space="preserve"> Magistrátu</w:t>
      </w:r>
      <w:proofErr w:type="gramEnd"/>
      <w:r w:rsidRPr="006F134B">
        <w:rPr>
          <w:rFonts w:ascii="Times New Roman" w:hAnsi="Times New Roman"/>
          <w:sz w:val="22"/>
          <w:szCs w:val="22"/>
        </w:rPr>
        <w:t xml:space="preserve"> města Ostravy. Příjemce dotace je povinen v případě možnosti doložit způsob prezentace města na datovém médiu současně se závěrečným finančním vypořádáním. Veškeré </w:t>
      </w:r>
      <w:r w:rsidRPr="006F134B">
        <w:rPr>
          <w:rFonts w:ascii="Times New Roman" w:hAnsi="Times New Roman"/>
          <w:sz w:val="22"/>
          <w:szCs w:val="22"/>
        </w:rPr>
        <w:lastRenderedPageBreak/>
        <w:t>náklady spojené s uvedenou prezentací hradí příjemce, pokud se nedohodne písemně s poskytovatelem dotace jinak.</w:t>
      </w:r>
    </w:p>
    <w:p w14:paraId="524B11E8" w14:textId="77777777" w:rsidR="00ED012F" w:rsidRPr="0039143B" w:rsidRDefault="00ED012F" w:rsidP="00ED012F">
      <w:pPr>
        <w:spacing w:before="120"/>
        <w:ind w:left="360"/>
        <w:jc w:val="both"/>
        <w:rPr>
          <w:rFonts w:ascii="Times New Roman" w:hAnsi="Times New Roman"/>
          <w:sz w:val="22"/>
          <w:szCs w:val="22"/>
        </w:rPr>
      </w:pPr>
      <w:r w:rsidRPr="003A7356">
        <w:rPr>
          <w:rFonts w:ascii="Times New Roman" w:hAnsi="Times New Roman"/>
          <w:sz w:val="22"/>
          <w:szCs w:val="22"/>
        </w:rPr>
        <w:t xml:space="preserve">V rámci zajištění propagace statutárního města Ostravy jako poskytovatele peněžních prostředků </w:t>
      </w:r>
      <w:r w:rsidRPr="003A7356">
        <w:rPr>
          <w:rFonts w:ascii="Times New Roman" w:hAnsi="Times New Roman"/>
          <w:b/>
          <w:sz w:val="22"/>
          <w:szCs w:val="22"/>
        </w:rPr>
        <w:t>se příjemce zavazuje</w:t>
      </w:r>
      <w:r w:rsidRPr="003A7356">
        <w:rPr>
          <w:rFonts w:ascii="Times New Roman" w:hAnsi="Times New Roman"/>
          <w:sz w:val="22"/>
          <w:szCs w:val="22"/>
        </w:rPr>
        <w:t xml:space="preserve"> využívat k prezentaci své celoroční sportovní činnosti - zvláště pak akcí s širokou účastí veřejnosti - </w:t>
      </w:r>
      <w:r w:rsidRPr="003A7356">
        <w:rPr>
          <w:rFonts w:ascii="Times New Roman" w:hAnsi="Times New Roman"/>
          <w:b/>
          <w:sz w:val="22"/>
          <w:szCs w:val="22"/>
        </w:rPr>
        <w:t>oficiální webový portál zřízený statutárním městem Ostrava s názvem</w:t>
      </w:r>
      <w:r w:rsidRPr="003A7356">
        <w:rPr>
          <w:rFonts w:ascii="Times New Roman" w:hAnsi="Times New Roman"/>
          <w:sz w:val="22"/>
          <w:szCs w:val="22"/>
        </w:rPr>
        <w:t xml:space="preserve"> </w:t>
      </w:r>
      <w:r w:rsidR="00382998" w:rsidRPr="003A7356">
        <w:rPr>
          <w:rFonts w:ascii="Times New Roman" w:hAnsi="Times New Roman"/>
          <w:i/>
          <w:sz w:val="22"/>
          <w:szCs w:val="22"/>
        </w:rPr>
        <w:t>„</w:t>
      </w:r>
      <w:proofErr w:type="spellStart"/>
      <w:r w:rsidR="00382998" w:rsidRPr="003A7356">
        <w:rPr>
          <w:rFonts w:ascii="Times New Roman" w:hAnsi="Times New Roman"/>
          <w:b/>
          <w:i/>
          <w:sz w:val="22"/>
          <w:szCs w:val="22"/>
        </w:rPr>
        <w:t>Fajnovy</w:t>
      </w:r>
      <w:proofErr w:type="spellEnd"/>
      <w:r w:rsidR="00382998" w:rsidRPr="003A7356">
        <w:rPr>
          <w:rFonts w:ascii="Times New Roman" w:hAnsi="Times New Roman"/>
          <w:b/>
          <w:i/>
          <w:sz w:val="22"/>
          <w:szCs w:val="22"/>
        </w:rPr>
        <w:t xml:space="preserve"> sport“</w:t>
      </w:r>
      <w:r w:rsidRPr="003A7356">
        <w:rPr>
          <w:rFonts w:ascii="Times New Roman" w:hAnsi="Times New Roman"/>
          <w:i/>
          <w:sz w:val="22"/>
          <w:szCs w:val="22"/>
        </w:rPr>
        <w:t xml:space="preserve"> (</w:t>
      </w:r>
      <w:hyperlink r:id="rId10" w:history="1">
        <w:r w:rsidR="00AB532D" w:rsidRPr="003A7356">
          <w:rPr>
            <w:rStyle w:val="Hypertextovodkaz"/>
            <w:rFonts w:ascii="Times New Roman" w:hAnsi="Times New Roman"/>
            <w:i/>
            <w:sz w:val="22"/>
            <w:szCs w:val="22"/>
          </w:rPr>
          <w:t>www.fajnovysport.cz)</w:t>
        </w:r>
      </w:hyperlink>
      <w:r w:rsidRPr="003A7356">
        <w:rPr>
          <w:rFonts w:ascii="Times New Roman" w:hAnsi="Times New Roman"/>
          <w:sz w:val="22"/>
          <w:szCs w:val="22"/>
        </w:rPr>
        <w:t>, na kterém s dostatečným předstihem umístí informace týkající se termínu konání akce, podmínek úč</w:t>
      </w:r>
      <w:r w:rsidR="00117ED2" w:rsidRPr="003A7356">
        <w:rPr>
          <w:rFonts w:ascii="Times New Roman" w:hAnsi="Times New Roman"/>
          <w:sz w:val="22"/>
          <w:szCs w:val="22"/>
        </w:rPr>
        <w:t>asti a další důležité informace.</w:t>
      </w:r>
    </w:p>
    <w:p w14:paraId="24FAE067" w14:textId="77777777"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14:paraId="477F9134" w14:textId="79C029A0"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 xml:space="preserve">Příjemce je povinen postupovat při prezentaci poskytovatele v rámci projektu v souladu s nařízením města č. </w:t>
      </w:r>
      <w:r w:rsidR="00AF697B">
        <w:rPr>
          <w:rFonts w:ascii="Times New Roman" w:hAnsi="Times New Roman"/>
          <w:sz w:val="22"/>
          <w:szCs w:val="22"/>
        </w:rPr>
        <w:t>2/2020</w:t>
      </w:r>
      <w:r w:rsidRPr="005D4576">
        <w:rPr>
          <w:rFonts w:ascii="Times New Roman" w:hAnsi="Times New Roman"/>
          <w:sz w:val="22"/>
          <w:szCs w:val="22"/>
        </w:rPr>
        <w:t>, kterým se stanoví zákaz šíření reklamy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03F2642A" w14:textId="77777777" w:rsidR="00782B54" w:rsidRPr="00782B54" w:rsidRDefault="00782B54" w:rsidP="00C82CBC">
      <w:pPr>
        <w:numPr>
          <w:ilvl w:val="0"/>
          <w:numId w:val="3"/>
        </w:numPr>
        <w:spacing w:before="120"/>
        <w:jc w:val="both"/>
        <w:rPr>
          <w:rFonts w:ascii="Times New Roman" w:hAnsi="Times New Roman"/>
          <w:color w:val="FF0000"/>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6E9C88CC" w14:textId="02A2D2CF" w:rsidR="007F5C8D" w:rsidRDefault="00D317D7" w:rsidP="00817333">
      <w:pPr>
        <w:numPr>
          <w:ilvl w:val="0"/>
          <w:numId w:val="3"/>
        </w:numPr>
        <w:spacing w:before="120" w:after="120"/>
        <w:ind w:left="357" w:hanging="357"/>
        <w:jc w:val="both"/>
        <w:rPr>
          <w:rFonts w:ascii="Times New Roman" w:hAnsi="Times New Roman"/>
          <w:sz w:val="22"/>
          <w:szCs w:val="22"/>
        </w:rPr>
      </w:pPr>
      <w:bookmarkStart w:id="3"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w:t>
      </w:r>
      <w:r w:rsidR="00C568DA" w:rsidRPr="00527262">
        <w:rPr>
          <w:rFonts w:ascii="Times New Roman" w:hAnsi="Times New Roman"/>
          <w:sz w:val="22"/>
          <w:szCs w:val="22"/>
        </w:rPr>
        <w:t xml:space="preserve">nejpozději </w:t>
      </w:r>
      <w:r w:rsidR="00C568DA" w:rsidRPr="00527262">
        <w:rPr>
          <w:rFonts w:ascii="Times New Roman" w:hAnsi="Times New Roman"/>
          <w:b/>
          <w:sz w:val="22"/>
          <w:szCs w:val="22"/>
        </w:rPr>
        <w:t>do </w:t>
      </w:r>
      <w:r w:rsidR="00527262" w:rsidRPr="00527262">
        <w:rPr>
          <w:rFonts w:ascii="Times New Roman" w:hAnsi="Times New Roman"/>
          <w:b/>
          <w:sz w:val="22"/>
          <w:szCs w:val="22"/>
        </w:rPr>
        <w:t>31.12.2021</w:t>
      </w:r>
      <w:r w:rsidR="00C568DA" w:rsidRPr="00527262">
        <w:rPr>
          <w:rFonts w:ascii="Times New Roman" w:hAnsi="Times New Roman"/>
          <w:b/>
          <w:sz w:val="22"/>
          <w:szCs w:val="22"/>
        </w:rPr>
        <w:t xml:space="preserve"> závěrečné finanční vypořádání</w:t>
      </w:r>
      <w:r w:rsidR="00C568DA" w:rsidRPr="00527262">
        <w:rPr>
          <w:rFonts w:ascii="Times New Roman" w:hAnsi="Times New Roman"/>
          <w:sz w:val="22"/>
          <w:szCs w:val="22"/>
        </w:rPr>
        <w:t>, tj. závěrečné vyúčtování dotace v tištěné podobě. Finanční</w:t>
      </w:r>
      <w:r w:rsidR="00C568DA" w:rsidRPr="00EA1E4D">
        <w:rPr>
          <w:rFonts w:ascii="Times New Roman" w:hAnsi="Times New Roman"/>
          <w:sz w:val="22"/>
          <w:szCs w:val="22"/>
        </w:rPr>
        <w:t xml:space="preserve">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14:paraId="0638FE23" w14:textId="77777777" w:rsidR="00C568DA" w:rsidRPr="00117ED2"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3"/>
    </w:p>
    <w:p w14:paraId="537A3A4A" w14:textId="77777777" w:rsidR="00964003" w:rsidRPr="00117ED2"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t>V</w:t>
      </w:r>
      <w:r w:rsidR="00C568DA" w:rsidRPr="00117ED2">
        <w:rPr>
          <w:rFonts w:ascii="Times New Roman" w:hAnsi="Times New Roman"/>
          <w:sz w:val="22"/>
          <w:szCs w:val="22"/>
        </w:rPr>
        <w:t>rátit nevyčerpané peněžní prostředky dotace, jsou-li vyšší než 10 Kč, zpět na účet poskytovatele, vedený u České spořitelny, a. s., číslo účtu 27-1649297309/0800, nejpozději ve lhůtě stanovené pro předložení závěrečného finančního vypořádání dotace, včetně písemného odůvodnění vrácení dotace. Příjemce je povinen při nerealizaci projektu odeslat poskytnutou dotaci zpět převodem na účet poskytovatele uvedený v záhlaví této smlouvy, a to v den oznámení vzniku změny, včetně písemného odůvodnění vrácení dotace.</w:t>
      </w:r>
    </w:p>
    <w:p w14:paraId="131AFDDB" w14:textId="77777777"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lastRenderedPageBreak/>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0D896D4A" w14:textId="77777777"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14:paraId="6C32623B" w14:textId="77777777"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Nepřevést svá práva a povinnosti z této smlouvy ani tuto smlouvu na jinou fyzickou nebo právnickou osobu.</w:t>
      </w:r>
      <w:r w:rsidR="00117ED2" w:rsidRPr="00117ED2">
        <w:rPr>
          <w:rFonts w:ascii="Times New Roman" w:hAnsi="Times New Roman"/>
          <w:sz w:val="22"/>
          <w:szCs w:val="22"/>
        </w:rPr>
        <w:t xml:space="preserve"> </w:t>
      </w:r>
    </w:p>
    <w:p w14:paraId="63EF7408" w14:textId="77777777"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14:paraId="744347D2" w14:textId="77777777"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14:paraId="5427393A" w14:textId="1E8AD723"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 xml:space="preserve">radit náklady, které </w:t>
      </w:r>
      <w:r w:rsidR="0038210D" w:rsidRPr="00117ED2">
        <w:rPr>
          <w:rFonts w:ascii="Times New Roman" w:hAnsi="Times New Roman"/>
          <w:sz w:val="22"/>
        </w:rPr>
        <w:t>uplatňuje z do</w:t>
      </w:r>
      <w:r w:rsidR="002E5DE9" w:rsidRPr="00117ED2">
        <w:rPr>
          <w:rFonts w:ascii="Times New Roman" w:hAnsi="Times New Roman"/>
          <w:sz w:val="22"/>
        </w:rPr>
        <w:t>tace, pouze z</w:t>
      </w:r>
      <w:r w:rsidR="005B53B3" w:rsidRPr="00117ED2">
        <w:rPr>
          <w:rFonts w:ascii="Times New Roman" w:hAnsi="Times New Roman"/>
          <w:sz w:val="22"/>
        </w:rPr>
        <w:t xml:space="preserve"> </w:t>
      </w:r>
      <w:r w:rsidR="002E5DE9" w:rsidRPr="00117ED2">
        <w:rPr>
          <w:rFonts w:ascii="Times New Roman" w:hAnsi="Times New Roman"/>
          <w:sz w:val="22"/>
        </w:rPr>
        <w:t>účtu</w:t>
      </w:r>
      <w:r w:rsidR="004D6C67" w:rsidRPr="00117ED2">
        <w:rPr>
          <w:rFonts w:ascii="Times New Roman" w:hAnsi="Times New Roman"/>
          <w:sz w:val="22"/>
        </w:rPr>
        <w:t xml:space="preserve"> příjemce.</w:t>
      </w:r>
    </w:p>
    <w:p w14:paraId="7FCB3C4F" w14:textId="77777777" w:rsidR="00964003" w:rsidRPr="00936662" w:rsidRDefault="000C60AC" w:rsidP="000C60AC">
      <w:pPr>
        <w:pStyle w:val="Nadpis1"/>
      </w:pPr>
      <w:r>
        <w:br/>
      </w:r>
      <w:r w:rsidR="00964003" w:rsidRPr="00936662">
        <w:t>Kontrola</w:t>
      </w:r>
    </w:p>
    <w:p w14:paraId="32D5A586"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14:paraId="493BE537"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19D5392A" w14:textId="77777777" w:rsidR="00F82F26" w:rsidRPr="00F74FFB"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14:paraId="23FEACFE" w14:textId="77777777" w:rsidR="00964003" w:rsidRPr="00936662" w:rsidRDefault="000C60AC" w:rsidP="00936662">
      <w:pPr>
        <w:pStyle w:val="Nadpis1"/>
      </w:pPr>
      <w:r>
        <w:br/>
      </w:r>
      <w:r w:rsidR="00964003" w:rsidRPr="00936662">
        <w:t>Sankční ujednání</w:t>
      </w:r>
    </w:p>
    <w:p w14:paraId="7C3F509B" w14:textId="77777777"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14:paraId="24043D53" w14:textId="77777777"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14:paraId="51B16C19" w14:textId="77777777"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14:paraId="1E8CD7D8" w14:textId="77777777" w:rsidR="00DA4299" w:rsidRPr="0014271F"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14271F">
        <w:rPr>
          <w:rFonts w:ascii="Times New Roman" w:hAnsi="Times New Roman"/>
          <w:sz w:val="22"/>
          <w:szCs w:val="22"/>
        </w:rPr>
        <w:t xml:space="preserve">Porušení povinnosti uvedené v odst. </w:t>
      </w:r>
      <w:r w:rsidR="00800CD4">
        <w:rPr>
          <w:rFonts w:ascii="Times New Roman" w:hAnsi="Times New Roman"/>
          <w:sz w:val="22"/>
          <w:szCs w:val="22"/>
        </w:rPr>
        <w:t>11</w:t>
      </w:r>
      <w:r w:rsidRPr="0014271F">
        <w:rPr>
          <w:rFonts w:ascii="Times New Roman" w:hAnsi="Times New Roman"/>
          <w:sz w:val="22"/>
          <w:szCs w:val="22"/>
        </w:rPr>
        <w:t xml:space="preserve"> čl. V této smlouvy je považováno za porušení méně závažné povinnosti ve smyslu ustanovení § 10a odst. 6 zákona č. 250/2000 Sb., o rozpočtových pravidlech územních rozpočtů, ve znění pozdějších předpisů. Odvod za</w:t>
      </w:r>
      <w:r w:rsidR="0014271F" w:rsidRPr="0014271F">
        <w:rPr>
          <w:rFonts w:ascii="Times New Roman" w:hAnsi="Times New Roman"/>
          <w:sz w:val="22"/>
          <w:szCs w:val="22"/>
        </w:rPr>
        <w:t xml:space="preserve"> toto porušení rozpočtové kázně se </w:t>
      </w:r>
      <w:r w:rsidRPr="0014271F">
        <w:rPr>
          <w:rFonts w:ascii="Times New Roman" w:hAnsi="Times New Roman"/>
          <w:sz w:val="22"/>
          <w:szCs w:val="22"/>
        </w:rPr>
        <w:t>stanoví</w:t>
      </w:r>
      <w:r w:rsidR="0014271F" w:rsidRPr="0014271F">
        <w:rPr>
          <w:rFonts w:ascii="Times New Roman" w:hAnsi="Times New Roman"/>
          <w:sz w:val="22"/>
          <w:szCs w:val="22"/>
        </w:rPr>
        <w:t xml:space="preserve"> </w:t>
      </w:r>
      <w:r w:rsidRPr="0014271F">
        <w:rPr>
          <w:rFonts w:ascii="Times New Roman" w:hAnsi="Times New Roman"/>
          <w:sz w:val="22"/>
          <w:szCs w:val="22"/>
        </w:rPr>
        <w:t>ve výši 5 % z poskytnuté dotace za každé jednotlivé porušení této povinnosti.</w:t>
      </w:r>
    </w:p>
    <w:p w14:paraId="1C414E5D" w14:textId="45AF39B3" w:rsidR="00DA4299" w:rsidRPr="00D317D7" w:rsidRDefault="00DA4299" w:rsidP="00155AD6">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14271F">
        <w:rPr>
          <w:rFonts w:ascii="Times New Roman" w:hAnsi="Times New Roman"/>
          <w:sz w:val="22"/>
          <w:szCs w:val="22"/>
        </w:rPr>
        <w:lastRenderedPageBreak/>
        <w:t>Porušení povinností uvedený</w:t>
      </w:r>
      <w:r w:rsidR="00CA4B37" w:rsidRPr="0014271F">
        <w:rPr>
          <w:rFonts w:ascii="Times New Roman" w:hAnsi="Times New Roman"/>
          <w:sz w:val="22"/>
          <w:szCs w:val="22"/>
        </w:rPr>
        <w:t xml:space="preserve">ch v odst. </w:t>
      </w:r>
      <w:r w:rsidR="00800CD4">
        <w:rPr>
          <w:rFonts w:ascii="Times New Roman" w:hAnsi="Times New Roman"/>
          <w:sz w:val="22"/>
          <w:szCs w:val="22"/>
        </w:rPr>
        <w:t>13</w:t>
      </w:r>
      <w:r w:rsidR="0014271F">
        <w:rPr>
          <w:rFonts w:ascii="Times New Roman" w:hAnsi="Times New Roman"/>
          <w:sz w:val="22"/>
          <w:szCs w:val="22"/>
        </w:rPr>
        <w:t xml:space="preserve"> </w:t>
      </w:r>
      <w:r w:rsidR="00351B8A" w:rsidRPr="0014271F">
        <w:rPr>
          <w:rFonts w:ascii="Times New Roman" w:hAnsi="Times New Roman"/>
          <w:sz w:val="22"/>
          <w:szCs w:val="22"/>
        </w:rPr>
        <w:fldChar w:fldCharType="begin"/>
      </w:r>
      <w:r w:rsidR="00570D27" w:rsidRPr="0014271F">
        <w:rPr>
          <w:rFonts w:ascii="Times New Roman" w:hAnsi="Times New Roman"/>
          <w:sz w:val="22"/>
          <w:szCs w:val="22"/>
        </w:rPr>
        <w:instrText xml:space="preserve"> REF _Ref519703308 \r \h </w:instrText>
      </w:r>
      <w:r w:rsidR="00E97798" w:rsidRPr="0014271F">
        <w:rPr>
          <w:rFonts w:ascii="Times New Roman" w:hAnsi="Times New Roman"/>
          <w:sz w:val="22"/>
          <w:szCs w:val="22"/>
        </w:rPr>
        <w:instrText xml:space="preserve"> \* MERGEFORMAT </w:instrText>
      </w:r>
      <w:r w:rsidR="00351B8A" w:rsidRPr="0014271F">
        <w:rPr>
          <w:rFonts w:ascii="Times New Roman" w:hAnsi="Times New Roman"/>
          <w:sz w:val="22"/>
          <w:szCs w:val="22"/>
        </w:rPr>
      </w:r>
      <w:r w:rsidR="00351B8A" w:rsidRPr="0014271F">
        <w:rPr>
          <w:rFonts w:ascii="Times New Roman" w:hAnsi="Times New Roman"/>
          <w:sz w:val="22"/>
          <w:szCs w:val="22"/>
        </w:rPr>
        <w:fldChar w:fldCharType="separate"/>
      </w:r>
      <w:r w:rsidR="00FA1D6E">
        <w:rPr>
          <w:rFonts w:ascii="Times New Roman" w:hAnsi="Times New Roman"/>
          <w:sz w:val="22"/>
          <w:szCs w:val="22"/>
        </w:rPr>
        <w:t>čl. V</w:t>
      </w:r>
      <w:r w:rsidR="00351B8A" w:rsidRPr="0014271F">
        <w:rPr>
          <w:rFonts w:ascii="Times New Roman" w:hAnsi="Times New Roman"/>
          <w:sz w:val="22"/>
          <w:szCs w:val="22"/>
        </w:rPr>
        <w:fldChar w:fldCharType="end"/>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CA4B37" w:rsidRPr="00741D01">
        <w:rPr>
          <w:rFonts w:ascii="Times New Roman" w:hAnsi="Times New Roman"/>
          <w:sz w:val="22"/>
          <w:szCs w:val="22"/>
        </w:rPr>
        <w:t>závěrečného</w:t>
      </w:r>
      <w:r w:rsidR="0014271F" w:rsidRPr="00741D01">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800CD4">
        <w:rPr>
          <w:rFonts w:ascii="Times New Roman" w:hAnsi="Times New Roman"/>
          <w:sz w:val="22"/>
          <w:szCs w:val="22"/>
        </w:rPr>
        <w:t>13</w:t>
      </w:r>
      <w:r w:rsidR="0014271F">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FA1D6E">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14:paraId="106817E9" w14:textId="77777777"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14:paraId="0469FC1F" w14:textId="77777777" w:rsidR="00F4568F" w:rsidRPr="00A9338E" w:rsidRDefault="00DA4299"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8  -</w:t>
      </w:r>
      <w:proofErr w:type="gramEnd"/>
      <w:r w:rsidRPr="00A9338E">
        <w:rPr>
          <w:rFonts w:ascii="Times New Roman" w:hAnsi="Times New Roman"/>
          <w:sz w:val="22"/>
          <w:szCs w:val="22"/>
        </w:rPr>
        <w:t xml:space="preserve"> 30 dní 10% poskytnuté dotace</w:t>
      </w:r>
      <w:r w:rsidR="00F4568F" w:rsidRPr="00A9338E">
        <w:rPr>
          <w:rFonts w:ascii="Times New Roman" w:hAnsi="Times New Roman"/>
          <w:sz w:val="22"/>
          <w:szCs w:val="22"/>
        </w:rPr>
        <w:t xml:space="preserve"> </w:t>
      </w:r>
    </w:p>
    <w:p w14:paraId="70F9E6C2" w14:textId="77777777" w:rsidR="00CA4B37" w:rsidRPr="00A9338E" w:rsidRDefault="00F4568F"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31 – 60</w:t>
      </w:r>
      <w:proofErr w:type="gramEnd"/>
      <w:r w:rsidRPr="00A9338E">
        <w:rPr>
          <w:rFonts w:ascii="Times New Roman" w:hAnsi="Times New Roman"/>
          <w:sz w:val="22"/>
          <w:szCs w:val="22"/>
        </w:rPr>
        <w:t xml:space="preserve">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14:paraId="3E1694D7" w14:textId="77DF26C6"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CA4B37" w:rsidRPr="00741D01">
        <w:rPr>
          <w:rFonts w:ascii="Times New Roman" w:hAnsi="Times New Roman"/>
          <w:sz w:val="22"/>
          <w:szCs w:val="22"/>
        </w:rPr>
        <w:t>závěrečné</w:t>
      </w:r>
      <w:r w:rsidR="00CA4B37" w:rsidRPr="00896E9F">
        <w:rPr>
          <w:rFonts w:ascii="Times New Roman" w:hAnsi="Times New Roman"/>
          <w:color w:val="FF0000"/>
          <w:sz w:val="22"/>
          <w:szCs w:val="22"/>
        </w:rPr>
        <w:t xml:space="preserve">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FA1D6E">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odst.</w:t>
      </w:r>
      <w:r w:rsidR="00CA4B37" w:rsidRPr="00741D01">
        <w:rPr>
          <w:rFonts w:ascii="Times New Roman" w:hAnsi="Times New Roman"/>
          <w:iCs/>
          <w:sz w:val="22"/>
          <w:szCs w:val="22"/>
        </w:rPr>
        <w:t xml:space="preserve"> </w:t>
      </w:r>
      <w:r w:rsidR="00800CD4" w:rsidRPr="00741D01">
        <w:rPr>
          <w:rFonts w:ascii="Times New Roman" w:hAnsi="Times New Roman"/>
          <w:iCs/>
          <w:sz w:val="22"/>
          <w:szCs w:val="22"/>
        </w:rPr>
        <w:t>13</w:t>
      </w:r>
      <w:r w:rsidR="001939F2" w:rsidRPr="00741D01">
        <w:rPr>
          <w:rFonts w:ascii="Times New Roman" w:hAnsi="Times New Roman"/>
          <w:sz w:val="22"/>
          <w:szCs w:val="22"/>
        </w:rPr>
        <w:t xml:space="preserve"> </w:t>
      </w:r>
      <w:r w:rsidRPr="00741D01">
        <w:rPr>
          <w:rFonts w:ascii="Times New Roman" w:hAnsi="Times New Roman"/>
          <w:sz w:val="22"/>
          <w:szCs w:val="22"/>
        </w:rPr>
        <w:t>této smlouvy</w:t>
      </w:r>
      <w:r w:rsidRPr="00A9338E">
        <w:rPr>
          <w:rFonts w:ascii="Times New Roman" w:hAnsi="Times New Roman"/>
          <w:sz w:val="22"/>
          <w:szCs w:val="22"/>
        </w:rPr>
        <w:t>,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14:paraId="0358D965" w14:textId="77777777" w:rsidR="00964003" w:rsidRPr="00936662" w:rsidRDefault="000C60AC" w:rsidP="00155AD6">
      <w:pPr>
        <w:pStyle w:val="Nadpis1"/>
        <w:spacing w:after="0"/>
      </w:pPr>
      <w:r>
        <w:br/>
      </w:r>
      <w:r w:rsidR="00964003" w:rsidRPr="00936662">
        <w:t xml:space="preserve">Závěrečná </w:t>
      </w:r>
      <w:r w:rsidR="00490768" w:rsidRPr="00936662">
        <w:t>ujedná</w:t>
      </w:r>
      <w:r w:rsidR="00964003" w:rsidRPr="00936662">
        <w:t>ní</w:t>
      </w:r>
    </w:p>
    <w:p w14:paraId="0298B0A4" w14:textId="77777777" w:rsidR="0065472E" w:rsidRPr="00A9338E" w:rsidRDefault="0065472E" w:rsidP="00155AD6">
      <w:pPr>
        <w:numPr>
          <w:ilvl w:val="0"/>
          <w:numId w:val="7"/>
        </w:numPr>
        <w:ind w:left="357" w:hanging="357"/>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14:paraId="36BD38DA" w14:textId="45230B09" w:rsidR="007F747D" w:rsidRPr="00815B77" w:rsidRDefault="007F747D" w:rsidP="00705C24">
      <w:pPr>
        <w:numPr>
          <w:ilvl w:val="0"/>
          <w:numId w:val="7"/>
        </w:numPr>
        <w:tabs>
          <w:tab w:val="clear" w:pos="360"/>
        </w:tabs>
        <w:spacing w:before="120"/>
        <w:ind w:left="357" w:hanging="357"/>
        <w:jc w:val="both"/>
        <w:rPr>
          <w:rFonts w:ascii="Times New Roman" w:hAnsi="Times New Roman"/>
          <w:i/>
          <w:szCs w:val="22"/>
        </w:rPr>
      </w:pPr>
      <w:r w:rsidRPr="00815B77">
        <w:rPr>
          <w:rFonts w:ascii="Times New Roman" w:hAnsi="Times New Roman"/>
          <w:sz w:val="22"/>
          <w:szCs w:val="22"/>
        </w:rPr>
        <w:t xml:space="preserve">Tato smlouva nabývá účinnosti dnem jejího </w:t>
      </w:r>
      <w:r w:rsidR="00A9338E" w:rsidRPr="00815B77">
        <w:rPr>
          <w:rFonts w:ascii="Times New Roman" w:hAnsi="Times New Roman"/>
          <w:sz w:val="22"/>
          <w:szCs w:val="22"/>
        </w:rPr>
        <w:t>uveřejnění v registru</w:t>
      </w:r>
      <w:r w:rsidRPr="00815B77">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815B77">
        <w:rPr>
          <w:rFonts w:ascii="Times New Roman" w:hAnsi="Times New Roman"/>
          <w:sz w:val="22"/>
          <w:szCs w:val="22"/>
        </w:rPr>
        <w:t xml:space="preserve"> </w:t>
      </w:r>
    </w:p>
    <w:p w14:paraId="143AE2A9" w14:textId="77777777"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14:paraId="3216213F"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14:paraId="16063C0A"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083A106C" w14:textId="77777777"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14:paraId="3694A8F8" w14:textId="77777777" w:rsidR="00DA344E" w:rsidRPr="006120DC" w:rsidRDefault="00DA344E"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14:paraId="0023129B" w14:textId="77777777" w:rsidR="008C40A4" w:rsidRPr="009F5F0E" w:rsidRDefault="008B406D" w:rsidP="00705C24">
      <w:pPr>
        <w:numPr>
          <w:ilvl w:val="0"/>
          <w:numId w:val="7"/>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mlouva je sepsána ve 4 stejnopisech s platností originálu, z nichž 3 vyhotovení obdrží poskytovatel a 1 příjemce.</w:t>
      </w:r>
    </w:p>
    <w:p w14:paraId="5C8D75FC"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14:paraId="39F42ECC"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lastRenderedPageBreak/>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14:paraId="67B41FB3" w14:textId="13B7FE72" w:rsidR="00D256E6" w:rsidRDefault="00964003" w:rsidP="00705C24">
      <w:pPr>
        <w:numPr>
          <w:ilvl w:val="0"/>
          <w:numId w:val="7"/>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741D01">
        <w:rPr>
          <w:rFonts w:ascii="Times New Roman" w:hAnsi="Times New Roman"/>
          <w:sz w:val="22"/>
          <w:szCs w:val="22"/>
        </w:rPr>
        <w:t>1321</w:t>
      </w:r>
      <w:r w:rsidR="00D256E6" w:rsidRPr="00BB0886">
        <w:rPr>
          <w:rFonts w:ascii="Times New Roman" w:hAnsi="Times New Roman"/>
          <w:sz w:val="22"/>
          <w:szCs w:val="22"/>
        </w:rPr>
        <w:t>/ZM</w:t>
      </w:r>
      <w:r w:rsidR="00741D01">
        <w:rPr>
          <w:rFonts w:ascii="Times New Roman" w:hAnsi="Times New Roman"/>
          <w:sz w:val="22"/>
          <w:szCs w:val="22"/>
        </w:rPr>
        <w:t>1822</w:t>
      </w:r>
      <w:r w:rsidR="00E56349" w:rsidRPr="00BB0886">
        <w:rPr>
          <w:rFonts w:ascii="Times New Roman" w:hAnsi="Times New Roman"/>
          <w:sz w:val="22"/>
          <w:szCs w:val="22"/>
        </w:rPr>
        <w:t>/</w:t>
      </w:r>
      <w:r w:rsidR="00741D01">
        <w:rPr>
          <w:rFonts w:ascii="Times New Roman" w:hAnsi="Times New Roman"/>
          <w:sz w:val="22"/>
          <w:szCs w:val="22"/>
        </w:rPr>
        <w:t>21</w:t>
      </w:r>
      <w:r w:rsidRPr="00BB0886">
        <w:rPr>
          <w:rFonts w:ascii="Times New Roman" w:hAnsi="Times New Roman"/>
          <w:sz w:val="22"/>
          <w:szCs w:val="22"/>
        </w:rPr>
        <w:t xml:space="preserve"> ze dne</w:t>
      </w:r>
      <w:r w:rsidR="00741D01">
        <w:rPr>
          <w:rFonts w:ascii="Times New Roman" w:hAnsi="Times New Roman"/>
          <w:sz w:val="22"/>
          <w:szCs w:val="22"/>
        </w:rPr>
        <w:t xml:space="preserve"> 3.3.2021.</w:t>
      </w:r>
    </w:p>
    <w:p w14:paraId="2D15EF32" w14:textId="3D860CE2" w:rsidR="00741D01" w:rsidRDefault="00741D01" w:rsidP="00741D01">
      <w:pPr>
        <w:spacing w:before="120"/>
        <w:rPr>
          <w:rFonts w:ascii="Times New Roman" w:hAnsi="Times New Roman"/>
          <w:sz w:val="22"/>
          <w:szCs w:val="22"/>
        </w:rPr>
      </w:pPr>
    </w:p>
    <w:p w14:paraId="0430FCD5" w14:textId="77777777" w:rsidR="00D54A52" w:rsidRPr="006120DC" w:rsidRDefault="00D54A52" w:rsidP="00155AD6">
      <w:pPr>
        <w:spacing w:before="120"/>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14:paraId="666032F2" w14:textId="77777777" w:rsidR="00D54A52" w:rsidRPr="006120DC" w:rsidRDefault="00D54A52" w:rsidP="000221A7">
      <w:pPr>
        <w:pStyle w:val="Nadpis3"/>
        <w:numPr>
          <w:ilvl w:val="0"/>
          <w:numId w:val="0"/>
        </w:numPr>
        <w:tabs>
          <w:tab w:val="left" w:pos="284"/>
        </w:tabs>
        <w:spacing w:before="0" w:after="1080"/>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14:paraId="138F5744" w14:textId="77777777" w:rsidR="00155AD6" w:rsidRDefault="00155AD6" w:rsidP="00011A47">
      <w:pPr>
        <w:tabs>
          <w:tab w:val="center" w:pos="1440"/>
        </w:tabs>
        <w:rPr>
          <w:rFonts w:ascii="Times New Roman" w:hAnsi="Times New Roman"/>
          <w:sz w:val="22"/>
          <w:szCs w:val="22"/>
        </w:rPr>
      </w:pPr>
    </w:p>
    <w:p w14:paraId="7D138E03" w14:textId="77777777"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14:paraId="723BFFC6" w14:textId="5D63C227"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sidR="00667753">
        <w:rPr>
          <w:rFonts w:ascii="Times New Roman" w:hAnsi="Times New Roman"/>
          <w:sz w:val="22"/>
          <w:szCs w:val="22"/>
        </w:rPr>
        <w:t xml:space="preserve">Miroslav </w:t>
      </w:r>
      <w:proofErr w:type="spellStart"/>
      <w:r w:rsidR="00667753">
        <w:rPr>
          <w:rFonts w:ascii="Times New Roman" w:hAnsi="Times New Roman"/>
          <w:sz w:val="22"/>
          <w:szCs w:val="22"/>
        </w:rPr>
        <w:t>Běhůnek</w:t>
      </w:r>
      <w:proofErr w:type="spellEnd"/>
      <w:r w:rsidRPr="006120DC">
        <w:rPr>
          <w:rFonts w:ascii="Times New Roman" w:hAnsi="Times New Roman"/>
          <w:sz w:val="22"/>
          <w:szCs w:val="22"/>
        </w:rPr>
        <w:t xml:space="preserve">    </w:t>
      </w:r>
    </w:p>
    <w:p w14:paraId="15B7CDC8" w14:textId="1584DA97" w:rsidR="00741D01"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sidR="00667753">
        <w:rPr>
          <w:rFonts w:ascii="Times New Roman" w:hAnsi="Times New Roman"/>
          <w:sz w:val="22"/>
          <w:szCs w:val="22"/>
        </w:rPr>
        <w:tab/>
        <w:t>předseda</w:t>
      </w:r>
    </w:p>
    <w:p w14:paraId="01BD9B49" w14:textId="77777777" w:rsidR="00741D01" w:rsidRDefault="00741D01" w:rsidP="00011A47">
      <w:pPr>
        <w:tabs>
          <w:tab w:val="left" w:pos="426"/>
          <w:tab w:val="center" w:pos="1440"/>
          <w:tab w:val="left" w:pos="6860"/>
          <w:tab w:val="center" w:pos="7200"/>
        </w:tabs>
        <w:rPr>
          <w:rFonts w:ascii="Times New Roman" w:hAnsi="Times New Roman"/>
          <w:sz w:val="22"/>
          <w:szCs w:val="22"/>
        </w:rPr>
      </w:pPr>
    </w:p>
    <w:p w14:paraId="7473E4DC" w14:textId="77777777" w:rsidR="00741D01" w:rsidRDefault="00741D01" w:rsidP="00011A47">
      <w:pPr>
        <w:tabs>
          <w:tab w:val="left" w:pos="426"/>
          <w:tab w:val="center" w:pos="1440"/>
          <w:tab w:val="left" w:pos="6860"/>
          <w:tab w:val="center" w:pos="7200"/>
        </w:tabs>
        <w:rPr>
          <w:rFonts w:ascii="Times New Roman" w:hAnsi="Times New Roman"/>
          <w:sz w:val="22"/>
          <w:szCs w:val="22"/>
        </w:rPr>
      </w:pPr>
    </w:p>
    <w:p w14:paraId="02D04459" w14:textId="14A91EC7" w:rsidR="008A491C"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ab/>
        <w:t xml:space="preserve">    </w:t>
      </w:r>
    </w:p>
    <w:sectPr w:rsidR="008A491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77DD1" w14:textId="77777777" w:rsidR="00167DBF" w:rsidRDefault="00167DBF">
      <w:r>
        <w:separator/>
      </w:r>
    </w:p>
    <w:p w14:paraId="04028F13" w14:textId="77777777" w:rsidR="00167DBF" w:rsidRDefault="00167DBF"/>
  </w:endnote>
  <w:endnote w:type="continuationSeparator" w:id="0">
    <w:p w14:paraId="79049F12" w14:textId="77777777" w:rsidR="00167DBF" w:rsidRDefault="00167DBF">
      <w:r>
        <w:continuationSeparator/>
      </w:r>
    </w:p>
    <w:p w14:paraId="41577418" w14:textId="77777777" w:rsidR="00167DBF" w:rsidRDefault="00167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1D0A5" w14:textId="1FBD9DC2"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8752" behindDoc="1" locked="0" layoutInCell="1" allowOverlap="1" wp14:anchorId="7C94A698" wp14:editId="6DC81AF7">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674A9D">
      <w:rPr>
        <w:rStyle w:val="slostrnky"/>
        <w:rFonts w:cs="Arial"/>
        <w:noProof/>
        <w:color w:val="003C69"/>
        <w:sz w:val="16"/>
      </w:rPr>
      <w:t>8</w:t>
    </w:r>
    <w:r w:rsidR="00351B8A" w:rsidRPr="00CA7728">
      <w:rPr>
        <w:rStyle w:val="slostrnky"/>
        <w:rFonts w:cs="Arial"/>
        <w:color w:val="003C69"/>
        <w:sz w:val="16"/>
      </w:rPr>
      <w:fldChar w:fldCharType="end"/>
    </w:r>
    <w:r w:rsidR="00B475E0" w:rsidRPr="00CA7728">
      <w:rPr>
        <w:rStyle w:val="slostrnky"/>
        <w:rFonts w:cs="Arial"/>
        <w:color w:val="003C69"/>
        <w:sz w:val="16"/>
      </w:rPr>
      <w:t>/</w:t>
    </w:r>
    <w:r w:rsidR="0035756E">
      <w:rPr>
        <w:rStyle w:val="slostrnky"/>
        <w:rFonts w:cs="Arial"/>
        <w:color w:val="003C69"/>
        <w:sz w:val="16"/>
      </w:rPr>
      <w:t>8</w:t>
    </w:r>
    <w:r w:rsidR="00B475E0" w:rsidRPr="00CA7728">
      <w:rPr>
        <w:rStyle w:val="slostrnky"/>
        <w:rFonts w:cs="Arial"/>
        <w:color w:val="003C69"/>
        <w:sz w:val="16"/>
      </w:rPr>
      <w:tab/>
    </w:r>
    <w:r w:rsidR="00E902A8" w:rsidRPr="00E902A8">
      <w:rPr>
        <w:rStyle w:val="slostrnky"/>
        <w:rFonts w:cs="Arial"/>
        <w:color w:val="003C69"/>
        <w:sz w:val="16"/>
      </w:rPr>
      <w:t>Podpora trenérů a cvičitelů, včetně provozních nákladů za nájmy a energi</w:t>
    </w:r>
    <w:r w:rsidR="00E902A8">
      <w:rPr>
        <w:rStyle w:val="slostrnky"/>
        <w:rFonts w:cs="Arial"/>
        <w:color w:val="003C69"/>
        <w:sz w:val="16"/>
      </w:rPr>
      <w:t>e</w:t>
    </w:r>
  </w:p>
  <w:p w14:paraId="7DBDFAB7" w14:textId="77777777"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14:paraId="7C484832" w14:textId="77777777" w:rsidR="00B475E0" w:rsidRDefault="00B475E0" w:rsidP="00E3397A">
    <w:pPr>
      <w:pStyle w:val="Zpat"/>
      <w:tabs>
        <w:tab w:val="clear" w:pos="4536"/>
        <w:tab w:val="clear" w:pos="9072"/>
        <w:tab w:val="left" w:pos="7125"/>
      </w:tabs>
      <w:rPr>
        <w:rStyle w:val="slostrnky"/>
        <w:rFonts w:cs="Arial"/>
        <w:b/>
        <w:i/>
        <w:color w:val="003C69"/>
        <w:sz w:val="16"/>
      </w:rPr>
    </w:pPr>
  </w:p>
  <w:p w14:paraId="7C06A0F8" w14:textId="77777777"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CCC77" w14:textId="77777777" w:rsidR="00167DBF" w:rsidRDefault="00167DBF">
      <w:r>
        <w:separator/>
      </w:r>
    </w:p>
    <w:p w14:paraId="3BBCD3C3" w14:textId="77777777" w:rsidR="00167DBF" w:rsidRDefault="00167DBF"/>
  </w:footnote>
  <w:footnote w:type="continuationSeparator" w:id="0">
    <w:p w14:paraId="73524352" w14:textId="77777777" w:rsidR="00167DBF" w:rsidRDefault="00167DBF">
      <w:r>
        <w:continuationSeparator/>
      </w:r>
    </w:p>
    <w:p w14:paraId="35ED9A79" w14:textId="77777777" w:rsidR="00167DBF" w:rsidRDefault="00167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E09CB" w14:textId="77777777" w:rsidR="0037447F" w:rsidRDefault="0037447F" w:rsidP="0037447F">
    <w:pPr>
      <w:pStyle w:val="Zhlav"/>
      <w:tabs>
        <w:tab w:val="clear" w:pos="4536"/>
        <w:tab w:val="left" w:pos="4008"/>
        <w:tab w:val="left" w:pos="7371"/>
      </w:tabs>
      <w:rPr>
        <w:rFonts w:cs="Arial"/>
        <w:b/>
        <w:noProof/>
        <w:color w:val="003C69"/>
      </w:rPr>
    </w:pPr>
  </w:p>
  <w:p w14:paraId="732A967F" w14:textId="021A645A" w:rsidR="0037447F" w:rsidRDefault="0037447F" w:rsidP="000763BA">
    <w:pPr>
      <w:pStyle w:val="Zhlav"/>
      <w:tabs>
        <w:tab w:val="clear" w:pos="4536"/>
        <w:tab w:val="left" w:pos="6379"/>
        <w:tab w:val="left" w:pos="7088"/>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sidRPr="0024240A">
      <w:rPr>
        <w:rFonts w:cs="Arial"/>
        <w:b/>
        <w:color w:val="00ADD0"/>
        <w:sz w:val="18"/>
        <w:szCs w:val="18"/>
      </w:rPr>
      <w:t>Smlouva</w:t>
    </w:r>
    <w:r w:rsidR="000763BA" w:rsidRPr="0024240A">
      <w:rPr>
        <w:rFonts w:cs="Arial"/>
        <w:b/>
        <w:color w:val="00ADD0"/>
        <w:sz w:val="18"/>
        <w:szCs w:val="18"/>
      </w:rPr>
      <w:t xml:space="preserve"> č. </w:t>
    </w:r>
    <w:r w:rsidR="0024240A" w:rsidRPr="0024240A">
      <w:rPr>
        <w:rFonts w:cs="Arial"/>
        <w:b/>
        <w:color w:val="00ADD0"/>
        <w:sz w:val="18"/>
        <w:szCs w:val="18"/>
      </w:rPr>
      <w:t>0</w:t>
    </w:r>
    <w:r w:rsidR="004B2200" w:rsidRPr="0024240A">
      <w:rPr>
        <w:rFonts w:cs="Arial"/>
        <w:b/>
        <w:color w:val="00ADD0"/>
        <w:sz w:val="18"/>
        <w:szCs w:val="18"/>
      </w:rPr>
      <w:t>675/</w:t>
    </w:r>
    <w:r w:rsidR="000763BA" w:rsidRPr="0024240A">
      <w:rPr>
        <w:rFonts w:cs="Arial"/>
        <w:b/>
        <w:color w:val="00ADD0"/>
        <w:sz w:val="18"/>
        <w:szCs w:val="18"/>
      </w:rPr>
      <w:t>202</w:t>
    </w:r>
    <w:r w:rsidR="006F4BC2" w:rsidRPr="0024240A">
      <w:rPr>
        <w:rFonts w:cs="Arial"/>
        <w:b/>
        <w:color w:val="00ADD0"/>
        <w:sz w:val="18"/>
        <w:szCs w:val="18"/>
      </w:rPr>
      <w:t>1</w:t>
    </w:r>
    <w:r w:rsidR="000763BA" w:rsidRPr="0024240A">
      <w:rPr>
        <w:rFonts w:cs="Arial"/>
        <w:b/>
        <w:color w:val="00ADD0"/>
        <w:sz w:val="18"/>
        <w:szCs w:val="18"/>
      </w:rPr>
      <w:t>/</w:t>
    </w:r>
    <w:proofErr w:type="spellStart"/>
    <w:r w:rsidR="000763BA" w:rsidRPr="0024240A">
      <w:rPr>
        <w:rFonts w:cs="Arial"/>
        <w:b/>
        <w:color w:val="00ADD0"/>
        <w:sz w:val="18"/>
        <w:szCs w:val="18"/>
      </w:rPr>
      <w:t>ŠaS</w:t>
    </w:r>
    <w:proofErr w:type="spellEnd"/>
  </w:p>
  <w:p w14:paraId="43DC799A" w14:textId="77777777"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32785AD1"/>
    <w:multiLevelType w:val="hybridMultilevel"/>
    <w:tmpl w:val="7982FB0E"/>
    <w:lvl w:ilvl="0" w:tplc="77F6899A">
      <w:numFmt w:val="bullet"/>
      <w:lvlText w:val="-"/>
      <w:lvlJc w:val="left"/>
      <w:pPr>
        <w:ind w:left="777" w:hanging="360"/>
      </w:pPr>
      <w:rPr>
        <w:rFonts w:ascii="Times New Roman" w:eastAsia="Times New Roman" w:hAnsi="Times New Roman"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4" w15:restartNumberingAfterBreak="0">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8" w15:restartNumberingAfterBreak="0">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4"/>
  </w:num>
  <w:num w:numId="4">
    <w:abstractNumId w:val="12"/>
  </w:num>
  <w:num w:numId="5">
    <w:abstractNumId w:val="8"/>
  </w:num>
  <w:num w:numId="6">
    <w:abstractNumId w:val="13"/>
  </w:num>
  <w:num w:numId="7">
    <w:abstractNumId w:val="1"/>
  </w:num>
  <w:num w:numId="8">
    <w:abstractNumId w:val="9"/>
  </w:num>
  <w:num w:numId="9">
    <w:abstractNumId w:val="2"/>
  </w:num>
  <w:num w:numId="10">
    <w:abstractNumId w:val="5"/>
  </w:num>
  <w:num w:numId="11">
    <w:abstractNumId w:val="10"/>
  </w:num>
  <w:num w:numId="12">
    <w:abstractNumId w:val="0"/>
  </w:num>
  <w:num w:numId="13">
    <w:abstractNumId w:val="7"/>
  </w:num>
  <w:num w:numId="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728"/>
    <w:rsid w:val="000010A9"/>
    <w:rsid w:val="00004AC1"/>
    <w:rsid w:val="00006214"/>
    <w:rsid w:val="00007C93"/>
    <w:rsid w:val="0001150A"/>
    <w:rsid w:val="00011A47"/>
    <w:rsid w:val="00011CAB"/>
    <w:rsid w:val="00014E25"/>
    <w:rsid w:val="000151AA"/>
    <w:rsid w:val="00015649"/>
    <w:rsid w:val="00020255"/>
    <w:rsid w:val="00020730"/>
    <w:rsid w:val="000221A7"/>
    <w:rsid w:val="000236C0"/>
    <w:rsid w:val="000241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63BA"/>
    <w:rsid w:val="000770E3"/>
    <w:rsid w:val="00084C80"/>
    <w:rsid w:val="000868D2"/>
    <w:rsid w:val="00091354"/>
    <w:rsid w:val="00092EAF"/>
    <w:rsid w:val="00093294"/>
    <w:rsid w:val="00094368"/>
    <w:rsid w:val="00094C09"/>
    <w:rsid w:val="00095DED"/>
    <w:rsid w:val="000966E6"/>
    <w:rsid w:val="0009761A"/>
    <w:rsid w:val="00097857"/>
    <w:rsid w:val="000A0096"/>
    <w:rsid w:val="000A21D1"/>
    <w:rsid w:val="000A2666"/>
    <w:rsid w:val="000A4798"/>
    <w:rsid w:val="000A47B5"/>
    <w:rsid w:val="000A4BDF"/>
    <w:rsid w:val="000A7528"/>
    <w:rsid w:val="000B09DD"/>
    <w:rsid w:val="000B0A12"/>
    <w:rsid w:val="000B23B9"/>
    <w:rsid w:val="000B4276"/>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5D67"/>
    <w:rsid w:val="000E5F7E"/>
    <w:rsid w:val="000E62EC"/>
    <w:rsid w:val="000F3B50"/>
    <w:rsid w:val="000F5E40"/>
    <w:rsid w:val="000F6A14"/>
    <w:rsid w:val="00101C3C"/>
    <w:rsid w:val="001024A4"/>
    <w:rsid w:val="001041B4"/>
    <w:rsid w:val="00104DC6"/>
    <w:rsid w:val="0010621F"/>
    <w:rsid w:val="00106B3D"/>
    <w:rsid w:val="00106C7A"/>
    <w:rsid w:val="00110958"/>
    <w:rsid w:val="00110B53"/>
    <w:rsid w:val="00112270"/>
    <w:rsid w:val="0011247D"/>
    <w:rsid w:val="00112866"/>
    <w:rsid w:val="0011484C"/>
    <w:rsid w:val="00114CD2"/>
    <w:rsid w:val="00116F34"/>
    <w:rsid w:val="00117ED2"/>
    <w:rsid w:val="001209FA"/>
    <w:rsid w:val="001219A6"/>
    <w:rsid w:val="00122D8E"/>
    <w:rsid w:val="001236E1"/>
    <w:rsid w:val="00127048"/>
    <w:rsid w:val="00130755"/>
    <w:rsid w:val="00131EB7"/>
    <w:rsid w:val="001343FB"/>
    <w:rsid w:val="00140401"/>
    <w:rsid w:val="00141DF7"/>
    <w:rsid w:val="00142159"/>
    <w:rsid w:val="0014218C"/>
    <w:rsid w:val="001424D9"/>
    <w:rsid w:val="0014271F"/>
    <w:rsid w:val="00142B51"/>
    <w:rsid w:val="0014451D"/>
    <w:rsid w:val="00147655"/>
    <w:rsid w:val="00147A07"/>
    <w:rsid w:val="00152EFE"/>
    <w:rsid w:val="0015343C"/>
    <w:rsid w:val="0015431A"/>
    <w:rsid w:val="00154BB6"/>
    <w:rsid w:val="0015595A"/>
    <w:rsid w:val="00155AD6"/>
    <w:rsid w:val="00156081"/>
    <w:rsid w:val="001602F3"/>
    <w:rsid w:val="00161D02"/>
    <w:rsid w:val="00162443"/>
    <w:rsid w:val="00166916"/>
    <w:rsid w:val="00167BF7"/>
    <w:rsid w:val="00167DBF"/>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D76"/>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59"/>
    <w:rsid w:val="002339F0"/>
    <w:rsid w:val="00233C31"/>
    <w:rsid w:val="00234030"/>
    <w:rsid w:val="002344AE"/>
    <w:rsid w:val="00234857"/>
    <w:rsid w:val="0023514A"/>
    <w:rsid w:val="002352AC"/>
    <w:rsid w:val="00235A32"/>
    <w:rsid w:val="00236740"/>
    <w:rsid w:val="002368CC"/>
    <w:rsid w:val="002371B6"/>
    <w:rsid w:val="002423A1"/>
    <w:rsid w:val="0024240A"/>
    <w:rsid w:val="0024422E"/>
    <w:rsid w:val="0024593C"/>
    <w:rsid w:val="00250B01"/>
    <w:rsid w:val="0025340D"/>
    <w:rsid w:val="00253E11"/>
    <w:rsid w:val="0025493B"/>
    <w:rsid w:val="00256137"/>
    <w:rsid w:val="00256DA5"/>
    <w:rsid w:val="00260768"/>
    <w:rsid w:val="00261B7F"/>
    <w:rsid w:val="00262AD6"/>
    <w:rsid w:val="002654F7"/>
    <w:rsid w:val="002659EC"/>
    <w:rsid w:val="002708A2"/>
    <w:rsid w:val="00270BBE"/>
    <w:rsid w:val="00271B14"/>
    <w:rsid w:val="00272255"/>
    <w:rsid w:val="0027382F"/>
    <w:rsid w:val="00274B68"/>
    <w:rsid w:val="00276050"/>
    <w:rsid w:val="00277929"/>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3037"/>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0E2A"/>
    <w:rsid w:val="002E11BB"/>
    <w:rsid w:val="002E26BB"/>
    <w:rsid w:val="002E2C5B"/>
    <w:rsid w:val="002E4ED5"/>
    <w:rsid w:val="002E4F07"/>
    <w:rsid w:val="002E56FB"/>
    <w:rsid w:val="002E5C67"/>
    <w:rsid w:val="002E5DE9"/>
    <w:rsid w:val="002E6559"/>
    <w:rsid w:val="002E7193"/>
    <w:rsid w:val="002F1686"/>
    <w:rsid w:val="002F1879"/>
    <w:rsid w:val="002F6957"/>
    <w:rsid w:val="002F7ABA"/>
    <w:rsid w:val="00302404"/>
    <w:rsid w:val="00302B8C"/>
    <w:rsid w:val="00304380"/>
    <w:rsid w:val="0030478E"/>
    <w:rsid w:val="00304B36"/>
    <w:rsid w:val="00311E5F"/>
    <w:rsid w:val="003130AC"/>
    <w:rsid w:val="00316B6B"/>
    <w:rsid w:val="003219C4"/>
    <w:rsid w:val="00322760"/>
    <w:rsid w:val="00322DAC"/>
    <w:rsid w:val="003237FB"/>
    <w:rsid w:val="00324B54"/>
    <w:rsid w:val="00325DFF"/>
    <w:rsid w:val="0033000F"/>
    <w:rsid w:val="00331EA6"/>
    <w:rsid w:val="00331F21"/>
    <w:rsid w:val="003377FE"/>
    <w:rsid w:val="00345128"/>
    <w:rsid w:val="003470A2"/>
    <w:rsid w:val="00350592"/>
    <w:rsid w:val="00350D27"/>
    <w:rsid w:val="00351322"/>
    <w:rsid w:val="00351B8A"/>
    <w:rsid w:val="00353311"/>
    <w:rsid w:val="00354B81"/>
    <w:rsid w:val="00356942"/>
    <w:rsid w:val="0035756E"/>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210D"/>
    <w:rsid w:val="00382998"/>
    <w:rsid w:val="00382ED2"/>
    <w:rsid w:val="00384991"/>
    <w:rsid w:val="0038763A"/>
    <w:rsid w:val="00387D76"/>
    <w:rsid w:val="0039143B"/>
    <w:rsid w:val="00394F07"/>
    <w:rsid w:val="003A1A10"/>
    <w:rsid w:val="003A333B"/>
    <w:rsid w:val="003A50B7"/>
    <w:rsid w:val="003A5853"/>
    <w:rsid w:val="003A6460"/>
    <w:rsid w:val="003A69E6"/>
    <w:rsid w:val="003A6D3E"/>
    <w:rsid w:val="003A7356"/>
    <w:rsid w:val="003B17F1"/>
    <w:rsid w:val="003B2505"/>
    <w:rsid w:val="003B357F"/>
    <w:rsid w:val="003B35A0"/>
    <w:rsid w:val="003B3812"/>
    <w:rsid w:val="003B3CE5"/>
    <w:rsid w:val="003B483A"/>
    <w:rsid w:val="003B67C5"/>
    <w:rsid w:val="003C1E5A"/>
    <w:rsid w:val="003C3514"/>
    <w:rsid w:val="003C3ED4"/>
    <w:rsid w:val="003C4F85"/>
    <w:rsid w:val="003C5E88"/>
    <w:rsid w:val="003D2663"/>
    <w:rsid w:val="003D41AD"/>
    <w:rsid w:val="003D4D9E"/>
    <w:rsid w:val="003D5FB9"/>
    <w:rsid w:val="003D6C3E"/>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8002E"/>
    <w:rsid w:val="0048084F"/>
    <w:rsid w:val="004815AE"/>
    <w:rsid w:val="00481BDB"/>
    <w:rsid w:val="00481CD3"/>
    <w:rsid w:val="00483F24"/>
    <w:rsid w:val="004840AF"/>
    <w:rsid w:val="00490768"/>
    <w:rsid w:val="004926B4"/>
    <w:rsid w:val="004973DA"/>
    <w:rsid w:val="004A212F"/>
    <w:rsid w:val="004A28AB"/>
    <w:rsid w:val="004A30D3"/>
    <w:rsid w:val="004A3C0E"/>
    <w:rsid w:val="004A4A01"/>
    <w:rsid w:val="004A50AA"/>
    <w:rsid w:val="004A5C5D"/>
    <w:rsid w:val="004A5E19"/>
    <w:rsid w:val="004B0BAB"/>
    <w:rsid w:val="004B106C"/>
    <w:rsid w:val="004B1B3C"/>
    <w:rsid w:val="004B2200"/>
    <w:rsid w:val="004B3B7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D6F60"/>
    <w:rsid w:val="004E0366"/>
    <w:rsid w:val="004E25BF"/>
    <w:rsid w:val="004E3969"/>
    <w:rsid w:val="004E467C"/>
    <w:rsid w:val="004E5A46"/>
    <w:rsid w:val="004E6144"/>
    <w:rsid w:val="004E732E"/>
    <w:rsid w:val="004E7D13"/>
    <w:rsid w:val="004F1915"/>
    <w:rsid w:val="004F368A"/>
    <w:rsid w:val="004F46EB"/>
    <w:rsid w:val="004F6652"/>
    <w:rsid w:val="004F737F"/>
    <w:rsid w:val="004F7441"/>
    <w:rsid w:val="0050021A"/>
    <w:rsid w:val="00503D58"/>
    <w:rsid w:val="005058C8"/>
    <w:rsid w:val="005075EC"/>
    <w:rsid w:val="005118CA"/>
    <w:rsid w:val="00511B82"/>
    <w:rsid w:val="005128D7"/>
    <w:rsid w:val="00513E00"/>
    <w:rsid w:val="00516BF0"/>
    <w:rsid w:val="00517D2E"/>
    <w:rsid w:val="0052468B"/>
    <w:rsid w:val="00525333"/>
    <w:rsid w:val="0052683F"/>
    <w:rsid w:val="0052702A"/>
    <w:rsid w:val="00527262"/>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4576"/>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CEB"/>
    <w:rsid w:val="006220DD"/>
    <w:rsid w:val="006237D7"/>
    <w:rsid w:val="00623F65"/>
    <w:rsid w:val="0062516C"/>
    <w:rsid w:val="006258C6"/>
    <w:rsid w:val="0062618F"/>
    <w:rsid w:val="00630325"/>
    <w:rsid w:val="00630DE2"/>
    <w:rsid w:val="0063227D"/>
    <w:rsid w:val="006323EE"/>
    <w:rsid w:val="006338B2"/>
    <w:rsid w:val="00634622"/>
    <w:rsid w:val="0063476F"/>
    <w:rsid w:val="00634CE3"/>
    <w:rsid w:val="006350BE"/>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67753"/>
    <w:rsid w:val="00670821"/>
    <w:rsid w:val="00672C0B"/>
    <w:rsid w:val="0067415B"/>
    <w:rsid w:val="00674A9D"/>
    <w:rsid w:val="00675EEF"/>
    <w:rsid w:val="0067681B"/>
    <w:rsid w:val="00677D0C"/>
    <w:rsid w:val="006805B6"/>
    <w:rsid w:val="00681216"/>
    <w:rsid w:val="00682309"/>
    <w:rsid w:val="00684DC1"/>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04B"/>
    <w:rsid w:val="006C2297"/>
    <w:rsid w:val="006C379A"/>
    <w:rsid w:val="006C4702"/>
    <w:rsid w:val="006C6C53"/>
    <w:rsid w:val="006C7DC9"/>
    <w:rsid w:val="006D0A14"/>
    <w:rsid w:val="006D1309"/>
    <w:rsid w:val="006D216A"/>
    <w:rsid w:val="006D351D"/>
    <w:rsid w:val="006D4143"/>
    <w:rsid w:val="006D4AC1"/>
    <w:rsid w:val="006D5F7F"/>
    <w:rsid w:val="006E35E6"/>
    <w:rsid w:val="006E5B34"/>
    <w:rsid w:val="006F134B"/>
    <w:rsid w:val="006F388B"/>
    <w:rsid w:val="006F4662"/>
    <w:rsid w:val="006F47AD"/>
    <w:rsid w:val="006F4BC2"/>
    <w:rsid w:val="006F52FD"/>
    <w:rsid w:val="006F7B29"/>
    <w:rsid w:val="00700F18"/>
    <w:rsid w:val="00701A5C"/>
    <w:rsid w:val="00701C8F"/>
    <w:rsid w:val="00705C24"/>
    <w:rsid w:val="00710E93"/>
    <w:rsid w:val="00712813"/>
    <w:rsid w:val="00714DCC"/>
    <w:rsid w:val="00714E86"/>
    <w:rsid w:val="00717AEA"/>
    <w:rsid w:val="00720E6B"/>
    <w:rsid w:val="00723CA1"/>
    <w:rsid w:val="00724F5A"/>
    <w:rsid w:val="00725269"/>
    <w:rsid w:val="00727077"/>
    <w:rsid w:val="00727308"/>
    <w:rsid w:val="0072770A"/>
    <w:rsid w:val="00727B38"/>
    <w:rsid w:val="00730877"/>
    <w:rsid w:val="00733AE1"/>
    <w:rsid w:val="0073525C"/>
    <w:rsid w:val="00735A0D"/>
    <w:rsid w:val="00741D01"/>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665"/>
    <w:rsid w:val="007819C2"/>
    <w:rsid w:val="00781A35"/>
    <w:rsid w:val="00781B0C"/>
    <w:rsid w:val="00781D14"/>
    <w:rsid w:val="00782B54"/>
    <w:rsid w:val="00784230"/>
    <w:rsid w:val="0078497C"/>
    <w:rsid w:val="00790B25"/>
    <w:rsid w:val="007917A7"/>
    <w:rsid w:val="00791A5A"/>
    <w:rsid w:val="00792D37"/>
    <w:rsid w:val="007937EF"/>
    <w:rsid w:val="00795E5C"/>
    <w:rsid w:val="00796384"/>
    <w:rsid w:val="0079710E"/>
    <w:rsid w:val="007A019E"/>
    <w:rsid w:val="007A19CF"/>
    <w:rsid w:val="007A36E2"/>
    <w:rsid w:val="007B2260"/>
    <w:rsid w:val="007B41D5"/>
    <w:rsid w:val="007B5A69"/>
    <w:rsid w:val="007C0648"/>
    <w:rsid w:val="007C25BF"/>
    <w:rsid w:val="007C336F"/>
    <w:rsid w:val="007C57F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55D4"/>
    <w:rsid w:val="007E5E72"/>
    <w:rsid w:val="007E7C33"/>
    <w:rsid w:val="007F1346"/>
    <w:rsid w:val="007F4073"/>
    <w:rsid w:val="007F5C8D"/>
    <w:rsid w:val="007F64B8"/>
    <w:rsid w:val="007F747D"/>
    <w:rsid w:val="007F7B34"/>
    <w:rsid w:val="00800CD4"/>
    <w:rsid w:val="00803CD1"/>
    <w:rsid w:val="008061D1"/>
    <w:rsid w:val="00810DCB"/>
    <w:rsid w:val="008128E9"/>
    <w:rsid w:val="00812C35"/>
    <w:rsid w:val="00813996"/>
    <w:rsid w:val="00815B77"/>
    <w:rsid w:val="008162E5"/>
    <w:rsid w:val="00817333"/>
    <w:rsid w:val="008208A1"/>
    <w:rsid w:val="008212D3"/>
    <w:rsid w:val="008224F7"/>
    <w:rsid w:val="00826742"/>
    <w:rsid w:val="00827394"/>
    <w:rsid w:val="0083003A"/>
    <w:rsid w:val="00831A0B"/>
    <w:rsid w:val="0083243B"/>
    <w:rsid w:val="00832AD3"/>
    <w:rsid w:val="00834886"/>
    <w:rsid w:val="00836A2A"/>
    <w:rsid w:val="00840148"/>
    <w:rsid w:val="008409FA"/>
    <w:rsid w:val="00843501"/>
    <w:rsid w:val="008440BB"/>
    <w:rsid w:val="008445CB"/>
    <w:rsid w:val="00844803"/>
    <w:rsid w:val="00844820"/>
    <w:rsid w:val="0084552A"/>
    <w:rsid w:val="008521D9"/>
    <w:rsid w:val="00854157"/>
    <w:rsid w:val="00854F83"/>
    <w:rsid w:val="00856117"/>
    <w:rsid w:val="00856B53"/>
    <w:rsid w:val="008571E6"/>
    <w:rsid w:val="00861160"/>
    <w:rsid w:val="0086212B"/>
    <w:rsid w:val="0086257C"/>
    <w:rsid w:val="00864547"/>
    <w:rsid w:val="00865714"/>
    <w:rsid w:val="00865D0C"/>
    <w:rsid w:val="00865F9A"/>
    <w:rsid w:val="00870908"/>
    <w:rsid w:val="008746EB"/>
    <w:rsid w:val="00874F0E"/>
    <w:rsid w:val="00877D74"/>
    <w:rsid w:val="008821CC"/>
    <w:rsid w:val="0088277C"/>
    <w:rsid w:val="00884264"/>
    <w:rsid w:val="0088610F"/>
    <w:rsid w:val="00886CAE"/>
    <w:rsid w:val="00891CEC"/>
    <w:rsid w:val="00895107"/>
    <w:rsid w:val="008954B7"/>
    <w:rsid w:val="00895E71"/>
    <w:rsid w:val="00896E9F"/>
    <w:rsid w:val="0089771B"/>
    <w:rsid w:val="00897C2A"/>
    <w:rsid w:val="008A12DF"/>
    <w:rsid w:val="008A3358"/>
    <w:rsid w:val="008A41A8"/>
    <w:rsid w:val="008A491C"/>
    <w:rsid w:val="008A796C"/>
    <w:rsid w:val="008A7ED5"/>
    <w:rsid w:val="008A7F1F"/>
    <w:rsid w:val="008B18A6"/>
    <w:rsid w:val="008B3AB3"/>
    <w:rsid w:val="008B406D"/>
    <w:rsid w:val="008B74C4"/>
    <w:rsid w:val="008C06A7"/>
    <w:rsid w:val="008C161F"/>
    <w:rsid w:val="008C277B"/>
    <w:rsid w:val="008C2C0A"/>
    <w:rsid w:val="008C40A4"/>
    <w:rsid w:val="008C733D"/>
    <w:rsid w:val="008C75CB"/>
    <w:rsid w:val="008D48AC"/>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46EBE"/>
    <w:rsid w:val="00954332"/>
    <w:rsid w:val="00956154"/>
    <w:rsid w:val="0095773F"/>
    <w:rsid w:val="009617D8"/>
    <w:rsid w:val="00961993"/>
    <w:rsid w:val="00963A91"/>
    <w:rsid w:val="00963FE5"/>
    <w:rsid w:val="00964003"/>
    <w:rsid w:val="00964081"/>
    <w:rsid w:val="00965458"/>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2775"/>
    <w:rsid w:val="009B31A3"/>
    <w:rsid w:val="009B3460"/>
    <w:rsid w:val="009B548C"/>
    <w:rsid w:val="009B681D"/>
    <w:rsid w:val="009B7CE4"/>
    <w:rsid w:val="009C6D07"/>
    <w:rsid w:val="009C7837"/>
    <w:rsid w:val="009D4CC4"/>
    <w:rsid w:val="009D5833"/>
    <w:rsid w:val="009D77CD"/>
    <w:rsid w:val="009E3A48"/>
    <w:rsid w:val="009E3B8F"/>
    <w:rsid w:val="009E43E3"/>
    <w:rsid w:val="009E5B61"/>
    <w:rsid w:val="009E5D80"/>
    <w:rsid w:val="009E6F1E"/>
    <w:rsid w:val="009E7D37"/>
    <w:rsid w:val="009F24AE"/>
    <w:rsid w:val="009F2789"/>
    <w:rsid w:val="009F319D"/>
    <w:rsid w:val="009F4568"/>
    <w:rsid w:val="009F4AFA"/>
    <w:rsid w:val="009F4DE1"/>
    <w:rsid w:val="009F5F0E"/>
    <w:rsid w:val="009F6294"/>
    <w:rsid w:val="009F645D"/>
    <w:rsid w:val="009F6E67"/>
    <w:rsid w:val="009F7A95"/>
    <w:rsid w:val="00A01DFF"/>
    <w:rsid w:val="00A11A54"/>
    <w:rsid w:val="00A14C8B"/>
    <w:rsid w:val="00A15705"/>
    <w:rsid w:val="00A16DCC"/>
    <w:rsid w:val="00A2039A"/>
    <w:rsid w:val="00A232A0"/>
    <w:rsid w:val="00A235E6"/>
    <w:rsid w:val="00A24026"/>
    <w:rsid w:val="00A25346"/>
    <w:rsid w:val="00A25D82"/>
    <w:rsid w:val="00A31148"/>
    <w:rsid w:val="00A3199E"/>
    <w:rsid w:val="00A33558"/>
    <w:rsid w:val="00A33DFE"/>
    <w:rsid w:val="00A344A9"/>
    <w:rsid w:val="00A346AB"/>
    <w:rsid w:val="00A36906"/>
    <w:rsid w:val="00A3778F"/>
    <w:rsid w:val="00A40077"/>
    <w:rsid w:val="00A40D92"/>
    <w:rsid w:val="00A415A1"/>
    <w:rsid w:val="00A473ED"/>
    <w:rsid w:val="00A5070E"/>
    <w:rsid w:val="00A5314C"/>
    <w:rsid w:val="00A53CAF"/>
    <w:rsid w:val="00A623BA"/>
    <w:rsid w:val="00A649C6"/>
    <w:rsid w:val="00A6618F"/>
    <w:rsid w:val="00A6743B"/>
    <w:rsid w:val="00A67A80"/>
    <w:rsid w:val="00A72DEF"/>
    <w:rsid w:val="00A75683"/>
    <w:rsid w:val="00A76441"/>
    <w:rsid w:val="00A77D7C"/>
    <w:rsid w:val="00A8017A"/>
    <w:rsid w:val="00A857FA"/>
    <w:rsid w:val="00A85F48"/>
    <w:rsid w:val="00A86B11"/>
    <w:rsid w:val="00A87599"/>
    <w:rsid w:val="00A87BB0"/>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704B"/>
    <w:rsid w:val="00AD705D"/>
    <w:rsid w:val="00AE0B55"/>
    <w:rsid w:val="00AE0D85"/>
    <w:rsid w:val="00AE1D4A"/>
    <w:rsid w:val="00AE2438"/>
    <w:rsid w:val="00AE2452"/>
    <w:rsid w:val="00AE3198"/>
    <w:rsid w:val="00AE32B8"/>
    <w:rsid w:val="00AE3F1E"/>
    <w:rsid w:val="00AE7B1F"/>
    <w:rsid w:val="00AE7CB1"/>
    <w:rsid w:val="00AF0D5E"/>
    <w:rsid w:val="00AF3B01"/>
    <w:rsid w:val="00AF3D0E"/>
    <w:rsid w:val="00AF420C"/>
    <w:rsid w:val="00AF478F"/>
    <w:rsid w:val="00AF56B2"/>
    <w:rsid w:val="00AF66A4"/>
    <w:rsid w:val="00AF697B"/>
    <w:rsid w:val="00B01ED8"/>
    <w:rsid w:val="00B02BEB"/>
    <w:rsid w:val="00B034F1"/>
    <w:rsid w:val="00B061A4"/>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587B"/>
    <w:rsid w:val="00B775E2"/>
    <w:rsid w:val="00B8006B"/>
    <w:rsid w:val="00B8502C"/>
    <w:rsid w:val="00B860C2"/>
    <w:rsid w:val="00B86DB6"/>
    <w:rsid w:val="00B90417"/>
    <w:rsid w:val="00B911BA"/>
    <w:rsid w:val="00B9753F"/>
    <w:rsid w:val="00BA0A1C"/>
    <w:rsid w:val="00BA1D67"/>
    <w:rsid w:val="00BA22A0"/>
    <w:rsid w:val="00BA2DC2"/>
    <w:rsid w:val="00BA3943"/>
    <w:rsid w:val="00BA53AD"/>
    <w:rsid w:val="00BB0886"/>
    <w:rsid w:val="00BB43AB"/>
    <w:rsid w:val="00BB49BA"/>
    <w:rsid w:val="00BB5FDE"/>
    <w:rsid w:val="00BB7D20"/>
    <w:rsid w:val="00BB7FAA"/>
    <w:rsid w:val="00BC064F"/>
    <w:rsid w:val="00BC16E2"/>
    <w:rsid w:val="00BC1974"/>
    <w:rsid w:val="00BC2BE5"/>
    <w:rsid w:val="00BC36A6"/>
    <w:rsid w:val="00BC59D1"/>
    <w:rsid w:val="00BC776F"/>
    <w:rsid w:val="00BD15C0"/>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46ADD"/>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5B5C"/>
    <w:rsid w:val="00CE69C8"/>
    <w:rsid w:val="00CE71FF"/>
    <w:rsid w:val="00CE7A96"/>
    <w:rsid w:val="00CF0EEC"/>
    <w:rsid w:val="00CF174F"/>
    <w:rsid w:val="00CF2E65"/>
    <w:rsid w:val="00CF5CD2"/>
    <w:rsid w:val="00CF705D"/>
    <w:rsid w:val="00CF7EEE"/>
    <w:rsid w:val="00D0058F"/>
    <w:rsid w:val="00D03BE7"/>
    <w:rsid w:val="00D052B8"/>
    <w:rsid w:val="00D11310"/>
    <w:rsid w:val="00D12654"/>
    <w:rsid w:val="00D15038"/>
    <w:rsid w:val="00D1506B"/>
    <w:rsid w:val="00D1733F"/>
    <w:rsid w:val="00D20712"/>
    <w:rsid w:val="00D22D65"/>
    <w:rsid w:val="00D22D94"/>
    <w:rsid w:val="00D23A7C"/>
    <w:rsid w:val="00D23AC4"/>
    <w:rsid w:val="00D256E6"/>
    <w:rsid w:val="00D25D97"/>
    <w:rsid w:val="00D275CE"/>
    <w:rsid w:val="00D30B00"/>
    <w:rsid w:val="00D3100D"/>
    <w:rsid w:val="00D317D7"/>
    <w:rsid w:val="00D32278"/>
    <w:rsid w:val="00D356B8"/>
    <w:rsid w:val="00D40752"/>
    <w:rsid w:val="00D42492"/>
    <w:rsid w:val="00D42879"/>
    <w:rsid w:val="00D43811"/>
    <w:rsid w:val="00D44F6B"/>
    <w:rsid w:val="00D45AD2"/>
    <w:rsid w:val="00D46E9A"/>
    <w:rsid w:val="00D50856"/>
    <w:rsid w:val="00D5159D"/>
    <w:rsid w:val="00D51855"/>
    <w:rsid w:val="00D53108"/>
    <w:rsid w:val="00D53E4D"/>
    <w:rsid w:val="00D549D4"/>
    <w:rsid w:val="00D54A52"/>
    <w:rsid w:val="00D55343"/>
    <w:rsid w:val="00D61B06"/>
    <w:rsid w:val="00D61E90"/>
    <w:rsid w:val="00D624C7"/>
    <w:rsid w:val="00D63B54"/>
    <w:rsid w:val="00D64754"/>
    <w:rsid w:val="00D6700A"/>
    <w:rsid w:val="00D707D2"/>
    <w:rsid w:val="00D74C9A"/>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5ECC"/>
    <w:rsid w:val="00E3638F"/>
    <w:rsid w:val="00E3663B"/>
    <w:rsid w:val="00E36C7E"/>
    <w:rsid w:val="00E36FCD"/>
    <w:rsid w:val="00E37019"/>
    <w:rsid w:val="00E37E09"/>
    <w:rsid w:val="00E42233"/>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02A8"/>
    <w:rsid w:val="00E97698"/>
    <w:rsid w:val="00E97798"/>
    <w:rsid w:val="00EA1CEE"/>
    <w:rsid w:val="00EA1E4D"/>
    <w:rsid w:val="00EA20FF"/>
    <w:rsid w:val="00EA424C"/>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411"/>
    <w:rsid w:val="00ED7EB9"/>
    <w:rsid w:val="00EE0116"/>
    <w:rsid w:val="00EE185E"/>
    <w:rsid w:val="00EE20F1"/>
    <w:rsid w:val="00EE2E80"/>
    <w:rsid w:val="00EE3CD6"/>
    <w:rsid w:val="00EE528C"/>
    <w:rsid w:val="00EE5A0A"/>
    <w:rsid w:val="00EE696A"/>
    <w:rsid w:val="00EF0441"/>
    <w:rsid w:val="00EF04C6"/>
    <w:rsid w:val="00EF1D76"/>
    <w:rsid w:val="00EF2C8E"/>
    <w:rsid w:val="00EF363A"/>
    <w:rsid w:val="00EF3679"/>
    <w:rsid w:val="00EF6914"/>
    <w:rsid w:val="00EF6BC7"/>
    <w:rsid w:val="00F04121"/>
    <w:rsid w:val="00F04268"/>
    <w:rsid w:val="00F054DF"/>
    <w:rsid w:val="00F05676"/>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7669"/>
    <w:rsid w:val="00F27D06"/>
    <w:rsid w:val="00F3047A"/>
    <w:rsid w:val="00F310D9"/>
    <w:rsid w:val="00F32D14"/>
    <w:rsid w:val="00F341F2"/>
    <w:rsid w:val="00F36FCE"/>
    <w:rsid w:val="00F37117"/>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715"/>
    <w:rsid w:val="00F876B3"/>
    <w:rsid w:val="00F91B77"/>
    <w:rsid w:val="00F9451C"/>
    <w:rsid w:val="00FA1D6E"/>
    <w:rsid w:val="00FA400B"/>
    <w:rsid w:val="00FA562B"/>
    <w:rsid w:val="00FA5BF6"/>
    <w:rsid w:val="00FA6250"/>
    <w:rsid w:val="00FB0B4A"/>
    <w:rsid w:val="00FB2628"/>
    <w:rsid w:val="00FB3CCF"/>
    <w:rsid w:val="00FB6148"/>
    <w:rsid w:val="00FB6667"/>
    <w:rsid w:val="00FC2516"/>
    <w:rsid w:val="00FC29E3"/>
    <w:rsid w:val="00FC4717"/>
    <w:rsid w:val="00FC5FC4"/>
    <w:rsid w:val="00FC7DDA"/>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E562B"/>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F9687"/>
  <w15:docId w15:val="{AFC7153E-D8FA-4B53-BBC2-CC5C36B0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5C31-7EAF-4FAF-B1E4-2EC982AF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3494</Words>
  <Characters>20616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24062</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Potschová Lucie</cp:lastModifiedBy>
  <cp:revision>22</cp:revision>
  <cp:lastPrinted>2021-04-28T07:54:00Z</cp:lastPrinted>
  <dcterms:created xsi:type="dcterms:W3CDTF">2021-03-04T07:43:00Z</dcterms:created>
  <dcterms:modified xsi:type="dcterms:W3CDTF">2021-05-10T12:39:00Z</dcterms:modified>
</cp:coreProperties>
</file>