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47E8" w:rsidRDefault="002B47E8">
      <w:pPr>
        <w:pStyle w:val="Standard"/>
        <w:spacing w:line="240" w:lineRule="auto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Smlouva o spolupráci na řešení projektu aplikačního vývoje  </w:t>
      </w:r>
    </w:p>
    <w:p w:rsidR="002B47E8" w:rsidRDefault="002B47E8">
      <w:pPr>
        <w:pStyle w:val="Standard"/>
        <w:spacing w:line="240" w:lineRule="auto"/>
        <w:jc w:val="both"/>
        <w:rPr>
          <w:b/>
        </w:rPr>
      </w:pPr>
      <w:r>
        <w:rPr>
          <w:sz w:val="28"/>
          <w:szCs w:val="28"/>
          <w:u w:val="single"/>
        </w:rPr>
        <w:t>SMLUVNÍ STRANY</w:t>
      </w:r>
    </w:p>
    <w:p w:rsidR="002B47E8" w:rsidRDefault="002B47E8">
      <w:pPr>
        <w:pStyle w:val="Standard"/>
        <w:spacing w:after="0" w:line="240" w:lineRule="auto"/>
        <w:jc w:val="both"/>
      </w:pPr>
      <w:r>
        <w:rPr>
          <w:b/>
        </w:rPr>
        <w:t xml:space="preserve">1/ Společnost:                      </w:t>
      </w:r>
      <w:r>
        <w:rPr>
          <w:b/>
          <w:bCs/>
        </w:rPr>
        <w:t xml:space="preserve">   Nanovia s.r.o.</w:t>
      </w:r>
    </w:p>
    <w:p w:rsidR="002B47E8" w:rsidRDefault="002B47E8">
      <w:pPr>
        <w:pStyle w:val="Standard"/>
        <w:spacing w:before="120" w:after="0" w:line="240" w:lineRule="auto"/>
        <w:jc w:val="both"/>
      </w:pPr>
      <w:r>
        <w:t>Sídlo:                                            Vaněčkova 2695, 269 01 Rakovník II</w:t>
      </w:r>
    </w:p>
    <w:p w:rsidR="002B47E8" w:rsidRDefault="002B47E8">
      <w:pPr>
        <w:pStyle w:val="Standard"/>
        <w:spacing w:after="0" w:line="240" w:lineRule="auto"/>
        <w:jc w:val="both"/>
      </w:pPr>
      <w:r>
        <w:t>Zastoupená:                                Ing. Marcelou Munzarovou, jednatelkou</w:t>
      </w:r>
    </w:p>
    <w:p w:rsidR="002B47E8" w:rsidRDefault="002B47E8">
      <w:pPr>
        <w:pStyle w:val="Standard"/>
        <w:spacing w:after="0" w:line="240" w:lineRule="auto"/>
        <w:jc w:val="both"/>
      </w:pPr>
      <w:r>
        <w:t>IČ:                                                 273 81 277</w:t>
      </w:r>
    </w:p>
    <w:p w:rsidR="002B47E8" w:rsidRDefault="002B47E8">
      <w:pPr>
        <w:pStyle w:val="Standard"/>
        <w:spacing w:after="0" w:line="240" w:lineRule="auto"/>
        <w:jc w:val="both"/>
      </w:pPr>
      <w:r>
        <w:t>DIČ:                                              CZ 273 81 277</w:t>
      </w:r>
    </w:p>
    <w:p w:rsidR="002B47E8" w:rsidRDefault="002B47E8">
      <w:pPr>
        <w:pStyle w:val="Standard"/>
        <w:spacing w:after="0" w:line="240" w:lineRule="auto"/>
        <w:jc w:val="both"/>
      </w:pPr>
      <w:r>
        <w:t>Bankovní spojení:                      Fio Banka a.s., č.ú. 2400376292 / 2010</w:t>
      </w:r>
    </w:p>
    <w:p w:rsidR="002B47E8" w:rsidRDefault="002B47E8">
      <w:pPr>
        <w:pStyle w:val="Standard"/>
        <w:spacing w:after="0" w:line="240" w:lineRule="auto"/>
        <w:jc w:val="both"/>
        <w:rPr>
          <w:b/>
        </w:rPr>
      </w:pPr>
      <w:r>
        <w:t>(dále jen  “Nanovia“)</w:t>
      </w:r>
      <w:r>
        <w:rPr>
          <w:b/>
        </w:rPr>
        <w:t xml:space="preserve">  </w:t>
      </w:r>
    </w:p>
    <w:p w:rsidR="002B47E8" w:rsidRDefault="002B47E8">
      <w:pPr>
        <w:pStyle w:val="Standard"/>
        <w:spacing w:after="0" w:line="240" w:lineRule="auto"/>
        <w:jc w:val="both"/>
        <w:rPr>
          <w:b/>
        </w:rPr>
      </w:pPr>
    </w:p>
    <w:p w:rsidR="002B47E8" w:rsidRDefault="002B47E8">
      <w:pPr>
        <w:pStyle w:val="Standard"/>
        <w:spacing w:after="0" w:line="240" w:lineRule="auto"/>
        <w:jc w:val="both"/>
      </w:pPr>
      <w:r>
        <w:rPr>
          <w:b/>
          <w:bCs/>
        </w:rPr>
        <w:t xml:space="preserve">2/ Vysoká škola:                         </w:t>
      </w:r>
      <w:r>
        <w:rPr>
          <w:b/>
        </w:rPr>
        <w:t>Univerzita Jana Evangelisty Purkyně v Ústí nad Labe</w:t>
      </w:r>
    </w:p>
    <w:p w:rsidR="002B47E8" w:rsidRDefault="002B47E8">
      <w:pPr>
        <w:pStyle w:val="Standard"/>
        <w:spacing w:before="120" w:after="0" w:line="240" w:lineRule="auto"/>
        <w:jc w:val="both"/>
      </w:pPr>
      <w:r>
        <w:t>Sídlo:                                           Pasteurova 1,  400 96 Ústí nad Labem</w:t>
      </w:r>
    </w:p>
    <w:p w:rsidR="002B47E8" w:rsidRDefault="002B47E8">
      <w:pPr>
        <w:pStyle w:val="Standard"/>
        <w:spacing w:after="0" w:line="240" w:lineRule="auto"/>
        <w:jc w:val="both"/>
      </w:pPr>
      <w:r>
        <w:t>Zastoupená:                               doc. RNDr. Martinem Balejem, Ph.D., rektorem UJEP</w:t>
      </w:r>
    </w:p>
    <w:p w:rsidR="002B47E8" w:rsidRDefault="002B47E8">
      <w:pPr>
        <w:pStyle w:val="Standard"/>
        <w:spacing w:after="0" w:line="240" w:lineRule="auto"/>
        <w:jc w:val="both"/>
      </w:pPr>
      <w:r>
        <w:t>IČ:                                                 44555601</w:t>
      </w:r>
    </w:p>
    <w:p w:rsidR="002B47E8" w:rsidRDefault="002B47E8">
      <w:pPr>
        <w:pStyle w:val="Standard"/>
        <w:spacing w:after="0" w:line="240" w:lineRule="auto"/>
        <w:jc w:val="both"/>
      </w:pPr>
      <w:r>
        <w:t>DIČ:                                              CZ44555601</w:t>
      </w:r>
    </w:p>
    <w:p w:rsidR="002B47E8" w:rsidRDefault="002B47E8">
      <w:pPr>
        <w:pStyle w:val="Standard"/>
        <w:spacing w:after="0" w:line="240" w:lineRule="auto"/>
        <w:jc w:val="both"/>
      </w:pPr>
      <w:r>
        <w:t>Bankovní spojení:                     Česká národní banka, č.ú. 94 -1133411/0710</w:t>
      </w:r>
    </w:p>
    <w:p w:rsidR="002B47E8" w:rsidRDefault="002B47E8">
      <w:pPr>
        <w:pStyle w:val="Standard"/>
        <w:spacing w:after="0" w:line="240" w:lineRule="auto"/>
        <w:jc w:val="both"/>
      </w:pPr>
      <w:r>
        <w:t>(dále jen „UJEP“)</w:t>
      </w:r>
      <w:r>
        <w:rPr>
          <w:b/>
        </w:rPr>
        <w:t xml:space="preserve">  </w:t>
      </w:r>
    </w:p>
    <w:p w:rsidR="002B47E8" w:rsidRDefault="002B47E8">
      <w:pPr>
        <w:pStyle w:val="Standard"/>
        <w:spacing w:line="240" w:lineRule="auto"/>
        <w:jc w:val="both"/>
      </w:pPr>
    </w:p>
    <w:p w:rsidR="002B47E8" w:rsidRDefault="002B47E8">
      <w:pPr>
        <w:pStyle w:val="Standard"/>
        <w:spacing w:line="240" w:lineRule="auto"/>
        <w:jc w:val="both"/>
        <w:rPr>
          <w:b/>
        </w:rPr>
      </w:pPr>
      <w:r>
        <w:t xml:space="preserve">Uzavírají níže uvedeného dne, měsíce a roku následující smlouvu o spolupráci:    </w:t>
      </w:r>
    </w:p>
    <w:p w:rsidR="002B47E8" w:rsidRDefault="002B47E8">
      <w:pPr>
        <w:pStyle w:val="Odstavecseseznamem"/>
        <w:numPr>
          <w:ilvl w:val="0"/>
          <w:numId w:val="1"/>
        </w:numPr>
        <w:ind w:left="630" w:hanging="540"/>
        <w:jc w:val="both"/>
      </w:pPr>
      <w:r>
        <w:rPr>
          <w:b/>
        </w:rPr>
        <w:t>Předmět spolupráce</w:t>
      </w:r>
    </w:p>
    <w:p w:rsidR="002B47E8" w:rsidRDefault="002B47E8">
      <w:pPr>
        <w:pStyle w:val="Standard"/>
        <w:jc w:val="both"/>
        <w:rPr>
          <w:color w:val="000000"/>
        </w:rPr>
      </w:pPr>
      <w:r>
        <w:t>Smluvní strany se rozhodly touto smlouvou navázat spolupráci při řešení projektu „</w:t>
      </w:r>
      <w:r>
        <w:rPr>
          <w:b/>
          <w:bCs/>
        </w:rPr>
        <w:t xml:space="preserve">Polymerní nanovlákenná antibakteriální filtrační média“ </w:t>
      </w:r>
      <w:r>
        <w:t xml:space="preserve">předkládaného s žádostí o finanční podporu při řešení v rámci programu  APLIKACE OPPIK. </w:t>
      </w:r>
    </w:p>
    <w:p w:rsidR="002B47E8" w:rsidRDefault="002B47E8">
      <w:pPr>
        <w:pStyle w:val="Standard"/>
        <w:jc w:val="both"/>
        <w:rPr>
          <w:color w:val="000000"/>
        </w:rPr>
      </w:pPr>
      <w:r>
        <w:rPr>
          <w:color w:val="000000"/>
        </w:rPr>
        <w:t>Tato Smlouva navazuje na Rámcou smlouvu o spolupráci uzavřenou mezi subjekty v roce 2013, na jejímž základě probíhá spolupráce ve výzkumu a vzdělávání studentů.</w:t>
      </w:r>
    </w:p>
    <w:p w:rsidR="002B47E8" w:rsidRDefault="002B47E8">
      <w:pPr>
        <w:pStyle w:val="Standard"/>
        <w:jc w:val="both"/>
      </w:pPr>
      <w:r>
        <w:rPr>
          <w:color w:val="000000"/>
        </w:rPr>
        <w:t xml:space="preserve">Hlavním řešitel projektu je společnost Nanovia s.r.o.. UJEP je spolupracující výzkumná organizace, jejímž úkolem je navrhnout vhodnou  kombinaci nanovlákenného nosiče a antimikrobiální látky. Stěžejním úkolem UJEP bude analytická práce, t.j. charakterizace materiálů následujícími chemickými, fyzikálními a mikrobiologickými metodami a to ve všech etapách projektu. </w:t>
      </w:r>
    </w:p>
    <w:p w:rsidR="002B47E8" w:rsidRDefault="002B47E8">
      <w:pPr>
        <w:pStyle w:val="Standard"/>
        <w:jc w:val="both"/>
      </w:pPr>
    </w:p>
    <w:p w:rsidR="002B47E8" w:rsidRDefault="002B47E8">
      <w:pPr>
        <w:pStyle w:val="Odstavecseseznamem"/>
        <w:ind w:left="0"/>
        <w:jc w:val="both"/>
        <w:rPr>
          <w:color w:val="000000"/>
        </w:rPr>
      </w:pPr>
      <w:r>
        <w:rPr>
          <w:b/>
        </w:rPr>
        <w:t>II.   Forma spolupráce</w:t>
      </w:r>
    </w:p>
    <w:p w:rsidR="002B47E8" w:rsidRDefault="002B47E8">
      <w:pPr>
        <w:pStyle w:val="Standard"/>
        <w:jc w:val="both"/>
        <w:rPr>
          <w:color w:val="000000"/>
        </w:rPr>
      </w:pPr>
      <w:r>
        <w:rPr>
          <w:color w:val="000000"/>
        </w:rPr>
        <w:t>II.1   Pracovníci Nanovia budou zodpovědní za přípravu nanovlákenných struktur na pracovišti Nanovia dle návrhů UJEP v laboratoři a dále pak na výrobních pracovištích při optimalizaci výrobních procesů a pro laminaci.</w:t>
      </w:r>
    </w:p>
    <w:p w:rsidR="002B47E8" w:rsidRDefault="002B47E8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Pracovníci UJEP budou zodpovědní za analytické práce a charakterizaci nanovlákenných struktur, tyto činnosti budou probíhat v laboratořích UJEP. </w:t>
      </w:r>
    </w:p>
    <w:p w:rsidR="002B47E8" w:rsidRDefault="002B47E8">
      <w:pPr>
        <w:pStyle w:val="Standard"/>
        <w:jc w:val="both"/>
        <w:rPr>
          <w:b/>
          <w:bCs/>
          <w:color w:val="000000"/>
        </w:rPr>
      </w:pPr>
      <w:r>
        <w:rPr>
          <w:color w:val="000000"/>
        </w:rPr>
        <w:lastRenderedPageBreak/>
        <w:t>II.2   Řešení projektu bude probíhat dle projektového plánu, definovaného v předkládaném podnikatelském záměru kap. 3.6. Harmonogram a etapy projektu.</w:t>
      </w:r>
    </w:p>
    <w:p w:rsidR="002B47E8" w:rsidRDefault="002B47E8">
      <w:pPr>
        <w:pStyle w:val="Standard"/>
        <w:jc w:val="both"/>
        <w:rPr>
          <w:color w:val="000000"/>
        </w:rPr>
      </w:pPr>
      <w:r>
        <w:rPr>
          <w:b/>
          <w:bCs/>
          <w:color w:val="000000"/>
        </w:rPr>
        <w:t>III. Způsobilé výdaje projektu, financování</w:t>
      </w:r>
    </w:p>
    <w:p w:rsidR="002B47E8" w:rsidRDefault="002B47E8">
      <w:pPr>
        <w:pStyle w:val="Standard"/>
        <w:jc w:val="both"/>
      </w:pPr>
      <w:r>
        <w:rPr>
          <w:color w:val="000000"/>
        </w:rPr>
        <w:t xml:space="preserve">III.1 Smluvní strany se dohodli na této struktuře a tomto podílu způsobilých výdajů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99"/>
        <w:gridCol w:w="2090"/>
        <w:gridCol w:w="1989"/>
        <w:gridCol w:w="2098"/>
      </w:tblGrid>
      <w:tr w:rsidR="002B47E8"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Způsobilé náklady</w:t>
            </w:r>
          </w:p>
        </w:tc>
        <w:tc>
          <w:tcPr>
            <w:tcW w:w="2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Nanovia (Kč)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UJEP (Kč)</w:t>
            </w: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CELKEM (Kč)</w:t>
            </w:r>
          </w:p>
        </w:tc>
      </w:tr>
      <w:tr w:rsidR="002B47E8">
        <w:tc>
          <w:tcPr>
            <w:tcW w:w="2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Služby a osobní náklady</w:t>
            </w:r>
          </w:p>
        </w:tc>
        <w:tc>
          <w:tcPr>
            <w:tcW w:w="20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5100000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2956000</w:t>
            </w: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8056000</w:t>
            </w:r>
          </w:p>
        </w:tc>
      </w:tr>
      <w:tr w:rsidR="002B47E8">
        <w:tc>
          <w:tcPr>
            <w:tcW w:w="2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Režijní náklady</w:t>
            </w:r>
            <w:r w:rsidR="00E54F15">
              <w:t xml:space="preserve"> a materiál</w:t>
            </w:r>
          </w:p>
        </w:tc>
        <w:tc>
          <w:tcPr>
            <w:tcW w:w="20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1595000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848000</w:t>
            </w: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2443000</w:t>
            </w:r>
          </w:p>
        </w:tc>
      </w:tr>
      <w:tr w:rsidR="002B47E8">
        <w:tc>
          <w:tcPr>
            <w:tcW w:w="2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Daňové odpisy</w:t>
            </w:r>
          </w:p>
        </w:tc>
        <w:tc>
          <w:tcPr>
            <w:tcW w:w="20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0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0</w:t>
            </w: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0</w:t>
            </w:r>
          </w:p>
        </w:tc>
      </w:tr>
      <w:tr w:rsidR="002B47E8">
        <w:tc>
          <w:tcPr>
            <w:tcW w:w="2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Náklady celkem</w:t>
            </w:r>
          </w:p>
        </w:tc>
        <w:tc>
          <w:tcPr>
            <w:tcW w:w="20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6695000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3804000</w:t>
            </w: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10499000</w:t>
            </w:r>
          </w:p>
        </w:tc>
      </w:tr>
      <w:tr w:rsidR="002B47E8">
        <w:tc>
          <w:tcPr>
            <w:tcW w:w="2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jc w:val="both"/>
            </w:pPr>
            <w:r>
              <w:t>Podíl na rozpočtu (%)</w:t>
            </w:r>
          </w:p>
        </w:tc>
        <w:tc>
          <w:tcPr>
            <w:tcW w:w="20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 xml:space="preserve">64,0 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36,0</w:t>
            </w: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47E8" w:rsidRDefault="002B47E8">
            <w:pPr>
              <w:pStyle w:val="Obsahtabulky"/>
              <w:snapToGrid w:val="0"/>
              <w:jc w:val="both"/>
            </w:pPr>
            <w:r>
              <w:t>100%</w:t>
            </w:r>
          </w:p>
        </w:tc>
      </w:tr>
    </w:tbl>
    <w:p w:rsidR="002B47E8" w:rsidRDefault="002B47E8">
      <w:pPr>
        <w:pStyle w:val="Standard"/>
        <w:jc w:val="both"/>
        <w:rPr>
          <w:color w:val="000000"/>
        </w:rPr>
      </w:pPr>
      <w:r>
        <w:rPr>
          <w:color w:val="000000"/>
        </w:rPr>
        <w:t>Podíl ZV na VaV je uveden v příloze č. 1/ rozpočet projektu Aplikace_po úpravě</w:t>
      </w:r>
    </w:p>
    <w:p w:rsidR="002B47E8" w:rsidRDefault="002B47E8">
      <w:pPr>
        <w:pStyle w:val="Standard"/>
        <w:jc w:val="both"/>
        <w:rPr>
          <w:color w:val="000000"/>
        </w:rPr>
      </w:pPr>
      <w:r>
        <w:rPr>
          <w:color w:val="000000"/>
        </w:rPr>
        <w:t>III.2   Každá strana si zajistí předfinancování nákladů na etapy projektu.</w:t>
      </w:r>
    </w:p>
    <w:p w:rsidR="002B47E8" w:rsidRDefault="002B47E8">
      <w:pPr>
        <w:pStyle w:val="Standard"/>
        <w:jc w:val="both"/>
        <w:rPr>
          <w:color w:val="000000"/>
        </w:rPr>
      </w:pPr>
      <w:r>
        <w:rPr>
          <w:color w:val="000000"/>
        </w:rPr>
        <w:t>III.3.  Každá strana si zajistí dofinancování vlastního rozpočtu na pokrytí nákladů  z vlastních zdrojů.</w:t>
      </w:r>
    </w:p>
    <w:p w:rsidR="002B47E8" w:rsidRDefault="002B47E8">
      <w:pPr>
        <w:pStyle w:val="Standard"/>
        <w:jc w:val="both"/>
        <w:rPr>
          <w:color w:val="000000"/>
        </w:rPr>
      </w:pPr>
    </w:p>
    <w:p w:rsidR="002B47E8" w:rsidRDefault="002B47E8">
      <w:pPr>
        <w:pStyle w:val="Standard"/>
        <w:spacing w:line="240" w:lineRule="auto"/>
        <w:jc w:val="both"/>
      </w:pPr>
      <w:r>
        <w:rPr>
          <w:b/>
          <w:bCs/>
        </w:rPr>
        <w:t xml:space="preserve">IV.     Povinnosti smluvních stran </w:t>
      </w:r>
    </w:p>
    <w:p w:rsidR="002B47E8" w:rsidRDefault="002B47E8">
      <w:pPr>
        <w:pStyle w:val="Standard"/>
        <w:tabs>
          <w:tab w:val="left" w:pos="75"/>
          <w:tab w:val="left" w:pos="90"/>
        </w:tabs>
        <w:spacing w:line="240" w:lineRule="auto"/>
        <w:ind w:left="45" w:hanging="15"/>
        <w:jc w:val="both"/>
      </w:pPr>
      <w:r>
        <w:t>IV.1  Smluvní strany si budou předávat veškeré poznatky získané při řešení projektu.</w:t>
      </w:r>
    </w:p>
    <w:p w:rsidR="002B47E8" w:rsidRDefault="002B47E8">
      <w:pPr>
        <w:pStyle w:val="Standard"/>
        <w:tabs>
          <w:tab w:val="left" w:pos="75"/>
          <w:tab w:val="left" w:pos="90"/>
        </w:tabs>
        <w:spacing w:line="240" w:lineRule="auto"/>
        <w:ind w:left="45" w:hanging="15"/>
        <w:jc w:val="both"/>
      </w:pPr>
      <w:r>
        <w:t>IV.2 Zaměstnanci obou stran jsou povinni zachovat mlčenlivost o veškerých informacích získaných při řešení projektu.</w:t>
      </w:r>
    </w:p>
    <w:p w:rsidR="002B47E8" w:rsidRDefault="002B47E8">
      <w:pPr>
        <w:pStyle w:val="Standard"/>
        <w:tabs>
          <w:tab w:val="left" w:pos="75"/>
          <w:tab w:val="left" w:pos="90"/>
        </w:tabs>
        <w:spacing w:line="240" w:lineRule="auto"/>
        <w:ind w:left="45" w:hanging="15"/>
        <w:jc w:val="both"/>
        <w:rPr>
          <w:color w:val="000000"/>
        </w:rPr>
      </w:pPr>
      <w:r>
        <w:t>IV.3  Pokud při společném výzkumu vzniknou výsledky mající povahu základního výzkumu, jejichž publikování neohrozí „know-how společnosti, mohou být tyto výsledky publikovány pouze po předchozím písemném souhlasu  zástupce druhé strany.</w:t>
      </w:r>
    </w:p>
    <w:p w:rsidR="002B47E8" w:rsidRDefault="002B47E8">
      <w:pPr>
        <w:pStyle w:val="Standard"/>
        <w:tabs>
          <w:tab w:val="left" w:pos="75"/>
          <w:tab w:val="left" w:pos="90"/>
        </w:tabs>
        <w:spacing w:line="240" w:lineRule="auto"/>
        <w:ind w:left="45" w:hanging="15"/>
        <w:jc w:val="both"/>
      </w:pPr>
      <w:r>
        <w:rPr>
          <w:color w:val="000000"/>
        </w:rPr>
        <w:t>IV.4  Obě strany se zavazují nepředávat výsledky společného výzkumu třetím stranám bez souhlasu druhé smluvní strany.</w:t>
      </w:r>
    </w:p>
    <w:p w:rsidR="002B47E8" w:rsidRDefault="002B47E8">
      <w:pPr>
        <w:pStyle w:val="Standard"/>
        <w:tabs>
          <w:tab w:val="left" w:pos="75"/>
          <w:tab w:val="left" w:pos="90"/>
        </w:tabs>
        <w:spacing w:line="240" w:lineRule="auto"/>
        <w:ind w:left="45" w:hanging="15"/>
        <w:jc w:val="both"/>
      </w:pPr>
      <w:r>
        <w:t>IV.5  Zaměstnanci UJEP budou seznámeni s pravidly BOZP a PO na pracovišti Nanovia. Jejich práce v laboratoři a na dalších pracovištích neohrozí zdraví a bezpečnost zaměstnanců Nanovia.</w:t>
      </w:r>
    </w:p>
    <w:p w:rsidR="002B47E8" w:rsidRDefault="002B47E8">
      <w:pPr>
        <w:pStyle w:val="Standard"/>
        <w:tabs>
          <w:tab w:val="left" w:pos="60"/>
          <w:tab w:val="left" w:pos="75"/>
        </w:tabs>
        <w:spacing w:line="240" w:lineRule="auto"/>
        <w:ind w:left="45" w:hanging="15"/>
        <w:jc w:val="both"/>
      </w:pPr>
      <w:r>
        <w:t>IV.6   Zaměstnanci UJEP budou seznámeni s pracovními postupy a metodiky při využívání zařízení a techniky Nanovia. Při své práci budou dbalí těchto pokynů a nezpůsobí škodu na těchto zařízeních.</w:t>
      </w:r>
    </w:p>
    <w:p w:rsidR="002B47E8" w:rsidRDefault="002B47E8">
      <w:pPr>
        <w:pStyle w:val="Standard"/>
        <w:spacing w:line="240" w:lineRule="auto"/>
        <w:jc w:val="both"/>
      </w:pPr>
    </w:p>
    <w:p w:rsidR="002B47E8" w:rsidRDefault="002B47E8">
      <w:pPr>
        <w:pStyle w:val="Standard"/>
        <w:spacing w:line="240" w:lineRule="auto"/>
        <w:jc w:val="both"/>
      </w:pPr>
      <w:r>
        <w:rPr>
          <w:b/>
          <w:bCs/>
        </w:rPr>
        <w:t>V.       Ochrana duševního vlastnictví</w:t>
      </w:r>
    </w:p>
    <w:p w:rsidR="002B47E8" w:rsidRDefault="002B47E8">
      <w:pPr>
        <w:pStyle w:val="Standard"/>
        <w:spacing w:line="240" w:lineRule="auto"/>
        <w:ind w:left="-15"/>
        <w:jc w:val="both"/>
      </w:pPr>
      <w:r>
        <w:lastRenderedPageBreak/>
        <w:t>IV.1.    Pokud výsledkem spolupráce budou patenty, funkční a užitné vzory resp. poloprovoz, bude jejich spoluvlastnictví řešeno zvláštní smlouvou, zohledňující podíl obou smluvních stran.</w:t>
      </w:r>
    </w:p>
    <w:p w:rsidR="002B47E8" w:rsidRDefault="002B47E8">
      <w:pPr>
        <w:pStyle w:val="Standard"/>
        <w:spacing w:line="240" w:lineRule="auto"/>
        <w:ind w:left="-15"/>
        <w:jc w:val="both"/>
        <w:rPr>
          <w:b/>
          <w:bCs/>
        </w:rPr>
      </w:pPr>
      <w:r>
        <w:t>IV.2.   Výsledky, které nebudou předmětem ochrany duševního vlastnictví, mohou využívat obě strany bez souhlasu druhé strany. V případě UJEP se jedná o využití výsledků pro další výzkum, vzdělávání studentů. V případě Nanovia se jedná o využití při výrobě.</w:t>
      </w:r>
    </w:p>
    <w:p w:rsidR="002B47E8" w:rsidRDefault="002B47E8">
      <w:pPr>
        <w:pStyle w:val="Standard"/>
        <w:spacing w:line="240" w:lineRule="auto"/>
        <w:jc w:val="both"/>
      </w:pPr>
      <w:r>
        <w:rPr>
          <w:b/>
          <w:bCs/>
        </w:rPr>
        <w:t>VI.      Závěrečná ustanovení</w:t>
      </w:r>
    </w:p>
    <w:p w:rsidR="002B47E8" w:rsidRDefault="002B47E8">
      <w:pPr>
        <w:pStyle w:val="Standard"/>
        <w:spacing w:line="240" w:lineRule="auto"/>
        <w:jc w:val="both"/>
      </w:pPr>
      <w:r>
        <w:t>VI.1.  Smlouva je vyhotovena ve dvou provedeních. Každá strana obdrží po jednom originále.      Úpravy smluvy jsou možné pouze písemnou formou.</w:t>
      </w:r>
    </w:p>
    <w:p w:rsidR="002B47E8" w:rsidRDefault="002B47E8">
      <w:pPr>
        <w:pStyle w:val="Standard"/>
        <w:spacing w:line="240" w:lineRule="auto"/>
        <w:jc w:val="both"/>
      </w:pPr>
      <w:r>
        <w:t xml:space="preserve">VI.2     Smlouva se uzavírá na dobu řešení projektu. </w:t>
      </w:r>
    </w:p>
    <w:p w:rsidR="002B47E8" w:rsidRDefault="002B47E8">
      <w:pPr>
        <w:pStyle w:val="Standard"/>
        <w:spacing w:line="240" w:lineRule="auto"/>
        <w:jc w:val="both"/>
      </w:pPr>
      <w:r>
        <w:t xml:space="preserve">VI.3.   Smluvní strany si smlouvu přečetly, s jejím obsahem souhlasí a tomu na důkaz připojují své podpisy. </w:t>
      </w:r>
    </w:p>
    <w:p w:rsidR="002B47E8" w:rsidRDefault="002B47E8">
      <w:pPr>
        <w:pStyle w:val="Standard"/>
        <w:spacing w:line="240" w:lineRule="auto"/>
        <w:jc w:val="both"/>
      </w:pPr>
    </w:p>
    <w:p w:rsidR="002B47E8" w:rsidRDefault="002B47E8">
      <w:pPr>
        <w:pStyle w:val="Standard"/>
        <w:spacing w:line="240" w:lineRule="auto"/>
        <w:jc w:val="both"/>
      </w:pPr>
      <w:r>
        <w:t>V ………………………………. Dne ………..     V ………………………………. Dne ………..</w:t>
      </w:r>
    </w:p>
    <w:p w:rsidR="002B47E8" w:rsidRDefault="002B47E8">
      <w:pPr>
        <w:pStyle w:val="Standard"/>
        <w:spacing w:line="240" w:lineRule="auto"/>
        <w:jc w:val="both"/>
      </w:pPr>
    </w:p>
    <w:p w:rsidR="002B47E8" w:rsidRDefault="002B47E8">
      <w:pPr>
        <w:pStyle w:val="Standard"/>
        <w:spacing w:line="240" w:lineRule="auto"/>
        <w:jc w:val="both"/>
        <w:rPr>
          <w:b/>
          <w:color w:val="000000"/>
        </w:rPr>
      </w:pPr>
      <w:r>
        <w:rPr>
          <w:rFonts w:eastAsia="Calibri"/>
        </w:rPr>
        <w:t>…..............</w:t>
      </w:r>
      <w:r>
        <w:t>.........................................       ……………………………….………………….</w:t>
      </w:r>
    </w:p>
    <w:p w:rsidR="002B47E8" w:rsidRDefault="002B47E8">
      <w:pPr>
        <w:pStyle w:val="Standard"/>
        <w:spacing w:after="0" w:line="240" w:lineRule="auto"/>
        <w:jc w:val="both"/>
      </w:pPr>
      <w:r>
        <w:rPr>
          <w:b/>
          <w:color w:val="000000"/>
        </w:rPr>
        <w:t>Nanovia s.r.o.</w:t>
      </w:r>
      <w:r>
        <w:rPr>
          <w:color w:val="000000"/>
        </w:rPr>
        <w:t xml:space="preserve">                 </w:t>
      </w:r>
      <w:r>
        <w:rPr>
          <w:b/>
          <w:color w:val="000000"/>
        </w:rPr>
        <w:t xml:space="preserve">               Univerzita J.E.Purkyně v Ústí nad Labem</w:t>
      </w:r>
    </w:p>
    <w:p w:rsidR="002B47E8" w:rsidRDefault="002B47E8">
      <w:pPr>
        <w:pStyle w:val="Standard"/>
        <w:spacing w:after="0" w:line="240" w:lineRule="auto"/>
        <w:jc w:val="both"/>
      </w:pPr>
      <w:r>
        <w:t>Ing. Marcela Munzarová                                            doc. RNDr. Martin Balej, Ph.D.</w:t>
      </w:r>
    </w:p>
    <w:p w:rsidR="002B47E8" w:rsidRDefault="002B47E8">
      <w:pPr>
        <w:pStyle w:val="Standard"/>
        <w:spacing w:line="240" w:lineRule="auto"/>
        <w:jc w:val="both"/>
        <w:rPr>
          <w:rFonts w:eastAsia="Calibri"/>
        </w:rPr>
      </w:pPr>
      <w:r>
        <w:t xml:space="preserve">jednatelka společnosti                                               rektor UJEP                                                   </w:t>
      </w:r>
    </w:p>
    <w:p w:rsidR="002B47E8" w:rsidRDefault="002B47E8">
      <w:pPr>
        <w:pStyle w:val="Standard"/>
        <w:spacing w:line="240" w:lineRule="auto"/>
        <w:jc w:val="both"/>
      </w:pPr>
      <w:r>
        <w:rPr>
          <w:rFonts w:eastAsia="Calibri"/>
        </w:rPr>
        <w:t xml:space="preserve">    </w:t>
      </w:r>
    </w:p>
    <w:sectPr w:rsidR="002B47E8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17" w:rsidRDefault="00506317">
      <w:pPr>
        <w:spacing w:after="0" w:line="240" w:lineRule="auto"/>
      </w:pPr>
      <w:r>
        <w:separator/>
      </w:r>
    </w:p>
  </w:endnote>
  <w:endnote w:type="continuationSeparator" w:id="0">
    <w:p w:rsidR="00506317" w:rsidRDefault="0050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E8" w:rsidRDefault="002B47E8">
    <w:pPr>
      <w:pStyle w:val="Zpat"/>
      <w:jc w:val="right"/>
    </w:pPr>
    <w:fldSimple w:instr=" PAGE ">
      <w:r w:rsidR="00C526EC">
        <w:rPr>
          <w:noProof/>
        </w:rPr>
        <w:t>2</w:t>
      </w:r>
    </w:fldSimple>
  </w:p>
  <w:p w:rsidR="002B47E8" w:rsidRDefault="002B47E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E8" w:rsidRDefault="002B47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17" w:rsidRDefault="00506317">
      <w:pPr>
        <w:spacing w:after="0" w:line="240" w:lineRule="auto"/>
      </w:pPr>
      <w:r>
        <w:separator/>
      </w:r>
    </w:p>
  </w:footnote>
  <w:footnote w:type="continuationSeparator" w:id="0">
    <w:p w:rsidR="00506317" w:rsidRDefault="00506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F15"/>
    <w:rsid w:val="002B47E8"/>
    <w:rsid w:val="00506317"/>
    <w:rsid w:val="00C526EC"/>
    <w:rsid w:val="00E5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character" w:customStyle="1" w:styleId="ZhlavChar">
    <w:name w:val="Záhlaví Char"/>
    <w:rPr>
      <w:rFonts w:ascii="Calibri" w:eastAsia="SimSun" w:hAnsi="Calibri" w:cs="Calibri"/>
      <w:kern w:val="1"/>
      <w:sz w:val="22"/>
      <w:szCs w:val="22"/>
      <w:lang w:eastAsia="zh-CN"/>
    </w:rPr>
  </w:style>
  <w:style w:type="character" w:customStyle="1" w:styleId="ZpatChar">
    <w:name w:val="Zápatí Char"/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qFormat/>
    <w:pPr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bobkovam</cp:lastModifiedBy>
  <cp:revision>2</cp:revision>
  <cp:lastPrinted>2015-08-11T16:48:00Z</cp:lastPrinted>
  <dcterms:created xsi:type="dcterms:W3CDTF">2017-02-20T08:38:00Z</dcterms:created>
  <dcterms:modified xsi:type="dcterms:W3CDTF">2017-02-20T08:38:00Z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VŠB-TUO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