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76CCB7E3"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r w:rsidR="00C0049E">
        <w:t>6872/2021/00</w:t>
      </w:r>
    </w:p>
    <w:p w14:paraId="079E6064" w14:textId="357143E1" w:rsidR="00E14FF5" w:rsidRPr="009F0540" w:rsidRDefault="00E722F2" w:rsidP="006522BB">
      <w:pPr>
        <w:jc w:val="center"/>
        <w:rPr>
          <w:sz w:val="18"/>
          <w:szCs w:val="18"/>
        </w:rPr>
      </w:pPr>
      <w:r>
        <w:rPr>
          <w:sz w:val="18"/>
          <w:szCs w:val="18"/>
        </w:rPr>
        <w:t xml:space="preserve">Kterou </w:t>
      </w:r>
      <w:r w:rsidR="00E14FF5"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4C5A71F0" w:rsidR="000A2D8A" w:rsidRPr="006522BB" w:rsidRDefault="00B869D8" w:rsidP="000A2D8A">
      <w:pPr>
        <w:rPr>
          <w:b/>
        </w:rPr>
      </w:pPr>
      <w:r>
        <w:rPr>
          <w:b/>
        </w:rPr>
        <w:t>Lingea s.r.o.</w:t>
      </w:r>
    </w:p>
    <w:p w14:paraId="7F3BBF17" w14:textId="3F9775BF" w:rsidR="000A2D8A" w:rsidRPr="00CC485F" w:rsidRDefault="000A2D8A" w:rsidP="000A2D8A">
      <w:pPr>
        <w:tabs>
          <w:tab w:val="left" w:pos="1701"/>
        </w:tabs>
        <w:jc w:val="left"/>
        <w:rPr>
          <w:b/>
        </w:rPr>
      </w:pPr>
      <w:r>
        <w:tab/>
      </w:r>
      <w:r w:rsidRPr="00CC485F">
        <w:t xml:space="preserve">Sídlem: </w:t>
      </w:r>
      <w:r w:rsidRPr="00CC485F">
        <w:tab/>
      </w:r>
      <w:r w:rsidR="00B869D8">
        <w:t>Nále</w:t>
      </w:r>
      <w:r w:rsidR="000C5454">
        <w:t>p</w:t>
      </w:r>
      <w:r w:rsidR="00B869D8">
        <w:t>kova 79/131, 637 00 Brno</w:t>
      </w:r>
      <w:r w:rsidRPr="00CC485F">
        <w:br/>
        <w:t xml:space="preserve">IČ: </w:t>
      </w:r>
      <w:r w:rsidRPr="00CC485F">
        <w:tab/>
      </w:r>
      <w:r w:rsidR="00B869D8">
        <w:t>25347659</w:t>
      </w:r>
      <w:r w:rsidRPr="00CC485F">
        <w:br/>
        <w:t xml:space="preserve">DIČ: </w:t>
      </w:r>
      <w:r w:rsidRPr="00CC485F">
        <w:tab/>
      </w:r>
      <w:r w:rsidR="00B869D8">
        <w:t>CZ25347659</w:t>
      </w:r>
      <w:r w:rsidR="00C0049E">
        <w:br/>
        <w:t>Bankovní spojení:</w:t>
      </w:r>
      <w:r w:rsidRPr="00CC485F">
        <w:tab/>
      </w:r>
      <w:r w:rsidR="0001250B">
        <w:rPr>
          <w:rFonts w:eastAsiaTheme="minorEastAsia"/>
          <w:lang w:eastAsia="zh-CN"/>
        </w:rPr>
        <w:t>účet č. 6995070257/0100</w:t>
      </w:r>
      <w:r w:rsidR="00C0049E">
        <w:t xml:space="preserve">, </w:t>
      </w:r>
      <w:r w:rsidRPr="00CC485F">
        <w:t xml:space="preserve">vedený u </w:t>
      </w:r>
      <w:r w:rsidR="0001250B">
        <w:t>Komerční banky</w:t>
      </w:r>
      <w:r w:rsidR="00C0049E">
        <w:t>, a.s.</w:t>
      </w:r>
      <w:r>
        <w:br/>
      </w:r>
      <w:r w:rsidRPr="00CC485F">
        <w:t xml:space="preserve">Zastoupená: </w:t>
      </w:r>
      <w:r w:rsidRPr="00CC485F">
        <w:tab/>
      </w:r>
      <w:r w:rsidR="00B869D8">
        <w:t>RNDr. Pavlem Ševečkem, jednatelem společnosti</w:t>
      </w:r>
      <w:r>
        <w:br/>
      </w:r>
      <w:r w:rsidRPr="007C11C0">
        <w:t xml:space="preserve">Odpovědný zaměstnanec za </w:t>
      </w:r>
      <w:r w:rsidR="000E725C">
        <w:t>příjemce</w:t>
      </w:r>
      <w:r w:rsidRPr="007C11C0">
        <w:t xml:space="preserve">: </w:t>
      </w:r>
      <w:r w:rsidR="00C0049E">
        <w:t>RNDr. Pavel Ševeček</w:t>
      </w:r>
      <w:r w:rsidRPr="00CC485F">
        <w:br/>
      </w:r>
      <w:r w:rsidRPr="00120A6B">
        <w:t xml:space="preserve">dále též jako </w:t>
      </w:r>
      <w:r w:rsidRPr="00CC485F">
        <w:rPr>
          <w:b/>
        </w:rPr>
        <w:t>„</w:t>
      </w:r>
      <w:r>
        <w:rPr>
          <w:b/>
        </w:rPr>
        <w:t>příjemce</w:t>
      </w:r>
      <w:r w:rsidRPr="00CC485F">
        <w:rPr>
          <w:b/>
        </w:rPr>
        <w:t>“</w:t>
      </w:r>
    </w:p>
    <w:p w14:paraId="32C79A77" w14:textId="5FE7A15E" w:rsidR="000A2D8A" w:rsidRPr="000A2D8A" w:rsidRDefault="000A2D8A" w:rsidP="007F008B">
      <w:r w:rsidRPr="000A2D8A">
        <w:t>a</w:t>
      </w:r>
    </w:p>
    <w:p w14:paraId="2EB60D09" w14:textId="7DA4323E" w:rsidR="007F008B" w:rsidRPr="006522BB" w:rsidRDefault="007F008B" w:rsidP="007F008B">
      <w:pPr>
        <w:rPr>
          <w:b/>
        </w:rPr>
      </w:pPr>
      <w:r w:rsidRPr="006522BB">
        <w:rPr>
          <w:b/>
        </w:rPr>
        <w:t>Vysoké učení technické v</w:t>
      </w:r>
      <w:r w:rsidR="009C0B07">
        <w:rPr>
          <w:b/>
        </w:rPr>
        <w:t> </w:t>
      </w:r>
      <w:r w:rsidRPr="006522BB">
        <w:rPr>
          <w:b/>
        </w:rPr>
        <w:t>Brně</w:t>
      </w:r>
      <w:r w:rsidR="009C0B07">
        <w:rPr>
          <w:b/>
        </w:rPr>
        <w:t>, Fakulta informačních technologií</w:t>
      </w:r>
    </w:p>
    <w:p w14:paraId="191EEE5C" w14:textId="7CBA2F81" w:rsidR="007F008B" w:rsidRPr="00CC485F" w:rsidRDefault="007F008B" w:rsidP="007F008B">
      <w:pPr>
        <w:tabs>
          <w:tab w:val="left" w:pos="1701"/>
        </w:tabs>
        <w:jc w:val="left"/>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DIČ:</w:t>
      </w:r>
      <w:r w:rsidR="00C0049E">
        <w:t xml:space="preserve"> </w:t>
      </w:r>
      <w:r w:rsidR="00C0049E">
        <w:tab/>
        <w:t>CZ00216305</w:t>
      </w:r>
      <w:r w:rsidR="00C0049E">
        <w:br/>
        <w:t xml:space="preserve">Bankovní spojení: </w:t>
      </w:r>
      <w:r w:rsidR="00C0049E">
        <w:tab/>
      </w:r>
      <w:r w:rsidR="00C0049E" w:rsidRPr="00C0049E">
        <w:t>27-8684040287/0100</w:t>
      </w:r>
      <w:r w:rsidR="00C0049E">
        <w:t>, vedený</w:t>
      </w:r>
      <w:r w:rsidR="00C0049E" w:rsidRPr="00C0049E">
        <w:t xml:space="preserve"> u Komerční banky, a.s.</w:t>
      </w:r>
      <w:r w:rsidR="00C0049E" w:rsidRPr="00CC485F">
        <w:t xml:space="preserve"> </w:t>
      </w:r>
      <w:r w:rsidRPr="00CC485F">
        <w:br/>
      </w:r>
      <w:r w:rsidRPr="007C11C0">
        <w:t xml:space="preserve">Zastoupené: </w:t>
      </w:r>
      <w:r w:rsidRPr="007C11C0">
        <w:tab/>
        <w:t>prof. RNDr. Ing. Petrem Štěpánkem, CSc., rektorem</w:t>
      </w:r>
      <w:r>
        <w:br/>
      </w:r>
      <w:r w:rsidRPr="007C11C0">
        <w:t xml:space="preserve">Odpovědný zaměstnanec za </w:t>
      </w:r>
      <w:r w:rsidR="000E725C">
        <w:t>dalšího účastníka</w:t>
      </w:r>
      <w:r w:rsidRPr="007C11C0">
        <w:t xml:space="preserve">: </w:t>
      </w:r>
      <w:r w:rsidR="00015309" w:rsidRPr="00015309">
        <w:t>doc. RNDr. Pavel Smrž</w:t>
      </w:r>
      <w:r w:rsidR="00015309">
        <w:t>,</w:t>
      </w:r>
      <w:r w:rsidR="00015309" w:rsidRPr="00015309">
        <w:t xml:space="preserve"> Ph.D.</w:t>
      </w:r>
      <w:r w:rsidRPr="00120A6B">
        <w:br/>
      </w:r>
      <w:r w:rsidR="000A2D8A" w:rsidRPr="00120A6B">
        <w:t xml:space="preserve">dále též jako </w:t>
      </w:r>
      <w:r w:rsidR="000A2D8A" w:rsidRPr="00CC485F">
        <w:rPr>
          <w:b/>
        </w:rPr>
        <w:t>„</w:t>
      </w:r>
      <w:r w:rsidR="000A2D8A">
        <w:rPr>
          <w:b/>
        </w:rPr>
        <w:t>další účastník</w:t>
      </w:r>
      <w:r w:rsidR="00B869D8">
        <w:rPr>
          <w:b/>
        </w:rPr>
        <w:t xml:space="preserve"> </w:t>
      </w:r>
      <w:r w:rsidR="00D45316">
        <w:rPr>
          <w:b/>
        </w:rPr>
        <w:t xml:space="preserve">projektu </w:t>
      </w:r>
      <w:r w:rsidR="00B869D8">
        <w:rPr>
          <w:b/>
        </w:rPr>
        <w:t>1</w:t>
      </w:r>
      <w:r w:rsidR="000A2D8A" w:rsidRPr="00CC485F">
        <w:rPr>
          <w:b/>
        </w:rPr>
        <w:t>“</w:t>
      </w:r>
      <w:r w:rsidR="00840C56">
        <w:rPr>
          <w:b/>
        </w:rPr>
        <w:t xml:space="preserve"> </w:t>
      </w:r>
      <w:r w:rsidR="00840C56" w:rsidRPr="00840C56">
        <w:t>nebo</w:t>
      </w:r>
      <w:r w:rsidR="00840C56">
        <w:rPr>
          <w:b/>
        </w:rPr>
        <w:t xml:space="preserve"> „FIT“</w:t>
      </w:r>
    </w:p>
    <w:p w14:paraId="1E4D484F" w14:textId="15DBC8A8" w:rsidR="00B869D8" w:rsidRDefault="00B869D8" w:rsidP="006522BB">
      <w:r>
        <w:t>a</w:t>
      </w:r>
    </w:p>
    <w:p w14:paraId="2071AB46" w14:textId="2283483D" w:rsidR="00B869D8" w:rsidRPr="006522BB" w:rsidRDefault="006333A2" w:rsidP="00B869D8">
      <w:pPr>
        <w:rPr>
          <w:b/>
        </w:rPr>
      </w:pPr>
      <w:r w:rsidRPr="006333A2">
        <w:rPr>
          <w:b/>
        </w:rPr>
        <w:t>Univerzita Karlova, Matematicko-fyzikální fakulta</w:t>
      </w:r>
    </w:p>
    <w:p w14:paraId="43C46449" w14:textId="1400559A" w:rsidR="00B869D8" w:rsidRPr="00CC485F" w:rsidRDefault="00B869D8" w:rsidP="00B869D8">
      <w:pPr>
        <w:tabs>
          <w:tab w:val="left" w:pos="1701"/>
        </w:tabs>
        <w:jc w:val="left"/>
      </w:pPr>
      <w:r>
        <w:tab/>
        <w:t xml:space="preserve">Sídlem: </w:t>
      </w:r>
      <w:r>
        <w:tab/>
      </w:r>
      <w:r>
        <w:rPr>
          <w:rStyle w:val="value"/>
        </w:rPr>
        <w:t>Ovocný trh 560/5</w:t>
      </w:r>
      <w:r w:rsidRPr="00CC485F">
        <w:t xml:space="preserve">, 601 90 </w:t>
      </w:r>
      <w:r>
        <w:t>Praha 1</w:t>
      </w:r>
      <w:r w:rsidRPr="00CC485F">
        <w:br/>
        <w:t xml:space="preserve">IČ: </w:t>
      </w:r>
      <w:r w:rsidRPr="00CC485F">
        <w:tab/>
      </w:r>
      <w:r>
        <w:rPr>
          <w:rStyle w:val="value"/>
        </w:rPr>
        <w:t>00216208</w:t>
      </w:r>
      <w:r w:rsidRPr="00CC485F">
        <w:t xml:space="preserve"> (veřejná vysoká škola, nezapisuje se do OR)</w:t>
      </w:r>
      <w:r w:rsidRPr="00CC485F">
        <w:br/>
        <w:t xml:space="preserve">DIČ: </w:t>
      </w:r>
      <w:r w:rsidRPr="00CC485F">
        <w:tab/>
      </w:r>
      <w:r>
        <w:rPr>
          <w:rStyle w:val="value"/>
        </w:rPr>
        <w:t>CZ00216208</w:t>
      </w:r>
      <w:r w:rsidRPr="00CC485F">
        <w:br/>
      </w:r>
      <w:r w:rsidRPr="008C1BE3">
        <w:t xml:space="preserve">Bankovní spojení: </w:t>
      </w:r>
      <w:r w:rsidRPr="008C1BE3">
        <w:tab/>
      </w:r>
      <w:r w:rsidR="008C1BE3" w:rsidRPr="008C1BE3">
        <w:t>účet č. 38330021</w:t>
      </w:r>
      <w:r w:rsidR="008C1BE3">
        <w:t xml:space="preserve">/0100 </w:t>
      </w:r>
      <w:r w:rsidR="008C1BE3" w:rsidRPr="008C1BE3">
        <w:t>vedený u Komerční banky</w:t>
      </w:r>
      <w:r w:rsidRPr="00CC485F">
        <w:br/>
      </w:r>
      <w:r w:rsidRPr="007C11C0">
        <w:t xml:space="preserve">Zastoupené: </w:t>
      </w:r>
      <w:r w:rsidRPr="007C11C0">
        <w:tab/>
      </w:r>
      <w:r>
        <w:rPr>
          <w:rStyle w:val="value"/>
        </w:rPr>
        <w:t>prof. MUDr. Tomáš Zima, DrSc., MBA</w:t>
      </w:r>
      <w:r>
        <w:br/>
      </w:r>
      <w:r w:rsidRPr="007C11C0">
        <w:t xml:space="preserve">Odpovědný zaměstnanec za </w:t>
      </w:r>
      <w:r>
        <w:t>dalšího účastníka</w:t>
      </w:r>
      <w:r w:rsidRPr="007C11C0">
        <w:t xml:space="preserve">: </w:t>
      </w:r>
      <w:r w:rsidR="008C1BE3" w:rsidRPr="008C1BE3">
        <w:t>doc. RNDr. Pavel Pecina, Ph.D.</w:t>
      </w:r>
      <w:r w:rsidRPr="00120A6B">
        <w:br/>
        <w:t xml:space="preserve">dále též jako </w:t>
      </w:r>
      <w:r w:rsidRPr="00CC485F">
        <w:rPr>
          <w:b/>
        </w:rPr>
        <w:t>„</w:t>
      </w:r>
      <w:r>
        <w:rPr>
          <w:b/>
        </w:rPr>
        <w:t xml:space="preserve">další účastník </w:t>
      </w:r>
      <w:r w:rsidR="00D45316">
        <w:rPr>
          <w:b/>
        </w:rPr>
        <w:t xml:space="preserve">projektu </w:t>
      </w:r>
      <w:r>
        <w:rPr>
          <w:b/>
        </w:rPr>
        <w:t>2</w:t>
      </w:r>
      <w:r w:rsidRPr="00CC485F">
        <w:rPr>
          <w:b/>
        </w:rPr>
        <w:t>“</w:t>
      </w:r>
      <w:r w:rsidR="00840C56">
        <w:rPr>
          <w:b/>
        </w:rPr>
        <w:t xml:space="preserve"> </w:t>
      </w:r>
      <w:r w:rsidR="00840C56" w:rsidRPr="00840C56">
        <w:t>nebo</w:t>
      </w:r>
      <w:r w:rsidR="00840C56">
        <w:rPr>
          <w:b/>
        </w:rPr>
        <w:t xml:space="preserve"> „MFF“</w:t>
      </w:r>
    </w:p>
    <w:p w14:paraId="7D0E1612" w14:textId="77777777" w:rsidR="00B869D8" w:rsidRDefault="00B869D8" w:rsidP="006522BB"/>
    <w:p w14:paraId="1B1CA9AE" w14:textId="77777777" w:rsidR="00EE64BC" w:rsidRPr="006522BB" w:rsidRDefault="00EE64BC" w:rsidP="008516B3">
      <w:pPr>
        <w:pStyle w:val="Nadpis2"/>
      </w:pPr>
      <w:r w:rsidRPr="006522BB">
        <w:t>I.</w:t>
      </w:r>
      <w:r>
        <w:br/>
        <w:t>Předmět smlouvy</w:t>
      </w:r>
    </w:p>
    <w:p w14:paraId="35A6405E" w14:textId="272DA8E8"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 xml:space="preserve">v </w:t>
      </w:r>
      <w:r w:rsidR="006120C0">
        <w:rPr>
          <w:bCs/>
        </w:rPr>
        <w:t>3</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w:t>
      </w:r>
      <w:r w:rsidR="00716609">
        <w:rPr>
          <w:bCs/>
        </w:rPr>
        <w:t>průmyslového výzkumu a experimentálního vývoje</w:t>
      </w:r>
      <w:r w:rsidR="003237F5">
        <w:rPr>
          <w:bCs/>
        </w:rPr>
        <w:t xml:space="preserve"> </w:t>
      </w:r>
      <w:r w:rsidR="003E5E0F">
        <w:rPr>
          <w:bCs/>
        </w:rPr>
        <w:t>T</w:t>
      </w:r>
      <w:r w:rsidR="00716609">
        <w:rPr>
          <w:bCs/>
        </w:rPr>
        <w:t>REND</w:t>
      </w:r>
      <w:r w:rsidR="00397741">
        <w:rPr>
          <w:bCs/>
        </w:rPr>
        <w:t>“</w:t>
      </w:r>
      <w:r w:rsidR="00935FE1">
        <w:rPr>
          <w:bCs/>
        </w:rPr>
        <w:t xml:space="preserve">, Podprogramu </w:t>
      </w:r>
      <w:r w:rsidR="006120C0">
        <w:rPr>
          <w:bCs/>
        </w:rPr>
        <w:t>1</w:t>
      </w:r>
      <w:r w:rsidR="00935FE1">
        <w:rPr>
          <w:bCs/>
        </w:rPr>
        <w:t xml:space="preserve"> „</w:t>
      </w:r>
      <w:r w:rsidR="006120C0">
        <w:rPr>
          <w:bCs/>
        </w:rPr>
        <w:t>Technologičtí lídři</w:t>
      </w:r>
      <w:r w:rsidR="00935FE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5304E471" w:rsidR="00EE64BC" w:rsidRPr="00663C1C" w:rsidRDefault="001A0528" w:rsidP="001A0528">
      <w:pPr>
        <w:tabs>
          <w:tab w:val="clear" w:pos="425"/>
          <w:tab w:val="left" w:pos="770"/>
        </w:tabs>
        <w:ind w:left="567" w:hanging="567"/>
        <w:rPr>
          <w:b/>
        </w:rPr>
      </w:pPr>
      <w:r>
        <w:rPr>
          <w:b/>
        </w:rPr>
        <w:t>Název:</w:t>
      </w:r>
      <w:r>
        <w:rPr>
          <w:b/>
        </w:rPr>
        <w:tab/>
      </w:r>
      <w:r w:rsidR="00912746" w:rsidRPr="00912746">
        <w:rPr>
          <w:rStyle w:val="value"/>
          <w:b/>
        </w:rPr>
        <w:t>Multilingvální asistent pro hledání, analýzu a zpracování informací a podporu rozhodování</w:t>
      </w:r>
    </w:p>
    <w:p w14:paraId="04E40E01" w14:textId="1708702D" w:rsidR="00EE64BC" w:rsidRPr="00663C1C" w:rsidRDefault="00EE64BC" w:rsidP="001A0528">
      <w:pPr>
        <w:tabs>
          <w:tab w:val="clear" w:pos="425"/>
          <w:tab w:val="left" w:pos="770"/>
        </w:tabs>
        <w:ind w:left="567" w:hanging="567"/>
        <w:rPr>
          <w:b/>
        </w:rPr>
      </w:pPr>
      <w:r w:rsidRPr="00663C1C">
        <w:rPr>
          <w:b/>
        </w:rPr>
        <w:t>Reg.</w:t>
      </w:r>
      <w:r w:rsidR="00DD4F56">
        <w:rPr>
          <w:b/>
        </w:rPr>
        <w:t xml:space="preserve"> </w:t>
      </w:r>
      <w:r w:rsidRPr="00663C1C">
        <w:rPr>
          <w:b/>
        </w:rPr>
        <w:t xml:space="preserve">č.: </w:t>
      </w:r>
      <w:r w:rsidRPr="00663C1C">
        <w:rPr>
          <w:b/>
        </w:rPr>
        <w:tab/>
      </w:r>
      <w:r w:rsidR="00912746" w:rsidRPr="00912746">
        <w:rPr>
          <w:rStyle w:val="value"/>
          <w:b/>
        </w:rPr>
        <w:t>FW03010656</w:t>
      </w:r>
    </w:p>
    <w:p w14:paraId="0027C920" w14:textId="77777777" w:rsidR="00EE64BC" w:rsidRDefault="00EE64BC" w:rsidP="008516B3">
      <w:pPr>
        <w:pStyle w:val="Nadpis2"/>
      </w:pPr>
      <w:r>
        <w:lastRenderedPageBreak/>
        <w:t>II.</w:t>
      </w:r>
      <w:r>
        <w:br/>
        <w:t>Řešení projektu</w:t>
      </w:r>
    </w:p>
    <w:p w14:paraId="115B7711" w14:textId="1D83058F" w:rsidR="00EE64BC" w:rsidRDefault="00EE64BC" w:rsidP="00EE64BC">
      <w:r>
        <w:t>1.</w:t>
      </w:r>
      <w:r>
        <w:tab/>
        <w:t>Řešení pr</w:t>
      </w:r>
      <w:r w:rsidR="00FD57C2">
        <w:t>ojektu je rozloženo do období let</w:t>
      </w:r>
      <w:r>
        <w:t xml:space="preserve"> </w:t>
      </w:r>
      <w:r w:rsidR="004A5E14">
        <w:t>20</w:t>
      </w:r>
      <w:r w:rsidR="00F93BCD">
        <w:t>21</w:t>
      </w:r>
      <w:r w:rsidR="00D93FE3">
        <w:t>–</w:t>
      </w:r>
      <w:r w:rsidR="00FD57C2">
        <w:t>2</w:t>
      </w:r>
      <w:r w:rsidR="00A065E7">
        <w:t>024</w:t>
      </w:r>
      <w:r w:rsidR="00FD57C2">
        <w:t>.</w:t>
      </w:r>
    </w:p>
    <w:p w14:paraId="7CF3819E" w14:textId="3508A7DB" w:rsidR="00EE64BC" w:rsidRDefault="00EE64BC" w:rsidP="00EE64BC">
      <w:r>
        <w:t>2.</w:t>
      </w:r>
      <w:r>
        <w:tab/>
        <w:t xml:space="preserve">Předmětem řešení projektu je </w:t>
      </w:r>
      <w:r w:rsidR="00AA0EC4">
        <w:rPr>
          <w:color w:val="000000"/>
        </w:rPr>
        <w:t>v</w:t>
      </w:r>
      <w:r w:rsidR="00AA0EC4">
        <w:t xml:space="preserve">ýzkum a experimentální vývoj technologií pro efektivní vyhledávání, analýzu a zpracování informací a vytvoření prototypu systému, který bude tyto úkoly pomáhat řešit a sloužit jako podpora pro rozhodování. </w:t>
      </w:r>
    </w:p>
    <w:p w14:paraId="24C08CAF" w14:textId="4ACB8D38" w:rsidR="00EE64BC" w:rsidRDefault="00EE64BC" w:rsidP="00EE64BC">
      <w:r>
        <w:t>3.</w:t>
      </w:r>
      <w:r>
        <w:tab/>
        <w:t>Cíle projektu</w:t>
      </w:r>
      <w:r w:rsidRPr="009E3EE8">
        <w:t xml:space="preserve">: </w:t>
      </w:r>
      <w:r w:rsidR="00AF5B78">
        <w:t xml:space="preserve">Hlavním </w:t>
      </w:r>
      <w:r w:rsidR="00AF5B78">
        <w:rPr>
          <w:rStyle w:val="value"/>
        </w:rPr>
        <w:t>c</w:t>
      </w:r>
      <w:r w:rsidR="009E3EE8" w:rsidRPr="009E3EE8">
        <w:rPr>
          <w:rStyle w:val="value"/>
        </w:rPr>
        <w:t>ílem projektu</w:t>
      </w:r>
      <w:r w:rsidR="009E3EE8">
        <w:rPr>
          <w:rStyle w:val="value"/>
        </w:rPr>
        <w:t xml:space="preserve"> je vytvoření multilingválního asistenčního nástroje pro podporu rozhodování a přípravu informativních textů vysoké kvality. Asistent bude zpracovávat dostupné informace v běžně užívaných formátech a podporovaných jazycích, budovat z nich znalostní bázi, odpovídat uživateli na dotazy nad ní a do</w:t>
      </w:r>
      <w:r w:rsidR="00AF5B78">
        <w:rPr>
          <w:rStyle w:val="value"/>
        </w:rPr>
        <w:t>hledávat podporu pro výsledky v </w:t>
      </w:r>
      <w:r w:rsidR="009E3EE8">
        <w:rPr>
          <w:rStyle w:val="value"/>
        </w:rPr>
        <w:t>indexovaných dokumentech.</w:t>
      </w:r>
    </w:p>
    <w:p w14:paraId="09E1CC0D" w14:textId="281C3AE7" w:rsidR="00EE64BC" w:rsidRDefault="00EE64BC" w:rsidP="00EE64BC">
      <w:r>
        <w:t>4.</w:t>
      </w:r>
      <w:r>
        <w:tab/>
        <w:t>Předpokládané výsledky:</w:t>
      </w:r>
    </w:p>
    <w:p w14:paraId="3F3C63FB" w14:textId="77777777" w:rsidR="00113342" w:rsidRDefault="009E3EE8" w:rsidP="00A32886">
      <w:pPr>
        <w:pStyle w:val="Odstavecseseznamem"/>
        <w:numPr>
          <w:ilvl w:val="0"/>
          <w:numId w:val="12"/>
        </w:numPr>
        <w:tabs>
          <w:tab w:val="clear" w:pos="425"/>
          <w:tab w:val="left" w:pos="0"/>
        </w:tabs>
        <w:spacing w:after="0"/>
        <w:ind w:left="714" w:hanging="357"/>
        <w:jc w:val="left"/>
        <w:rPr>
          <w:rStyle w:val="value"/>
        </w:rPr>
      </w:pPr>
      <w:r>
        <w:rPr>
          <w:rStyle w:val="value"/>
        </w:rPr>
        <w:t>Druh výsledku: R – Software, Identifikační číslo: FW03010656-V1</w:t>
      </w:r>
    </w:p>
    <w:p w14:paraId="103731FD" w14:textId="0AD45C7E" w:rsidR="009E3EE8" w:rsidRDefault="009E3EE8" w:rsidP="00A32886">
      <w:pPr>
        <w:tabs>
          <w:tab w:val="clear" w:pos="425"/>
          <w:tab w:val="left" w:pos="0"/>
        </w:tabs>
        <w:ind w:left="720" w:firstLine="0"/>
        <w:jc w:val="left"/>
        <w:rPr>
          <w:rStyle w:val="value"/>
        </w:rPr>
      </w:pPr>
      <w:r>
        <w:rPr>
          <w:rStyle w:val="value"/>
        </w:rPr>
        <w:t>Název: Multilingvální asistent pro hledání, analýzu a zpracování informací a podporu rozhodování</w:t>
      </w:r>
    </w:p>
    <w:p w14:paraId="4DE813E9" w14:textId="77777777" w:rsidR="00113342" w:rsidRDefault="007D6EA7" w:rsidP="00A32886">
      <w:pPr>
        <w:pStyle w:val="Odstavecseseznamem"/>
        <w:numPr>
          <w:ilvl w:val="0"/>
          <w:numId w:val="12"/>
        </w:numPr>
        <w:tabs>
          <w:tab w:val="clear" w:pos="425"/>
          <w:tab w:val="left" w:pos="0"/>
        </w:tabs>
        <w:spacing w:after="0"/>
        <w:ind w:left="714" w:hanging="357"/>
        <w:jc w:val="left"/>
        <w:rPr>
          <w:rStyle w:val="value"/>
        </w:rPr>
      </w:pPr>
      <w:r>
        <w:rPr>
          <w:rStyle w:val="value"/>
        </w:rPr>
        <w:t>Druh výsledku: R – Software, Identifikační číslo: FW03010656-V2</w:t>
      </w:r>
    </w:p>
    <w:p w14:paraId="23125F76" w14:textId="3D08AFCB" w:rsidR="00A32886" w:rsidRDefault="007D6EA7" w:rsidP="00A32886">
      <w:pPr>
        <w:pStyle w:val="Odstavecseseznamem"/>
        <w:tabs>
          <w:tab w:val="clear" w:pos="425"/>
          <w:tab w:val="left" w:pos="0"/>
        </w:tabs>
        <w:ind w:firstLine="0"/>
        <w:jc w:val="left"/>
        <w:rPr>
          <w:rStyle w:val="value"/>
        </w:rPr>
      </w:pPr>
      <w:r>
        <w:rPr>
          <w:rStyle w:val="value"/>
        </w:rPr>
        <w:t>Název: Software pro generování textu ze zadaných informací</w:t>
      </w:r>
    </w:p>
    <w:p w14:paraId="1CE02CAE" w14:textId="77777777" w:rsidR="00113342" w:rsidRDefault="007D6EA7" w:rsidP="00A32886">
      <w:pPr>
        <w:pStyle w:val="Odstavecseseznamem"/>
        <w:numPr>
          <w:ilvl w:val="0"/>
          <w:numId w:val="12"/>
        </w:numPr>
        <w:tabs>
          <w:tab w:val="clear" w:pos="425"/>
          <w:tab w:val="left" w:pos="0"/>
        </w:tabs>
        <w:spacing w:before="120" w:after="0"/>
        <w:ind w:left="714" w:hanging="357"/>
        <w:jc w:val="left"/>
        <w:rPr>
          <w:rStyle w:val="value"/>
        </w:rPr>
      </w:pPr>
      <w:r>
        <w:rPr>
          <w:rStyle w:val="value"/>
        </w:rPr>
        <w:t>Druh výsledku: R – Software, Identifikační číslo: FW03010656-V3</w:t>
      </w:r>
    </w:p>
    <w:p w14:paraId="67A46E82" w14:textId="5F1ED74A" w:rsidR="007D6EA7" w:rsidRDefault="007D6EA7" w:rsidP="00113342">
      <w:pPr>
        <w:pStyle w:val="Odstavecseseznamem"/>
        <w:tabs>
          <w:tab w:val="clear" w:pos="425"/>
          <w:tab w:val="left" w:pos="0"/>
        </w:tabs>
        <w:ind w:firstLine="0"/>
        <w:jc w:val="left"/>
        <w:rPr>
          <w:rStyle w:val="value"/>
        </w:rPr>
      </w:pPr>
      <w:r>
        <w:rPr>
          <w:rStyle w:val="value"/>
        </w:rPr>
        <w:t>Název: Software pro kombinování strukturovaných informací a textu, reprezentaci významu a odpovídání na otázky</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09DF4E42" w:rsidR="00EE64BC" w:rsidRDefault="00EE64BC" w:rsidP="00EE64BC">
      <w:r>
        <w:t>1.</w:t>
      </w:r>
      <w:r>
        <w:tab/>
        <w:t>Smluvní strany se za účelem naplnění předmětu smlouvy vymezeného výše zavazují spolupracovat tak, že zajistí spolupráci řešitele a dalšího řešitele (příp. dalších pověřených osob</w:t>
      </w:r>
      <w:r w:rsidR="00D7196F">
        <w:t xml:space="preserve"> jak jsou uvedeny v projektu</w:t>
      </w:r>
      <w:r>
        <w:t>) na řešení následujících úkolů v rámci projektu:</w:t>
      </w:r>
    </w:p>
    <w:p w14:paraId="32FCD535" w14:textId="77777777" w:rsidR="00C0049E" w:rsidRDefault="00C0049E" w:rsidP="00C0049E">
      <w:pPr>
        <w:pStyle w:val="Odstavecseseznamem"/>
        <w:numPr>
          <w:ilvl w:val="0"/>
          <w:numId w:val="11"/>
        </w:numPr>
      </w:pPr>
      <w:r>
        <w:t>sumarizace textu – vytvoření modulů schopných ze vstupního textu extrahovat jen nejdůležitější informace, a to jak extraktivním přístupem (s FIT), tak abstraktivním (s MFF);</w:t>
      </w:r>
    </w:p>
    <w:p w14:paraId="623C28AE" w14:textId="4776435F" w:rsidR="00C0049E" w:rsidRDefault="00C0049E" w:rsidP="00C0049E">
      <w:pPr>
        <w:pStyle w:val="Odstavecseseznamem"/>
        <w:numPr>
          <w:ilvl w:val="0"/>
          <w:numId w:val="11"/>
        </w:numPr>
      </w:pPr>
      <w:r>
        <w:t>generování textu na základě zadaných podkladů – vytvoření modulu schopného podle množiny zadaných textů vygenerovat kompaktní text obsahující co nejvíce z informací obsažených ve vstupní množině, s eventuál</w:t>
      </w:r>
      <w:r w:rsidR="002730FD">
        <w:t>ním zaměřením na informace určité</w:t>
      </w:r>
      <w:r>
        <w:t xml:space="preserve">ho typu </w:t>
      </w:r>
      <w:r w:rsidR="00322D5B">
        <w:t xml:space="preserve">nebo </w:t>
      </w:r>
      <w:r>
        <w:t>tématu, a případně s možností vypuštění starých informací z výsledného textu (s MFF);</w:t>
      </w:r>
      <w:bookmarkStart w:id="0" w:name="_GoBack"/>
      <w:bookmarkEnd w:id="0"/>
    </w:p>
    <w:p w14:paraId="7EF169A3" w14:textId="77777777" w:rsidR="00C0049E" w:rsidRDefault="00C0049E" w:rsidP="00C0049E">
      <w:pPr>
        <w:pStyle w:val="Odstavecseseznamem"/>
        <w:numPr>
          <w:ilvl w:val="0"/>
          <w:numId w:val="11"/>
        </w:numPr>
      </w:pPr>
      <w:r>
        <w:t>opinion mining – vytvoření modulu pro hodnocení sentimentu textu a extrakci informací často asociovaných s konkrétním sentimentem (s FIT i MFF);</w:t>
      </w:r>
    </w:p>
    <w:p w14:paraId="13B35EC5" w14:textId="77777777" w:rsidR="00C0049E" w:rsidRDefault="00C0049E" w:rsidP="00C0049E">
      <w:pPr>
        <w:pStyle w:val="Odstavecseseznamem"/>
        <w:numPr>
          <w:ilvl w:val="0"/>
          <w:numId w:val="11"/>
        </w:numPr>
      </w:pPr>
      <w:r>
        <w:t>analýza textu – vytvoření modulů pro obohacení analýzy textu specifickou informací, například sémantickými trojicemi (s MFF), odkazy do textu (s MFF), odkazy na entity (s FIT) a podobně;</w:t>
      </w:r>
    </w:p>
    <w:p w14:paraId="213940D8" w14:textId="2991EB8E" w:rsidR="00EE64BC" w:rsidRDefault="00C0049E" w:rsidP="00C0049E">
      <w:pPr>
        <w:pStyle w:val="Odstavecseseznamem"/>
        <w:numPr>
          <w:ilvl w:val="0"/>
          <w:numId w:val="11"/>
        </w:numPr>
      </w:pPr>
      <w:r>
        <w:t>odpovídání na otázky – vytvoření modulu pro zodpovídání dotazů na základě systémem zpracovaných (indexovaných, aktivně nalezených, nebo uživatelem vložených) textů (s FIT).</w:t>
      </w:r>
    </w:p>
    <w:p w14:paraId="4E0DB441" w14:textId="77777777" w:rsidR="00C0049E" w:rsidRDefault="00C0049E" w:rsidP="00EE64BC"/>
    <w:p w14:paraId="7C2705A9" w14:textId="77777777" w:rsidR="00A32886" w:rsidRDefault="00A32886">
      <w:pPr>
        <w:tabs>
          <w:tab w:val="clear" w:pos="425"/>
        </w:tabs>
        <w:spacing w:after="160" w:line="259" w:lineRule="auto"/>
        <w:ind w:left="0" w:firstLine="0"/>
        <w:jc w:val="left"/>
        <w:rPr>
          <w:b/>
        </w:rPr>
      </w:pPr>
      <w:r>
        <w:br w:type="page"/>
      </w:r>
    </w:p>
    <w:p w14:paraId="2C797324" w14:textId="08353460" w:rsidR="00EE64BC" w:rsidRPr="007663C2" w:rsidRDefault="00EE64BC" w:rsidP="008516B3">
      <w:pPr>
        <w:pStyle w:val="Nadpis2"/>
      </w:pPr>
      <w:r>
        <w:lastRenderedPageBreak/>
        <w:t>IV.</w:t>
      </w:r>
      <w:r>
        <w:br/>
        <w:t>Finanční zajištění projektu</w:t>
      </w:r>
    </w:p>
    <w:p w14:paraId="26065AE5" w14:textId="77777777" w:rsidR="009E3EE8" w:rsidRDefault="00EE64BC" w:rsidP="00EE64BC">
      <w:r>
        <w:t>1.</w:t>
      </w:r>
      <w:r>
        <w:tab/>
        <w:t xml:space="preserve">Příjemce se na základě této smlouvy zavazuje </w:t>
      </w:r>
    </w:p>
    <w:p w14:paraId="4A42E94B" w14:textId="6B943105" w:rsidR="00EE64BC" w:rsidRPr="006D6F37" w:rsidRDefault="009E3EE8" w:rsidP="002730FD">
      <w:pPr>
        <w:spacing w:after="0"/>
      </w:pPr>
      <w:r>
        <w:tab/>
      </w:r>
      <w:r w:rsidR="00EE64BC">
        <w:t xml:space="preserve">dalšímu účastníku projektu </w:t>
      </w:r>
      <w:r w:rsidR="001A0528">
        <w:t xml:space="preserve">1 </w:t>
      </w:r>
      <w:r w:rsidR="00EE64BC">
        <w:t>převést na řešení výše uvedené věcné náplně projektu neinvestiční úče</w:t>
      </w:r>
      <w:r w:rsidR="00EE64BC" w:rsidRPr="006D6F37">
        <w:t xml:space="preserve">lové finanční prostředky ve výši </w:t>
      </w:r>
      <w:r w:rsidR="001B0EF8" w:rsidRPr="006D6F37">
        <w:rPr>
          <w:b/>
        </w:rPr>
        <w:t>5 141 250</w:t>
      </w:r>
      <w:r w:rsidR="00EE64BC" w:rsidRPr="006D6F37">
        <w:rPr>
          <w:b/>
        </w:rPr>
        <w:t xml:space="preserve">,- Kč, </w:t>
      </w:r>
      <w:r w:rsidR="006D6F37" w:rsidRPr="006D6F37">
        <w:t>a to</w:t>
      </w:r>
    </w:p>
    <w:p w14:paraId="0896D988" w14:textId="70E15254" w:rsidR="00681CE9" w:rsidRPr="006D6F37" w:rsidRDefault="00EE64BC" w:rsidP="006D6F37">
      <w:pPr>
        <w:pStyle w:val="Odstavecseseznamem"/>
        <w:numPr>
          <w:ilvl w:val="0"/>
          <w:numId w:val="9"/>
        </w:numPr>
        <w:jc w:val="left"/>
      </w:pPr>
      <w:r w:rsidRPr="006D6F37">
        <w:t>v roce 20</w:t>
      </w:r>
      <w:r w:rsidR="000E725C" w:rsidRPr="006D6F37">
        <w:t>2</w:t>
      </w:r>
      <w:r w:rsidR="00F93BCD" w:rsidRPr="006D6F37">
        <w:t>1</w:t>
      </w:r>
      <w:r w:rsidRPr="006D6F37">
        <w:t xml:space="preserve"> ve výši </w:t>
      </w:r>
      <w:r w:rsidR="005A1265" w:rsidRPr="006D6F37">
        <w:t>1 260 000,-</w:t>
      </w:r>
      <w:r w:rsidRPr="006D6F37">
        <w:t xml:space="preserve"> Kč</w:t>
      </w:r>
      <w:r w:rsidR="00681CE9" w:rsidRPr="006D6F37">
        <w:t xml:space="preserve">, </w:t>
      </w:r>
    </w:p>
    <w:p w14:paraId="34A17163" w14:textId="6005EEE3" w:rsidR="00681CE9" w:rsidRPr="006D6F37" w:rsidRDefault="00681CE9" w:rsidP="006D6F37">
      <w:pPr>
        <w:pStyle w:val="Odstavecseseznamem"/>
        <w:numPr>
          <w:ilvl w:val="0"/>
          <w:numId w:val="9"/>
        </w:numPr>
        <w:jc w:val="left"/>
      </w:pPr>
      <w:r w:rsidRPr="006D6F37">
        <w:t>v roce 20</w:t>
      </w:r>
      <w:r w:rsidR="00067C7C" w:rsidRPr="006D6F37">
        <w:t>2</w:t>
      </w:r>
      <w:r w:rsidR="00F93BCD" w:rsidRPr="006D6F37">
        <w:t>2</w:t>
      </w:r>
      <w:r w:rsidRPr="006D6F37">
        <w:t xml:space="preserve"> ve výši </w:t>
      </w:r>
      <w:r w:rsidR="005A1265" w:rsidRPr="006D6F37">
        <w:t>1 631 250</w:t>
      </w:r>
      <w:r w:rsidRPr="006D6F37">
        <w:t>,-</w:t>
      </w:r>
      <w:r w:rsidR="008C1BE3">
        <w:t xml:space="preserve"> </w:t>
      </w:r>
      <w:r w:rsidRPr="006D6F37">
        <w:t>Kč,</w:t>
      </w:r>
    </w:p>
    <w:p w14:paraId="03FCCB73" w14:textId="5EAA5BF2" w:rsidR="00EE64BC" w:rsidRPr="006D6F37" w:rsidRDefault="001A0528" w:rsidP="006D6F37">
      <w:pPr>
        <w:pStyle w:val="Odstavecseseznamem"/>
        <w:numPr>
          <w:ilvl w:val="0"/>
          <w:numId w:val="9"/>
        </w:numPr>
        <w:jc w:val="left"/>
      </w:pPr>
      <w:r w:rsidRPr="006D6F37">
        <w:t>v roce 2023</w:t>
      </w:r>
      <w:r w:rsidR="00681CE9" w:rsidRPr="006D6F37">
        <w:t xml:space="preserve"> ve výši </w:t>
      </w:r>
      <w:r w:rsidR="005A1265" w:rsidRPr="006D6F37">
        <w:t>1 687 500</w:t>
      </w:r>
      <w:r w:rsidR="00681CE9" w:rsidRPr="006D6F37">
        <w:t>,-</w:t>
      </w:r>
      <w:r w:rsidR="008C1BE3">
        <w:t xml:space="preserve"> </w:t>
      </w:r>
      <w:r w:rsidR="00681CE9" w:rsidRPr="006D6F37">
        <w:t>Kč</w:t>
      </w:r>
      <w:r w:rsidRPr="006D6F37">
        <w:t>,</w:t>
      </w:r>
    </w:p>
    <w:p w14:paraId="68FABD2A" w14:textId="699A11F7" w:rsidR="009E3EE8" w:rsidRPr="006D6F37" w:rsidRDefault="001A0528" w:rsidP="006D6F37">
      <w:pPr>
        <w:pStyle w:val="Odstavecseseznamem"/>
        <w:numPr>
          <w:ilvl w:val="0"/>
          <w:numId w:val="9"/>
        </w:numPr>
        <w:jc w:val="left"/>
      </w:pPr>
      <w:r w:rsidRPr="006D6F37">
        <w:t>v roce 2024</w:t>
      </w:r>
      <w:r w:rsidR="005A1265" w:rsidRPr="006D6F37">
        <w:t xml:space="preserve"> ve výši </w:t>
      </w:r>
      <w:r w:rsidR="002730FD">
        <w:t xml:space="preserve">   </w:t>
      </w:r>
      <w:r w:rsidR="005A1265" w:rsidRPr="006D6F37">
        <w:t>562 500</w:t>
      </w:r>
      <w:r w:rsidRPr="006D6F37">
        <w:t>,-</w:t>
      </w:r>
      <w:r w:rsidR="008C1BE3">
        <w:t xml:space="preserve"> </w:t>
      </w:r>
      <w:r w:rsidRPr="006D6F37">
        <w:t>Kč</w:t>
      </w:r>
      <w:r w:rsidR="009E3EE8" w:rsidRPr="006D6F37">
        <w:t>;</w:t>
      </w:r>
    </w:p>
    <w:p w14:paraId="5CCBED6C" w14:textId="64FF230C" w:rsidR="009E3EE8" w:rsidRPr="006D6F37" w:rsidRDefault="006D6F37" w:rsidP="002730FD">
      <w:pPr>
        <w:spacing w:after="0"/>
      </w:pPr>
      <w:r>
        <w:tab/>
      </w:r>
      <w:r w:rsidR="009E3EE8" w:rsidRPr="006D6F37">
        <w:t xml:space="preserve">dalšímu účastníku projektu 2 převést na řešení výše uvedené věcné náplně projektu neinvestiční účelové finanční prostředky ve výši </w:t>
      </w:r>
      <w:r w:rsidR="001B0EF8" w:rsidRPr="006D6F37">
        <w:rPr>
          <w:b/>
        </w:rPr>
        <w:t>3 920 625</w:t>
      </w:r>
      <w:r w:rsidR="009E3EE8" w:rsidRPr="006D6F37">
        <w:rPr>
          <w:b/>
        </w:rPr>
        <w:t xml:space="preserve">,- Kč, </w:t>
      </w:r>
      <w:r w:rsidRPr="006D6F37">
        <w:t>a to</w:t>
      </w:r>
    </w:p>
    <w:p w14:paraId="166034A9" w14:textId="160D2871" w:rsidR="009E3EE8" w:rsidRPr="006D6F37" w:rsidRDefault="009E3EE8" w:rsidP="006D6F37">
      <w:pPr>
        <w:pStyle w:val="Odstavecseseznamem"/>
        <w:numPr>
          <w:ilvl w:val="0"/>
          <w:numId w:val="8"/>
        </w:numPr>
        <w:jc w:val="left"/>
      </w:pPr>
      <w:r w:rsidRPr="006D6F37">
        <w:t>v roce 2021</w:t>
      </w:r>
      <w:r w:rsidR="001B0EF8" w:rsidRPr="006D6F37">
        <w:t xml:space="preserve"> ve výši 1 114 875</w:t>
      </w:r>
      <w:r w:rsidRPr="006D6F37">
        <w:t xml:space="preserve">,- Kč, </w:t>
      </w:r>
    </w:p>
    <w:p w14:paraId="03D0E481" w14:textId="460E84F7" w:rsidR="009E3EE8" w:rsidRPr="006D6F37" w:rsidRDefault="009E3EE8" w:rsidP="006D6F37">
      <w:pPr>
        <w:pStyle w:val="Odstavecseseznamem"/>
        <w:numPr>
          <w:ilvl w:val="0"/>
          <w:numId w:val="8"/>
        </w:numPr>
        <w:jc w:val="left"/>
      </w:pPr>
      <w:r w:rsidRPr="006D6F37">
        <w:t>v roce 2022</w:t>
      </w:r>
      <w:r w:rsidR="001B0EF8" w:rsidRPr="006D6F37">
        <w:t xml:space="preserve"> ve výši 1 167 750</w:t>
      </w:r>
      <w:r w:rsidRPr="006D6F37">
        <w:t>,-</w:t>
      </w:r>
      <w:r w:rsidR="008C1BE3">
        <w:t xml:space="preserve"> </w:t>
      </w:r>
      <w:r w:rsidRPr="006D6F37">
        <w:t>Kč,</w:t>
      </w:r>
    </w:p>
    <w:p w14:paraId="7FDAE9AC" w14:textId="360FC5CF" w:rsidR="009E3EE8" w:rsidRPr="006D6F37" w:rsidRDefault="009E3EE8" w:rsidP="006D6F37">
      <w:pPr>
        <w:pStyle w:val="Odstavecseseznamem"/>
        <w:numPr>
          <w:ilvl w:val="0"/>
          <w:numId w:val="8"/>
        </w:numPr>
        <w:jc w:val="left"/>
      </w:pPr>
      <w:r w:rsidRPr="006D6F37">
        <w:t>v roce 2023</w:t>
      </w:r>
      <w:r w:rsidR="001B0EF8" w:rsidRPr="006D6F37">
        <w:t xml:space="preserve"> ve výši 1 224 000</w:t>
      </w:r>
      <w:r w:rsidRPr="006D6F37">
        <w:t>,-</w:t>
      </w:r>
      <w:r w:rsidR="008C1BE3">
        <w:t xml:space="preserve"> </w:t>
      </w:r>
      <w:r w:rsidRPr="006D6F37">
        <w:t>Kč,</w:t>
      </w:r>
    </w:p>
    <w:p w14:paraId="1BAC56DE" w14:textId="56B02E76" w:rsidR="001A0528" w:rsidRDefault="009E3EE8" w:rsidP="002730FD">
      <w:pPr>
        <w:pStyle w:val="Odstavecseseznamem"/>
        <w:numPr>
          <w:ilvl w:val="0"/>
          <w:numId w:val="8"/>
        </w:numPr>
        <w:jc w:val="left"/>
      </w:pPr>
      <w:r w:rsidRPr="006D6F37">
        <w:t>v roce 2024</w:t>
      </w:r>
      <w:r w:rsidR="001B0EF8" w:rsidRPr="006D6F37">
        <w:t xml:space="preserve"> ve výši </w:t>
      </w:r>
      <w:r w:rsidR="002730FD">
        <w:t xml:space="preserve">   </w:t>
      </w:r>
      <w:r w:rsidR="001B0EF8" w:rsidRPr="006D6F37">
        <w:t>414 000</w:t>
      </w:r>
      <w:r w:rsidRPr="006D6F37">
        <w:t>,-</w:t>
      </w:r>
      <w:r w:rsidR="008C1BE3">
        <w:t xml:space="preserve"> </w:t>
      </w:r>
      <w:r w:rsidRPr="006D6F37">
        <w:t>Kč.</w:t>
      </w:r>
    </w:p>
    <w:p w14:paraId="1415AF28" w14:textId="27540746" w:rsidR="00EE64BC" w:rsidRDefault="00EE64BC" w:rsidP="00EE64BC">
      <w:r>
        <w:t>2.</w:t>
      </w:r>
      <w:r>
        <w:tab/>
        <w:t>Účelové finanční prostředky je p</w:t>
      </w:r>
      <w:r w:rsidR="00A065E7">
        <w:t>říjemce povinen dalším účastníkům</w:t>
      </w:r>
      <w:r>
        <w:t xml:space="preserve"> projektu uhradit vždy</w:t>
      </w:r>
      <w:r w:rsidR="001A0528">
        <w:t xml:space="preserve"> bezhotovostním převodem na jejich</w:t>
      </w:r>
      <w:r>
        <w:t xml:space="preserve">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4D495136" w:rsidR="00EE64BC" w:rsidRDefault="00EE64BC" w:rsidP="00EE64BC">
      <w:r>
        <w:t>5.</w:t>
      </w:r>
      <w:r>
        <w:tab/>
        <w:t>Účelové finanční prostředky dle tét</w:t>
      </w:r>
      <w:r w:rsidR="001A0528">
        <w:t>o smlouvy jsou příjemcem dalším účastníkům projekt</w:t>
      </w:r>
      <w:r w:rsidR="00113342">
        <w:t>u</w:t>
      </w:r>
      <w:r>
        <w:t xml:space="preserve"> poskytovány na úhradu skutečně vynaložených provozních nákladů účelově vymezených touto smlouvou.</w:t>
      </w:r>
    </w:p>
    <w:p w14:paraId="0F4DD132" w14:textId="77777777" w:rsidR="00EE64BC" w:rsidRDefault="00EE64BC" w:rsidP="002730FD">
      <w:pPr>
        <w:spacing w:after="0"/>
      </w:pPr>
      <w:r>
        <w:t>6.</w:t>
      </w:r>
      <w:r>
        <w:tab/>
        <w:t>Smluvní strany ujednávají, že jejich finanční vklad do spolupráce na řešení projektu je:</w:t>
      </w:r>
    </w:p>
    <w:p w14:paraId="375F2622" w14:textId="10BD75FD" w:rsidR="00EE64BC" w:rsidRDefault="00EE64BC" w:rsidP="00EE64BC">
      <w:pPr>
        <w:pStyle w:val="Odstavecseseznamem"/>
        <w:numPr>
          <w:ilvl w:val="0"/>
          <w:numId w:val="7"/>
        </w:numPr>
        <w:tabs>
          <w:tab w:val="clear" w:pos="425"/>
        </w:tabs>
      </w:pPr>
      <w:r>
        <w:t xml:space="preserve">ze strany </w:t>
      </w:r>
      <w:r w:rsidR="001A0528">
        <w:t>příjemc</w:t>
      </w:r>
      <w:r>
        <w:t xml:space="preserve">e: </w:t>
      </w:r>
      <w:r w:rsidR="001D159F">
        <w:tab/>
      </w:r>
      <w:r w:rsidR="001D159F">
        <w:tab/>
      </w:r>
      <w:r w:rsidR="001D159F">
        <w:tab/>
        <w:t xml:space="preserve">        </w:t>
      </w:r>
      <w:r w:rsidR="001D159F" w:rsidRPr="001D159F">
        <w:rPr>
          <w:b/>
        </w:rPr>
        <w:t>8 413 730 Kč</w:t>
      </w:r>
    </w:p>
    <w:p w14:paraId="5846BE51" w14:textId="2D17670E" w:rsidR="00EE64BC" w:rsidRDefault="00EE64BC" w:rsidP="00EE64BC">
      <w:pPr>
        <w:pStyle w:val="Odstavecseseznamem"/>
        <w:numPr>
          <w:ilvl w:val="0"/>
          <w:numId w:val="7"/>
        </w:numPr>
        <w:tabs>
          <w:tab w:val="clear" w:pos="425"/>
        </w:tabs>
      </w:pPr>
      <w:r>
        <w:t>ze strany dalšího účastníka projektu</w:t>
      </w:r>
      <w:r w:rsidR="001D159F">
        <w:tab/>
        <w:t xml:space="preserve"> 1</w:t>
      </w:r>
      <w:r w:rsidR="001D159F">
        <w:tab/>
      </w:r>
      <w:r w:rsidR="001D159F" w:rsidRPr="001D159F">
        <w:rPr>
          <w:b/>
        </w:rPr>
        <w:t>571 250 Kč</w:t>
      </w:r>
    </w:p>
    <w:p w14:paraId="2F99DF8C" w14:textId="0EEBADEC" w:rsidR="001A0528" w:rsidRDefault="001A0528" w:rsidP="001A0528">
      <w:pPr>
        <w:pStyle w:val="Odstavecseseznamem"/>
        <w:numPr>
          <w:ilvl w:val="0"/>
          <w:numId w:val="7"/>
        </w:numPr>
        <w:tabs>
          <w:tab w:val="clear" w:pos="425"/>
        </w:tabs>
      </w:pPr>
      <w:r>
        <w:t>ze strany dalšího účastníka projektu 2</w:t>
      </w:r>
      <w:r w:rsidR="001D159F">
        <w:t> </w:t>
      </w:r>
      <w:r w:rsidR="001D159F">
        <w:tab/>
      </w:r>
      <w:r w:rsidR="001D159F" w:rsidRPr="001D159F">
        <w:rPr>
          <w:b/>
        </w:rPr>
        <w:t>435 625 Kč</w:t>
      </w:r>
    </w:p>
    <w:p w14:paraId="44D4B7BE" w14:textId="77777777" w:rsidR="001A0528" w:rsidRDefault="001A0528" w:rsidP="001A0528">
      <w:pPr>
        <w:pStyle w:val="Odstavecseseznamem"/>
        <w:tabs>
          <w:tab w:val="clear" w:pos="425"/>
        </w:tabs>
        <w:ind w:firstLine="0"/>
      </w:pPr>
    </w:p>
    <w:tbl>
      <w:tblPr>
        <w:tblW w:w="8946" w:type="dxa"/>
        <w:tblInd w:w="55" w:type="dxa"/>
        <w:tblCellMar>
          <w:left w:w="70" w:type="dxa"/>
          <w:right w:w="70" w:type="dxa"/>
        </w:tblCellMar>
        <w:tblLook w:val="04A0" w:firstRow="1" w:lastRow="0" w:firstColumn="1" w:lastColumn="0" w:noHBand="0" w:noVBand="1"/>
      </w:tblPr>
      <w:tblGrid>
        <w:gridCol w:w="1846"/>
        <w:gridCol w:w="1409"/>
        <w:gridCol w:w="986"/>
        <w:gridCol w:w="1408"/>
        <w:gridCol w:w="1029"/>
        <w:gridCol w:w="1417"/>
        <w:gridCol w:w="851"/>
      </w:tblGrid>
      <w:tr w:rsidR="00476D66" w:rsidRPr="00476D66" w14:paraId="0A6ECAB3" w14:textId="77777777" w:rsidTr="00476D66">
        <w:trPr>
          <w:trHeight w:val="290"/>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DAEB" w14:textId="77777777" w:rsidR="00476D66" w:rsidRPr="00476D66" w:rsidRDefault="00476D66" w:rsidP="00476D66">
            <w:pPr>
              <w:tabs>
                <w:tab w:val="clear" w:pos="425"/>
              </w:tabs>
              <w:spacing w:after="0"/>
              <w:ind w:left="0" w:firstLine="0"/>
              <w:jc w:val="left"/>
              <w:rPr>
                <w:rFonts w:ascii="Calibri" w:eastAsia="Times New Roman" w:hAnsi="Calibri" w:cs="Calibri"/>
                <w:color w:val="000000"/>
                <w:lang w:eastAsia="cs-CZ"/>
              </w:rPr>
            </w:pPr>
            <w:r w:rsidRPr="00476D66">
              <w:rPr>
                <w:rFonts w:ascii="Calibri" w:eastAsia="Times New Roman" w:hAnsi="Calibri" w:cs="Calibri"/>
                <w:color w:val="000000"/>
                <w:lang w:eastAsia="cs-CZ"/>
              </w:rPr>
              <w:t>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C95557" w14:textId="77777777" w:rsidR="00476D66" w:rsidRPr="00476D66" w:rsidRDefault="00476D66"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náklady</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6BDBE111" w14:textId="77777777" w:rsidR="00476D66" w:rsidRPr="00476D66" w:rsidRDefault="00476D66"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podíl</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14:paraId="6D5629AE" w14:textId="297F6F3B" w:rsidR="00476D66" w:rsidRPr="00476D66" w:rsidRDefault="0001250B"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P</w:t>
            </w:r>
            <w:r w:rsidR="00476D66" w:rsidRPr="00476D66">
              <w:rPr>
                <w:rFonts w:ascii="Calibri" w:eastAsia="Times New Roman" w:hAnsi="Calibri" w:cs="Calibri"/>
                <w:bCs/>
                <w:color w:val="000000"/>
                <w:lang w:eastAsia="cs-CZ"/>
              </w:rPr>
              <w:t>odpora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1D89F69E" w14:textId="77777777" w:rsidR="00476D66" w:rsidRPr="00476D66" w:rsidRDefault="00476D66"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podíl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C6CF5C" w14:textId="77777777" w:rsidR="00476D66" w:rsidRPr="00476D66" w:rsidRDefault="00476D66"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vlastní zdroje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0DCC98" w14:textId="77777777" w:rsidR="00476D66" w:rsidRPr="00476D66" w:rsidRDefault="00476D66" w:rsidP="00476D66">
            <w:pPr>
              <w:tabs>
                <w:tab w:val="clear" w:pos="425"/>
              </w:tabs>
              <w:spacing w:after="0"/>
              <w:ind w:left="0" w:firstLine="0"/>
              <w:jc w:val="center"/>
              <w:rPr>
                <w:rFonts w:ascii="Calibri" w:eastAsia="Times New Roman" w:hAnsi="Calibri" w:cs="Calibri"/>
                <w:bCs/>
                <w:color w:val="000000"/>
                <w:lang w:eastAsia="cs-CZ"/>
              </w:rPr>
            </w:pPr>
            <w:r w:rsidRPr="00476D66">
              <w:rPr>
                <w:rFonts w:ascii="Calibri" w:eastAsia="Times New Roman" w:hAnsi="Calibri" w:cs="Calibri"/>
                <w:bCs/>
                <w:color w:val="000000"/>
                <w:lang w:eastAsia="cs-CZ"/>
              </w:rPr>
              <w:t>podíl</w:t>
            </w:r>
          </w:p>
        </w:tc>
      </w:tr>
      <w:tr w:rsidR="00476D66" w:rsidRPr="00476D66" w14:paraId="03CCC8E1" w14:textId="77777777" w:rsidTr="00476D66">
        <w:trPr>
          <w:trHeight w:val="347"/>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14:paraId="5762E2A8" w14:textId="77777777" w:rsidR="00476D66" w:rsidRPr="00476D66" w:rsidRDefault="00476D66" w:rsidP="00476D66">
            <w:pPr>
              <w:tabs>
                <w:tab w:val="clear" w:pos="425"/>
              </w:tabs>
              <w:spacing w:after="0"/>
              <w:ind w:left="0" w:firstLine="0"/>
              <w:jc w:val="left"/>
              <w:rPr>
                <w:rFonts w:ascii="Calibri" w:eastAsia="Times New Roman" w:hAnsi="Calibri" w:cs="Calibri"/>
                <w:color w:val="000000"/>
                <w:lang w:eastAsia="cs-CZ"/>
              </w:rPr>
            </w:pPr>
            <w:r w:rsidRPr="00476D66">
              <w:rPr>
                <w:rFonts w:ascii="Calibri" w:eastAsia="Times New Roman" w:hAnsi="Calibri" w:cs="Calibri"/>
                <w:color w:val="000000"/>
                <w:lang w:eastAsia="cs-CZ"/>
              </w:rPr>
              <w:t>Lingea s.r.o.</w:t>
            </w:r>
          </w:p>
        </w:tc>
        <w:tc>
          <w:tcPr>
            <w:tcW w:w="1409" w:type="dxa"/>
            <w:tcBorders>
              <w:top w:val="nil"/>
              <w:left w:val="nil"/>
              <w:bottom w:val="single" w:sz="4" w:space="0" w:color="auto"/>
              <w:right w:val="single" w:sz="4" w:space="0" w:color="auto"/>
            </w:tcBorders>
            <w:shd w:val="clear" w:color="auto" w:fill="auto"/>
            <w:vAlign w:val="center"/>
            <w:hideMark/>
          </w:tcPr>
          <w:p w14:paraId="079E38A0"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21 336 230 Kč</w:t>
            </w:r>
          </w:p>
        </w:tc>
        <w:tc>
          <w:tcPr>
            <w:tcW w:w="986" w:type="dxa"/>
            <w:tcBorders>
              <w:top w:val="nil"/>
              <w:left w:val="nil"/>
              <w:bottom w:val="single" w:sz="4" w:space="0" w:color="auto"/>
              <w:right w:val="single" w:sz="4" w:space="0" w:color="auto"/>
            </w:tcBorders>
            <w:shd w:val="clear" w:color="auto" w:fill="auto"/>
            <w:vAlign w:val="center"/>
            <w:hideMark/>
          </w:tcPr>
          <w:p w14:paraId="5BEF13B0"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67,94%</w:t>
            </w:r>
          </w:p>
        </w:tc>
        <w:tc>
          <w:tcPr>
            <w:tcW w:w="1408" w:type="dxa"/>
            <w:tcBorders>
              <w:top w:val="nil"/>
              <w:left w:val="nil"/>
              <w:bottom w:val="single" w:sz="4" w:space="0" w:color="auto"/>
              <w:right w:val="single" w:sz="4" w:space="0" w:color="auto"/>
            </w:tcBorders>
            <w:shd w:val="clear" w:color="auto" w:fill="auto"/>
            <w:vAlign w:val="center"/>
            <w:hideMark/>
          </w:tcPr>
          <w:p w14:paraId="7DD31E4D"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12 922 500 Kč</w:t>
            </w:r>
          </w:p>
        </w:tc>
        <w:tc>
          <w:tcPr>
            <w:tcW w:w="1029" w:type="dxa"/>
            <w:tcBorders>
              <w:top w:val="nil"/>
              <w:left w:val="nil"/>
              <w:bottom w:val="single" w:sz="4" w:space="0" w:color="auto"/>
              <w:right w:val="single" w:sz="4" w:space="0" w:color="auto"/>
            </w:tcBorders>
            <w:shd w:val="clear" w:color="auto" w:fill="auto"/>
            <w:vAlign w:val="center"/>
            <w:hideMark/>
          </w:tcPr>
          <w:p w14:paraId="273E683C"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58,78%</w:t>
            </w:r>
          </w:p>
        </w:tc>
        <w:tc>
          <w:tcPr>
            <w:tcW w:w="1417" w:type="dxa"/>
            <w:tcBorders>
              <w:top w:val="nil"/>
              <w:left w:val="nil"/>
              <w:bottom w:val="single" w:sz="4" w:space="0" w:color="auto"/>
              <w:right w:val="single" w:sz="4" w:space="0" w:color="auto"/>
            </w:tcBorders>
            <w:shd w:val="clear" w:color="auto" w:fill="auto"/>
            <w:vAlign w:val="center"/>
            <w:hideMark/>
          </w:tcPr>
          <w:p w14:paraId="20318DCE"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8 413 730 Kč</w:t>
            </w:r>
          </w:p>
        </w:tc>
        <w:tc>
          <w:tcPr>
            <w:tcW w:w="851" w:type="dxa"/>
            <w:tcBorders>
              <w:top w:val="nil"/>
              <w:left w:val="nil"/>
              <w:bottom w:val="single" w:sz="4" w:space="0" w:color="auto"/>
              <w:right w:val="single" w:sz="4" w:space="0" w:color="auto"/>
            </w:tcBorders>
            <w:shd w:val="clear" w:color="auto" w:fill="auto"/>
            <w:noWrap/>
            <w:vAlign w:val="bottom"/>
            <w:hideMark/>
          </w:tcPr>
          <w:p w14:paraId="2819E0AB"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39,43%</w:t>
            </w:r>
          </w:p>
        </w:tc>
      </w:tr>
      <w:tr w:rsidR="00476D66" w:rsidRPr="00476D66" w14:paraId="5D17B98B" w14:textId="77777777" w:rsidTr="00476D66">
        <w:trPr>
          <w:trHeight w:val="347"/>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5251F4A" w14:textId="20F7590D" w:rsidR="00476D66" w:rsidRPr="00476D66" w:rsidRDefault="00476D66" w:rsidP="00476D66">
            <w:pPr>
              <w:tabs>
                <w:tab w:val="clear" w:pos="425"/>
              </w:tabs>
              <w:spacing w:after="0"/>
              <w:ind w:left="0" w:firstLine="0"/>
              <w:jc w:val="left"/>
              <w:rPr>
                <w:rFonts w:ascii="Calibri" w:eastAsia="Times New Roman" w:hAnsi="Calibri" w:cs="Calibri"/>
                <w:color w:val="000000"/>
                <w:lang w:eastAsia="cs-CZ"/>
              </w:rPr>
            </w:pPr>
            <w:r>
              <w:rPr>
                <w:rFonts w:ascii="Calibri" w:eastAsia="Times New Roman" w:hAnsi="Calibri" w:cs="Calibri"/>
                <w:color w:val="000000"/>
                <w:lang w:eastAsia="cs-CZ"/>
              </w:rPr>
              <w:t>VUT</w:t>
            </w:r>
            <w:r w:rsidRPr="00476D66">
              <w:rPr>
                <w:rFonts w:ascii="Calibri" w:eastAsia="Times New Roman" w:hAnsi="Calibri" w:cs="Calibri"/>
                <w:color w:val="000000"/>
                <w:lang w:eastAsia="cs-CZ"/>
              </w:rPr>
              <w:t xml:space="preserve"> v Brně</w:t>
            </w:r>
          </w:p>
        </w:tc>
        <w:tc>
          <w:tcPr>
            <w:tcW w:w="1409" w:type="dxa"/>
            <w:tcBorders>
              <w:top w:val="nil"/>
              <w:left w:val="nil"/>
              <w:bottom w:val="single" w:sz="4" w:space="0" w:color="auto"/>
              <w:right w:val="single" w:sz="4" w:space="0" w:color="auto"/>
            </w:tcBorders>
            <w:shd w:val="clear" w:color="auto" w:fill="auto"/>
            <w:vAlign w:val="center"/>
            <w:hideMark/>
          </w:tcPr>
          <w:p w14:paraId="3C2E3D8A"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5 712 500 Kč</w:t>
            </w:r>
          </w:p>
        </w:tc>
        <w:tc>
          <w:tcPr>
            <w:tcW w:w="986" w:type="dxa"/>
            <w:tcBorders>
              <w:top w:val="nil"/>
              <w:left w:val="nil"/>
              <w:bottom w:val="single" w:sz="4" w:space="0" w:color="auto"/>
              <w:right w:val="single" w:sz="4" w:space="0" w:color="auto"/>
            </w:tcBorders>
            <w:shd w:val="clear" w:color="auto" w:fill="auto"/>
            <w:vAlign w:val="center"/>
            <w:hideMark/>
          </w:tcPr>
          <w:p w14:paraId="54FBA0F0"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18,19%</w:t>
            </w:r>
          </w:p>
        </w:tc>
        <w:tc>
          <w:tcPr>
            <w:tcW w:w="1408" w:type="dxa"/>
            <w:tcBorders>
              <w:top w:val="nil"/>
              <w:left w:val="nil"/>
              <w:bottom w:val="single" w:sz="4" w:space="0" w:color="auto"/>
              <w:right w:val="single" w:sz="4" w:space="0" w:color="auto"/>
            </w:tcBorders>
            <w:shd w:val="clear" w:color="auto" w:fill="auto"/>
            <w:vAlign w:val="center"/>
            <w:hideMark/>
          </w:tcPr>
          <w:p w14:paraId="5459EDCE"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5 141 250 Kč</w:t>
            </w:r>
          </w:p>
        </w:tc>
        <w:tc>
          <w:tcPr>
            <w:tcW w:w="1029" w:type="dxa"/>
            <w:tcBorders>
              <w:top w:val="nil"/>
              <w:left w:val="nil"/>
              <w:bottom w:val="single" w:sz="4" w:space="0" w:color="auto"/>
              <w:right w:val="single" w:sz="4" w:space="0" w:color="auto"/>
            </w:tcBorders>
            <w:shd w:val="clear" w:color="auto" w:fill="auto"/>
            <w:vAlign w:val="center"/>
            <w:hideMark/>
          </w:tcPr>
          <w:p w14:paraId="1904D0C7"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23,39%</w:t>
            </w:r>
          </w:p>
        </w:tc>
        <w:tc>
          <w:tcPr>
            <w:tcW w:w="1417" w:type="dxa"/>
            <w:tcBorders>
              <w:top w:val="nil"/>
              <w:left w:val="nil"/>
              <w:bottom w:val="single" w:sz="4" w:space="0" w:color="auto"/>
              <w:right w:val="single" w:sz="4" w:space="0" w:color="auto"/>
            </w:tcBorders>
            <w:shd w:val="clear" w:color="auto" w:fill="auto"/>
            <w:vAlign w:val="center"/>
            <w:hideMark/>
          </w:tcPr>
          <w:p w14:paraId="68CA2D12"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571 250 Kč</w:t>
            </w:r>
          </w:p>
        </w:tc>
        <w:tc>
          <w:tcPr>
            <w:tcW w:w="851" w:type="dxa"/>
            <w:tcBorders>
              <w:top w:val="nil"/>
              <w:left w:val="nil"/>
              <w:bottom w:val="single" w:sz="4" w:space="0" w:color="auto"/>
              <w:right w:val="single" w:sz="4" w:space="0" w:color="auto"/>
            </w:tcBorders>
            <w:shd w:val="clear" w:color="auto" w:fill="auto"/>
            <w:noWrap/>
            <w:vAlign w:val="bottom"/>
            <w:hideMark/>
          </w:tcPr>
          <w:p w14:paraId="2F2FF005"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10,00%</w:t>
            </w:r>
          </w:p>
        </w:tc>
      </w:tr>
      <w:tr w:rsidR="00476D66" w:rsidRPr="00476D66" w14:paraId="3128A2BE" w14:textId="77777777" w:rsidTr="00476D66">
        <w:trPr>
          <w:trHeight w:val="347"/>
        </w:trPr>
        <w:tc>
          <w:tcPr>
            <w:tcW w:w="1846" w:type="dxa"/>
            <w:tcBorders>
              <w:top w:val="nil"/>
              <w:left w:val="single" w:sz="4" w:space="0" w:color="auto"/>
              <w:bottom w:val="single" w:sz="4" w:space="0" w:color="auto"/>
              <w:right w:val="single" w:sz="4" w:space="0" w:color="auto"/>
            </w:tcBorders>
            <w:shd w:val="clear" w:color="auto" w:fill="auto"/>
            <w:vAlign w:val="center"/>
          </w:tcPr>
          <w:p w14:paraId="16149071" w14:textId="2819A3A7" w:rsidR="00476D66" w:rsidRDefault="00476D66" w:rsidP="00476D66">
            <w:pPr>
              <w:tabs>
                <w:tab w:val="clear" w:pos="425"/>
              </w:tabs>
              <w:spacing w:after="0"/>
              <w:ind w:left="0" w:firstLine="0"/>
              <w:jc w:val="left"/>
              <w:rPr>
                <w:rFonts w:ascii="Calibri" w:eastAsia="Times New Roman" w:hAnsi="Calibri" w:cs="Calibri"/>
                <w:color w:val="000000"/>
                <w:lang w:eastAsia="cs-CZ"/>
              </w:rPr>
            </w:pPr>
            <w:r w:rsidRPr="00476D66">
              <w:rPr>
                <w:rFonts w:ascii="Calibri" w:eastAsia="Times New Roman" w:hAnsi="Calibri" w:cs="Calibri"/>
                <w:color w:val="000000"/>
                <w:lang w:eastAsia="cs-CZ"/>
              </w:rPr>
              <w:t>Univerzita Karlova</w:t>
            </w:r>
          </w:p>
        </w:tc>
        <w:tc>
          <w:tcPr>
            <w:tcW w:w="1409" w:type="dxa"/>
            <w:tcBorders>
              <w:top w:val="nil"/>
              <w:left w:val="nil"/>
              <w:bottom w:val="single" w:sz="4" w:space="0" w:color="auto"/>
              <w:right w:val="single" w:sz="4" w:space="0" w:color="auto"/>
            </w:tcBorders>
            <w:shd w:val="clear" w:color="auto" w:fill="auto"/>
            <w:vAlign w:val="center"/>
          </w:tcPr>
          <w:p w14:paraId="2DF60F4D" w14:textId="7AA810D6"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4 356 250 Kč</w:t>
            </w:r>
          </w:p>
        </w:tc>
        <w:tc>
          <w:tcPr>
            <w:tcW w:w="986" w:type="dxa"/>
            <w:tcBorders>
              <w:top w:val="nil"/>
              <w:left w:val="nil"/>
              <w:bottom w:val="single" w:sz="4" w:space="0" w:color="auto"/>
              <w:right w:val="single" w:sz="4" w:space="0" w:color="auto"/>
            </w:tcBorders>
            <w:shd w:val="clear" w:color="auto" w:fill="auto"/>
            <w:vAlign w:val="center"/>
          </w:tcPr>
          <w:p w14:paraId="53B5C50E" w14:textId="1C9AD369"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13,87%</w:t>
            </w:r>
          </w:p>
        </w:tc>
        <w:tc>
          <w:tcPr>
            <w:tcW w:w="1408" w:type="dxa"/>
            <w:tcBorders>
              <w:top w:val="nil"/>
              <w:left w:val="nil"/>
              <w:bottom w:val="single" w:sz="4" w:space="0" w:color="auto"/>
              <w:right w:val="single" w:sz="4" w:space="0" w:color="auto"/>
            </w:tcBorders>
            <w:shd w:val="clear" w:color="auto" w:fill="auto"/>
            <w:vAlign w:val="center"/>
          </w:tcPr>
          <w:p w14:paraId="7F5579E2" w14:textId="7AAD2BBF"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3 920 625 Kč</w:t>
            </w:r>
          </w:p>
        </w:tc>
        <w:tc>
          <w:tcPr>
            <w:tcW w:w="1029" w:type="dxa"/>
            <w:tcBorders>
              <w:top w:val="nil"/>
              <w:left w:val="nil"/>
              <w:bottom w:val="single" w:sz="4" w:space="0" w:color="auto"/>
              <w:right w:val="single" w:sz="4" w:space="0" w:color="auto"/>
            </w:tcBorders>
            <w:shd w:val="clear" w:color="auto" w:fill="auto"/>
            <w:vAlign w:val="center"/>
          </w:tcPr>
          <w:p w14:paraId="0D31BE1A" w14:textId="60743EF6"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17,83%</w:t>
            </w:r>
          </w:p>
        </w:tc>
        <w:tc>
          <w:tcPr>
            <w:tcW w:w="1417" w:type="dxa"/>
            <w:tcBorders>
              <w:top w:val="nil"/>
              <w:left w:val="nil"/>
              <w:bottom w:val="single" w:sz="4" w:space="0" w:color="auto"/>
              <w:right w:val="single" w:sz="4" w:space="0" w:color="auto"/>
            </w:tcBorders>
            <w:shd w:val="clear" w:color="auto" w:fill="auto"/>
            <w:vAlign w:val="center"/>
          </w:tcPr>
          <w:p w14:paraId="4856AD9B" w14:textId="66A057E1"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435 625 Kč</w:t>
            </w:r>
          </w:p>
        </w:tc>
        <w:tc>
          <w:tcPr>
            <w:tcW w:w="851" w:type="dxa"/>
            <w:tcBorders>
              <w:top w:val="nil"/>
              <w:left w:val="nil"/>
              <w:bottom w:val="single" w:sz="4" w:space="0" w:color="auto"/>
              <w:right w:val="single" w:sz="4" w:space="0" w:color="auto"/>
            </w:tcBorders>
            <w:shd w:val="clear" w:color="auto" w:fill="auto"/>
            <w:noWrap/>
            <w:vAlign w:val="bottom"/>
          </w:tcPr>
          <w:p w14:paraId="404EFC0F" w14:textId="30583DE3"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10,00%</w:t>
            </w:r>
          </w:p>
        </w:tc>
      </w:tr>
      <w:tr w:rsidR="00476D66" w:rsidRPr="00476D66" w14:paraId="089C4841" w14:textId="77777777" w:rsidTr="00476D66">
        <w:trPr>
          <w:trHeight w:val="290"/>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14:paraId="7235FF81" w14:textId="77777777" w:rsidR="00476D66" w:rsidRPr="00476D66" w:rsidRDefault="00476D66" w:rsidP="00476D66">
            <w:pPr>
              <w:tabs>
                <w:tab w:val="clear" w:pos="425"/>
              </w:tabs>
              <w:spacing w:after="0"/>
              <w:ind w:left="0" w:firstLine="0"/>
              <w:jc w:val="left"/>
              <w:rPr>
                <w:rFonts w:ascii="Calibri" w:eastAsia="Times New Roman" w:hAnsi="Calibri" w:cs="Calibri"/>
                <w:color w:val="000000"/>
                <w:lang w:eastAsia="cs-CZ"/>
              </w:rPr>
            </w:pPr>
            <w:r w:rsidRPr="00476D66">
              <w:rPr>
                <w:rFonts w:ascii="Calibri" w:eastAsia="Times New Roman" w:hAnsi="Calibri" w:cs="Calibri"/>
                <w:color w:val="000000"/>
                <w:lang w:eastAsia="cs-CZ"/>
              </w:rPr>
              <w:t>Celkem</w:t>
            </w:r>
          </w:p>
        </w:tc>
        <w:tc>
          <w:tcPr>
            <w:tcW w:w="1409" w:type="dxa"/>
            <w:tcBorders>
              <w:top w:val="nil"/>
              <w:left w:val="nil"/>
              <w:bottom w:val="single" w:sz="4" w:space="0" w:color="auto"/>
              <w:right w:val="single" w:sz="4" w:space="0" w:color="auto"/>
            </w:tcBorders>
            <w:shd w:val="clear" w:color="auto" w:fill="auto"/>
            <w:noWrap/>
            <w:vAlign w:val="bottom"/>
            <w:hideMark/>
          </w:tcPr>
          <w:p w14:paraId="1C97FB4A"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31 404 980 Kč</w:t>
            </w:r>
          </w:p>
        </w:tc>
        <w:tc>
          <w:tcPr>
            <w:tcW w:w="986" w:type="dxa"/>
            <w:tcBorders>
              <w:top w:val="nil"/>
              <w:left w:val="nil"/>
              <w:bottom w:val="single" w:sz="4" w:space="0" w:color="auto"/>
              <w:right w:val="single" w:sz="4" w:space="0" w:color="auto"/>
            </w:tcBorders>
            <w:shd w:val="clear" w:color="auto" w:fill="auto"/>
            <w:noWrap/>
            <w:vAlign w:val="bottom"/>
            <w:hideMark/>
          </w:tcPr>
          <w:p w14:paraId="0D901071"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100,00%</w:t>
            </w:r>
          </w:p>
        </w:tc>
        <w:tc>
          <w:tcPr>
            <w:tcW w:w="1408" w:type="dxa"/>
            <w:tcBorders>
              <w:top w:val="nil"/>
              <w:left w:val="nil"/>
              <w:bottom w:val="single" w:sz="4" w:space="0" w:color="auto"/>
              <w:right w:val="single" w:sz="4" w:space="0" w:color="auto"/>
            </w:tcBorders>
            <w:shd w:val="clear" w:color="auto" w:fill="auto"/>
            <w:noWrap/>
            <w:vAlign w:val="bottom"/>
            <w:hideMark/>
          </w:tcPr>
          <w:p w14:paraId="6AD36842"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21 984 375 Kč</w:t>
            </w:r>
          </w:p>
        </w:tc>
        <w:tc>
          <w:tcPr>
            <w:tcW w:w="1029" w:type="dxa"/>
            <w:tcBorders>
              <w:top w:val="nil"/>
              <w:left w:val="nil"/>
              <w:bottom w:val="single" w:sz="4" w:space="0" w:color="auto"/>
              <w:right w:val="single" w:sz="4" w:space="0" w:color="auto"/>
            </w:tcBorders>
            <w:shd w:val="clear" w:color="auto" w:fill="auto"/>
            <w:noWrap/>
            <w:vAlign w:val="bottom"/>
            <w:hideMark/>
          </w:tcPr>
          <w:p w14:paraId="4B53A86F"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100,00%</w:t>
            </w:r>
          </w:p>
        </w:tc>
        <w:tc>
          <w:tcPr>
            <w:tcW w:w="1417" w:type="dxa"/>
            <w:tcBorders>
              <w:top w:val="nil"/>
              <w:left w:val="nil"/>
              <w:bottom w:val="single" w:sz="4" w:space="0" w:color="auto"/>
              <w:right w:val="single" w:sz="4" w:space="0" w:color="auto"/>
            </w:tcBorders>
            <w:shd w:val="clear" w:color="auto" w:fill="auto"/>
            <w:noWrap/>
            <w:vAlign w:val="bottom"/>
            <w:hideMark/>
          </w:tcPr>
          <w:p w14:paraId="637178EC" w14:textId="77777777" w:rsidR="00476D66" w:rsidRPr="00476D66" w:rsidRDefault="00476D66" w:rsidP="00476D66">
            <w:pPr>
              <w:tabs>
                <w:tab w:val="clear" w:pos="425"/>
              </w:tabs>
              <w:spacing w:after="0"/>
              <w:ind w:left="0" w:firstLine="0"/>
              <w:jc w:val="right"/>
              <w:rPr>
                <w:rFonts w:ascii="Calibri" w:eastAsia="Times New Roman" w:hAnsi="Calibri" w:cs="Calibri"/>
                <w:color w:val="000000"/>
                <w:lang w:eastAsia="cs-CZ"/>
              </w:rPr>
            </w:pPr>
            <w:r w:rsidRPr="00476D66">
              <w:rPr>
                <w:rFonts w:ascii="Calibri" w:eastAsia="Times New Roman" w:hAnsi="Calibri" w:cs="Calibri"/>
                <w:color w:val="000000"/>
                <w:lang w:eastAsia="cs-CZ"/>
              </w:rPr>
              <w:t>9 420 605 Kč</w:t>
            </w:r>
          </w:p>
        </w:tc>
        <w:tc>
          <w:tcPr>
            <w:tcW w:w="851" w:type="dxa"/>
            <w:tcBorders>
              <w:top w:val="nil"/>
              <w:left w:val="nil"/>
              <w:bottom w:val="single" w:sz="4" w:space="0" w:color="auto"/>
              <w:right w:val="single" w:sz="4" w:space="0" w:color="auto"/>
            </w:tcBorders>
            <w:shd w:val="clear" w:color="auto" w:fill="auto"/>
            <w:noWrap/>
            <w:vAlign w:val="bottom"/>
            <w:hideMark/>
          </w:tcPr>
          <w:p w14:paraId="1338E455" w14:textId="77777777" w:rsidR="00476D66" w:rsidRPr="00476D66" w:rsidRDefault="00476D66" w:rsidP="00476D66">
            <w:pPr>
              <w:tabs>
                <w:tab w:val="clear" w:pos="425"/>
              </w:tabs>
              <w:spacing w:after="0"/>
              <w:ind w:left="0" w:firstLine="0"/>
              <w:jc w:val="left"/>
              <w:rPr>
                <w:rFonts w:ascii="Calibri" w:eastAsia="Times New Roman" w:hAnsi="Calibri" w:cs="Calibri"/>
                <w:color w:val="000000"/>
                <w:lang w:eastAsia="cs-CZ"/>
              </w:rPr>
            </w:pPr>
            <w:r w:rsidRPr="00476D66">
              <w:rPr>
                <w:rFonts w:ascii="Calibri" w:eastAsia="Times New Roman" w:hAnsi="Calibri" w:cs="Calibri"/>
                <w:color w:val="000000"/>
                <w:lang w:eastAsia="cs-CZ"/>
              </w:rPr>
              <w:t> </w:t>
            </w:r>
          </w:p>
        </w:tc>
      </w:tr>
    </w:tbl>
    <w:p w14:paraId="0E8FE472" w14:textId="509C4068" w:rsidR="006D61C1" w:rsidRDefault="006D61C1">
      <w:pPr>
        <w:tabs>
          <w:tab w:val="clear" w:pos="425"/>
        </w:tabs>
        <w:spacing w:after="160" w:line="259" w:lineRule="auto"/>
        <w:ind w:left="0" w:firstLine="0"/>
        <w:jc w:val="left"/>
        <w:rPr>
          <w:b/>
        </w:rPr>
      </w:pPr>
    </w:p>
    <w:p w14:paraId="75F44914" w14:textId="71275FB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w:t>
      </w:r>
      <w:r>
        <w:lastRenderedPageBreak/>
        <w:t>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40AC4223" w:rsidR="00EE64BC" w:rsidRPr="007F008B" w:rsidRDefault="00EE64BC" w:rsidP="00EE64BC">
      <w:pPr>
        <w:pStyle w:val="Odstavecseseznamem"/>
        <w:numPr>
          <w:ilvl w:val="0"/>
          <w:numId w:val="4"/>
        </w:numPr>
        <w:tabs>
          <w:tab w:val="clear" w:pos="425"/>
        </w:tabs>
      </w:pPr>
      <w:r w:rsidRPr="006D61C1">
        <w:t xml:space="preserve">Předložit příjemci nejpozději do dne </w:t>
      </w:r>
      <w:r w:rsidRPr="006D61C1">
        <w:rPr>
          <w:b/>
        </w:rPr>
        <w:t>31. 12</w:t>
      </w:r>
      <w:r w:rsidRPr="006D61C1">
        <w:t xml:space="preserve">. kalendářního roku, ve kterém trvá řešení projektu, písemnou roční zprávu o realizaci části projektu v průběhu daného roku. Do </w:t>
      </w:r>
      <w:r w:rsidRPr="006D61C1">
        <w:rPr>
          <w:b/>
        </w:rPr>
        <w:t>12. 1</w:t>
      </w:r>
      <w:r w:rsidRPr="006D61C1">
        <w:t xml:space="preserve">. následujícího roku musí příjemci předložit podrobné vyúčtování hospodaření s poskytnutými účelovými finančními prostředky. Návazně je další účastník projektu povinen vrátit příjemci do dne </w:t>
      </w:r>
      <w:r w:rsidRPr="006D61C1">
        <w:rPr>
          <w:b/>
        </w:rPr>
        <w:t>31. 1</w:t>
      </w:r>
      <w:r w:rsidR="00AB3329" w:rsidRPr="006D61C1">
        <w:rPr>
          <w:b/>
        </w:rPr>
        <w:t>2</w:t>
      </w:r>
      <w:r w:rsidRPr="006D61C1">
        <w:rPr>
          <w:b/>
        </w:rPr>
        <w:t>.</w:t>
      </w:r>
      <w:r w:rsidRPr="006D61C1">
        <w:t xml:space="preserve"> </w:t>
      </w:r>
      <w:r w:rsidR="00AB3329" w:rsidRPr="006D61C1">
        <w:t>daného</w:t>
      </w:r>
      <w:r w:rsidRPr="006D61C1">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6D61C1">
        <w:rPr>
          <w:b/>
        </w:rPr>
        <w:t>15. 2</w:t>
      </w:r>
      <w:r w:rsidRPr="006D61C1">
        <w:t>. vrátit do státn</w:t>
      </w:r>
      <w:r w:rsidRPr="007F008B">
        <w:t>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38430E68"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w:t>
      </w:r>
      <w:r w:rsidR="003A0158">
        <w:t> </w:t>
      </w:r>
      <w:r>
        <w:t>této smlouvy.</w:t>
      </w:r>
    </w:p>
    <w:p w14:paraId="7C314F7B" w14:textId="1C624C58"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FA1A24" w:rsidRPr="00397741">
        <w:rPr>
          <w:bCs/>
        </w:rPr>
        <w:t xml:space="preserve">Programu </w:t>
      </w:r>
      <w:r w:rsidR="00FA1A24">
        <w:rPr>
          <w:bCs/>
        </w:rPr>
        <w:t>průmyslového výzkumu a experimentálního vývoje TREND</w:t>
      </w:r>
      <w:r w:rsidRPr="00B70AD4">
        <w:rPr>
          <w:bCs/>
        </w:rPr>
        <w:t xml:space="preserve">“ </w:t>
      </w:r>
      <w:r>
        <w:t>Technologické agentury České republiky.</w:t>
      </w:r>
    </w:p>
    <w:p w14:paraId="4B3C1F12" w14:textId="0B6E415B" w:rsidR="00EE64BC" w:rsidRDefault="00EE64BC" w:rsidP="00EE64BC">
      <w:r w:rsidRPr="00FA1A24">
        <w:lastRenderedPageBreak/>
        <w:t>2.</w:t>
      </w:r>
      <w:r w:rsidRPr="00FA1A2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2730FD">
      <w:pPr>
        <w:spacing w:after="0"/>
      </w:pPr>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7B697B1C" w:rsidR="00EE64BC" w:rsidRDefault="002730FD" w:rsidP="00EE64BC">
      <w:pPr>
        <w:pStyle w:val="Odstavecseseznamem"/>
      </w:pPr>
      <w:r>
        <w:tab/>
      </w:r>
      <w:r w:rsidR="00EE64BC">
        <w:t>Příjemce:</w:t>
      </w:r>
      <w:r w:rsidR="00D45316">
        <w:t xml:space="preserve"> Lingea s.r.o.</w:t>
      </w:r>
    </w:p>
    <w:p w14:paraId="6DD9AFAD" w14:textId="1E7CDC23" w:rsidR="006D61C1" w:rsidRDefault="00E722F2" w:rsidP="00D45316">
      <w:pPr>
        <w:pStyle w:val="Odstavecseseznamem"/>
        <w:numPr>
          <w:ilvl w:val="0"/>
          <w:numId w:val="13"/>
        </w:numPr>
      </w:pPr>
      <w:r>
        <w:t>strojový překlad</w:t>
      </w:r>
      <w:r w:rsidR="006D61C1" w:rsidRPr="006D61C1">
        <w:t xml:space="preserve"> mezi podporovanými jazyky</w:t>
      </w:r>
      <w:r w:rsidR="006D61C1">
        <w:t>.</w:t>
      </w:r>
    </w:p>
    <w:p w14:paraId="46EB16CF" w14:textId="71D27420" w:rsidR="00D45316" w:rsidRDefault="002730FD" w:rsidP="00D45316">
      <w:pPr>
        <w:pStyle w:val="Odstavecseseznamem"/>
        <w:rPr>
          <w:b/>
        </w:rPr>
      </w:pPr>
      <w:r>
        <w:tab/>
      </w:r>
      <w:r w:rsidR="00EE64BC">
        <w:t>Další účastník projektu</w:t>
      </w:r>
      <w:r w:rsidR="00D45316">
        <w:t xml:space="preserve"> 1</w:t>
      </w:r>
      <w:r w:rsidR="00EE64BC">
        <w:t xml:space="preserve">: </w:t>
      </w:r>
      <w:r w:rsidR="00D45316" w:rsidRPr="00D45316">
        <w:t>Vysoké učení technické v</w:t>
      </w:r>
      <w:r w:rsidR="003A0158">
        <w:t> </w:t>
      </w:r>
      <w:r w:rsidR="00D45316" w:rsidRPr="00D45316">
        <w:t>Brně</w:t>
      </w:r>
      <w:r w:rsidR="003A0158">
        <w:t>, Fakulta informačních technologií</w:t>
      </w:r>
      <w:r w:rsidR="00D45316">
        <w:rPr>
          <w:b/>
        </w:rPr>
        <w:t xml:space="preserve"> </w:t>
      </w:r>
    </w:p>
    <w:p w14:paraId="2201D788" w14:textId="5CC432B2" w:rsidR="006D61C1" w:rsidRDefault="006D61C1" w:rsidP="006D61C1">
      <w:pPr>
        <w:pStyle w:val="Odstavecseseznamem"/>
        <w:numPr>
          <w:ilvl w:val="0"/>
          <w:numId w:val="13"/>
        </w:numPr>
      </w:pPr>
      <w:r>
        <w:t>identifikace a zjednoznačňování pojmenovaných entit;</w:t>
      </w:r>
    </w:p>
    <w:p w14:paraId="131B0774" w14:textId="4AF61BF7" w:rsidR="006D61C1" w:rsidRDefault="006D61C1" w:rsidP="006D61C1">
      <w:pPr>
        <w:pStyle w:val="Odstavecseseznamem"/>
        <w:numPr>
          <w:ilvl w:val="0"/>
          <w:numId w:val="13"/>
        </w:numPr>
      </w:pPr>
      <w:r>
        <w:t>systémy pro odpovídání na otázky v přirozeném jazyce.</w:t>
      </w:r>
    </w:p>
    <w:p w14:paraId="29E77865" w14:textId="06F9E1FA" w:rsidR="00D45316" w:rsidRDefault="002730FD" w:rsidP="00D45316">
      <w:pPr>
        <w:pStyle w:val="Odstavecseseznamem"/>
      </w:pPr>
      <w:r>
        <w:tab/>
      </w:r>
      <w:r w:rsidR="00D45316">
        <w:t xml:space="preserve">Další účastník projektu 2: </w:t>
      </w:r>
      <w:r w:rsidR="00D45316" w:rsidRPr="00D45316">
        <w:t>Univerzita Karlova, Matematicko-fyzikální fakulta</w:t>
      </w:r>
    </w:p>
    <w:p w14:paraId="049CA254" w14:textId="70775679" w:rsidR="00E722F2" w:rsidRDefault="00E722F2" w:rsidP="00E722F2">
      <w:pPr>
        <w:pStyle w:val="Odstavecseseznamem"/>
        <w:numPr>
          <w:ilvl w:val="0"/>
          <w:numId w:val="14"/>
        </w:numPr>
      </w:pPr>
      <w:r w:rsidRPr="00E722F2">
        <w:t>lingvistická analýza textu pro různé jazyky (tokenizace, segmentace, morfologická analýza, syntaktická analýza, koreference, rozpoznávání pojmeno</w:t>
      </w:r>
      <w:r>
        <w:t>vaných entit, postojová analýza);</w:t>
      </w:r>
    </w:p>
    <w:p w14:paraId="6FF11A8E" w14:textId="77777777" w:rsidR="00E722F2" w:rsidRDefault="00E722F2" w:rsidP="00E722F2">
      <w:pPr>
        <w:pStyle w:val="Odstavecseseznamem"/>
        <w:numPr>
          <w:ilvl w:val="0"/>
          <w:numId w:val="14"/>
        </w:numPr>
      </w:pPr>
      <w:r w:rsidRPr="00E722F2">
        <w:t>sumarizace textu (extraktivní i abstraktivní)</w:t>
      </w:r>
      <w:r>
        <w:t>;</w:t>
      </w:r>
    </w:p>
    <w:p w14:paraId="5510FCEC" w14:textId="563B3C7A" w:rsidR="00E722F2" w:rsidRPr="00E722F2" w:rsidRDefault="00E722F2" w:rsidP="00E722F2">
      <w:pPr>
        <w:pStyle w:val="Odstavecseseznamem"/>
        <w:numPr>
          <w:ilvl w:val="0"/>
          <w:numId w:val="14"/>
        </w:numPr>
      </w:pPr>
      <w:r w:rsidRPr="00E722F2">
        <w:t>strojový překlad</w:t>
      </w:r>
      <w:r>
        <w:t>.</w:t>
      </w:r>
    </w:p>
    <w:p w14:paraId="71ED28AC" w14:textId="77777777" w:rsidR="00E722F2" w:rsidRPr="006522BB" w:rsidRDefault="00E722F2" w:rsidP="00D45316">
      <w:pPr>
        <w:pStyle w:val="Odstavecseseznamem"/>
        <w:rPr>
          <w:b/>
        </w:rPr>
      </w:pP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7B5A26AE" w14:textId="77777777" w:rsidR="00E722F2" w:rsidRDefault="00EE64BC" w:rsidP="00E722F2">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53798126" w14:textId="6BE98739" w:rsidR="00E722F2" w:rsidRDefault="00EE64BC" w:rsidP="00E722F2">
      <w:pPr>
        <w:pStyle w:val="Odstavecseseznamem"/>
        <w:numPr>
          <w:ilvl w:val="0"/>
          <w:numId w:val="3"/>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w:t>
      </w:r>
      <w:r w:rsidR="00A95BBC" w:rsidRPr="00E722F2">
        <w:rPr>
          <w:rFonts w:eastAsiaTheme="minorHAnsi" w:cs="Cambria"/>
          <w:color w:val="auto"/>
        </w:rPr>
        <w:t>Správu majetkových práv (licencování) vykonává příjemce</w:t>
      </w:r>
      <w:r w:rsidR="005D3829" w:rsidRPr="00E722F2">
        <w:rPr>
          <w:rFonts w:eastAsiaTheme="minorHAnsi" w:cs="Cambria"/>
          <w:color w:val="auto"/>
        </w:rPr>
        <w:t>. O</w:t>
      </w:r>
      <w:r w:rsidR="00A95BBC" w:rsidRPr="00E722F2">
        <w:rPr>
          <w:rFonts w:eastAsiaTheme="minorHAnsi" w:cs="Cambria"/>
          <w:color w:val="auto"/>
        </w:rPr>
        <w:t xml:space="preserve"> výnosy z licencování výsledku třetím stranám se dělí s dalšími smluvními</w:t>
      </w:r>
      <w:r w:rsidR="00D816CB">
        <w:rPr>
          <w:rFonts w:eastAsiaTheme="minorHAnsi" w:cs="Cambria"/>
          <w:color w:val="auto"/>
        </w:rPr>
        <w:t xml:space="preserve"> stranami v poměru vlastnictví </w:t>
      </w:r>
      <w:r w:rsidR="00A95BBC" w:rsidRPr="00E722F2">
        <w:rPr>
          <w:rFonts w:eastAsiaTheme="minorHAnsi" w:cs="Cambria"/>
          <w:color w:val="auto"/>
        </w:rPr>
        <w:t xml:space="preserve">výsledku. </w:t>
      </w:r>
      <w:r w:rsidRPr="00901F69">
        <w:t xml:space="preserve">Každý ze spoluvlastníků je oprávněn samostatně uplatňovat nároky z prokazatelných porušení práv k </w:t>
      </w:r>
      <w:r>
        <w:t xml:space="preserve">předmětu (předmětům) duševního vlastnictví. </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03A89046" w14:textId="77777777" w:rsidR="002730FD" w:rsidRDefault="002730FD" w:rsidP="008516B3">
      <w:pPr>
        <w:pStyle w:val="Nadpis2"/>
      </w:pPr>
    </w:p>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lastRenderedPageBreak/>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7EF27B80" w:rsidR="006C55E3" w:rsidRDefault="006C55E3" w:rsidP="00EE64BC">
      <w:r>
        <w:t xml:space="preserve">5. </w:t>
      </w:r>
      <w:r>
        <w:tab/>
      </w:r>
      <w:r w:rsidRPr="006C55E3">
        <w:t xml:space="preserve">Smluvní strany se zavazují spolupracovat a poskytnout si </w:t>
      </w:r>
      <w:r w:rsidR="0048372E">
        <w:t>vzájemně maximální součinnost k </w:t>
      </w:r>
      <w:r w:rsidRPr="006C55E3">
        <w:t>tomu, aby k dosaženým výsledk</w:t>
      </w:r>
      <w:r w:rsidR="00E54D11">
        <w:t>ům vytvořily implementační plán</w:t>
      </w:r>
      <w:r w:rsidRPr="006C55E3">
        <w:t>. Při užití výsledků včetně, pokud to bude nezbytné, uzavření příslušných smluv o postou</w:t>
      </w:r>
      <w:r w:rsidR="0002546D">
        <w:t>pení práv nebo užívacích práv z </w:t>
      </w:r>
      <w:r w:rsidRPr="006C55E3">
        <w:t>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09EF5362" w:rsidR="00EE64BC" w:rsidRDefault="00DA5670" w:rsidP="00EE64BC">
      <w:r>
        <w:lastRenderedPageBreak/>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 xml:space="preserve">namítnout </w:t>
      </w:r>
      <w:r w:rsidR="0002546D">
        <w:t>neplatnost změny této smlouvy z </w:t>
      </w:r>
      <w:r w:rsidR="00EE64BC" w:rsidRPr="000A00ED">
        <w:t>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73CAA086" w:rsidR="00EE64BC" w:rsidRDefault="00DA5670" w:rsidP="00EE64BC">
      <w:r>
        <w:t>8</w:t>
      </w:r>
      <w:r w:rsidR="00EE64BC">
        <w:t>.</w:t>
      </w:r>
      <w:r w:rsidR="00EE64BC">
        <w:tab/>
      </w:r>
      <w:r w:rsidR="00EE64BC" w:rsidRPr="000E6499">
        <w:t xml:space="preserve">Smlouva je vyhotovena </w:t>
      </w:r>
      <w:r w:rsidR="00697E8E">
        <w:t>v</w:t>
      </w:r>
      <w:r w:rsidR="00A95BBC">
        <w:t xml:space="preserve"> šesti</w:t>
      </w:r>
      <w:r w:rsidR="00EE64BC" w:rsidRPr="000E6499">
        <w:t xml:space="preserve"> (</w:t>
      </w:r>
      <w:r w:rsidR="00A95BBC">
        <w:t>6</w:t>
      </w:r>
      <w:r w:rsidR="00EE64BC" w:rsidRPr="000E6499">
        <w:t>) stejnopisech s platností originálu, z nichž každá smluvní strana obdrží dva (2</w:t>
      </w:r>
      <w:r w:rsidR="00697E8E">
        <w:t>)</w:t>
      </w:r>
      <w:r w:rsidR="00EE64BC" w:rsidRPr="000E6499">
        <w:t>.</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001AF920" w14:textId="7646EEA9" w:rsidR="005A209D" w:rsidRPr="00CC485F" w:rsidRDefault="00C65CD7" w:rsidP="00AA626C">
      <w:pPr>
        <w:tabs>
          <w:tab w:val="left" w:pos="5670"/>
        </w:tabs>
      </w:pPr>
      <w:r w:rsidRPr="00CC485F">
        <w:t>V </w:t>
      </w:r>
      <w:r w:rsidR="00A065E7">
        <w:t>Brně</w:t>
      </w:r>
      <w:r w:rsidRPr="00AB30DD">
        <w:t xml:space="preserve"> </w:t>
      </w:r>
      <w:r w:rsidR="005A209D" w:rsidRPr="00AB30DD">
        <w:t>dne</w:t>
      </w:r>
      <w:r w:rsidR="005A209D" w:rsidRPr="00CC485F">
        <w:t xml:space="preserve"> </w:t>
      </w:r>
      <w:r w:rsidR="005A209D" w:rsidRPr="00CC485F">
        <w:tab/>
      </w:r>
      <w:r w:rsidR="00AB30DD" w:rsidRPr="00CC485F">
        <w:t>V </w:t>
      </w:r>
      <w:r w:rsidR="00AB30DD" w:rsidRPr="00FA1A24">
        <w:t>Brně</w:t>
      </w:r>
      <w:r w:rsidR="00F82200">
        <w:t xml:space="preserve"> dne </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02A3648D" w:rsidR="005A209D" w:rsidRPr="00CC485F"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r w:rsidR="00A065E7">
        <w:t>RNDr. Pavel Ševeček</w:t>
      </w:r>
      <w:r w:rsidR="005A209D" w:rsidRPr="00EE64BC">
        <w:tab/>
      </w:r>
      <w:r w:rsidR="00FA1A24" w:rsidRPr="00EE64BC">
        <w:t>prof. RNDr. Ing. Petr Štěpánek, CSc</w:t>
      </w:r>
      <w:r w:rsidR="005A209D" w:rsidRPr="00EE64BC">
        <w:br/>
      </w:r>
      <w:r w:rsidR="00A065E7">
        <w:t>jednatel</w:t>
      </w:r>
      <w:r w:rsidR="005A209D" w:rsidRPr="00EE64BC">
        <w:tab/>
      </w:r>
      <w:r w:rsidR="00FA1A24">
        <w:t>rektor</w:t>
      </w:r>
      <w:r w:rsidR="005A209D" w:rsidRPr="00EE64BC">
        <w:br/>
        <w:t xml:space="preserve">za </w:t>
      </w:r>
      <w:r w:rsidR="00EE64BC" w:rsidRPr="00EE64BC">
        <w:t>příjemce</w:t>
      </w:r>
      <w:r w:rsidR="005A209D" w:rsidRPr="00EE64BC">
        <w:tab/>
        <w:t xml:space="preserve">za </w:t>
      </w:r>
      <w:r w:rsidR="00EE64BC" w:rsidRPr="00EE64BC">
        <w:t>dalšího účastníka</w:t>
      </w:r>
      <w:r w:rsidR="00A065E7">
        <w:t xml:space="preserve"> 1</w:t>
      </w:r>
    </w:p>
    <w:p w14:paraId="37F39A90" w14:textId="77777777" w:rsidR="00A065E7" w:rsidRDefault="00A065E7" w:rsidP="00A065E7">
      <w:pPr>
        <w:tabs>
          <w:tab w:val="left" w:pos="5670"/>
        </w:tabs>
      </w:pPr>
    </w:p>
    <w:p w14:paraId="30A090B0" w14:textId="5BE17562" w:rsidR="00A065E7" w:rsidRPr="00CC485F" w:rsidRDefault="00A065E7" w:rsidP="00A065E7">
      <w:pPr>
        <w:tabs>
          <w:tab w:val="left" w:pos="5670"/>
        </w:tabs>
      </w:pPr>
      <w:r w:rsidRPr="00CC485F">
        <w:t>V </w:t>
      </w:r>
      <w:r>
        <w:t>Praze</w:t>
      </w:r>
      <w:r w:rsidRPr="00AB30DD">
        <w:t xml:space="preserve"> dne</w:t>
      </w:r>
      <w:r w:rsidR="00F82200">
        <w:t xml:space="preserve"> </w:t>
      </w:r>
      <w:r w:rsidRPr="00CC485F">
        <w:tab/>
      </w:r>
    </w:p>
    <w:p w14:paraId="1ADB8A01" w14:textId="77777777" w:rsidR="00A065E7" w:rsidRDefault="00A065E7" w:rsidP="00A065E7">
      <w:pPr>
        <w:tabs>
          <w:tab w:val="left" w:pos="5670"/>
        </w:tabs>
      </w:pPr>
    </w:p>
    <w:p w14:paraId="734A0893" w14:textId="77777777" w:rsidR="00A065E7" w:rsidRPr="00CC485F" w:rsidRDefault="00A065E7" w:rsidP="00A065E7">
      <w:pPr>
        <w:tabs>
          <w:tab w:val="left" w:pos="5670"/>
        </w:tabs>
      </w:pPr>
    </w:p>
    <w:p w14:paraId="515525ED" w14:textId="03328948" w:rsidR="00A065E7" w:rsidRDefault="00A065E7" w:rsidP="00A065E7">
      <w:pPr>
        <w:tabs>
          <w:tab w:val="clear" w:pos="425"/>
          <w:tab w:val="left" w:pos="0"/>
          <w:tab w:val="left" w:pos="5812"/>
        </w:tabs>
        <w:ind w:left="0" w:firstLine="0"/>
        <w:jc w:val="left"/>
      </w:pPr>
      <w:r w:rsidRPr="00CC485F">
        <w:t>_____________________________</w:t>
      </w:r>
      <w:r>
        <w:t>_</w:t>
      </w:r>
      <w:r w:rsidRPr="00CC485F">
        <w:tab/>
      </w:r>
      <w:r w:rsidRPr="00CC485F">
        <w:br/>
      </w:r>
      <w:r w:rsidR="004F1859">
        <w:t>p</w:t>
      </w:r>
      <w:r w:rsidR="004F1859" w:rsidRPr="004F1859">
        <w:t>rof. MUDr. Tomáš Zima, DrSc., MBA</w:t>
      </w:r>
    </w:p>
    <w:p w14:paraId="3D5E9A7D" w14:textId="643AF56C" w:rsidR="0002546D" w:rsidRPr="00CC485F" w:rsidRDefault="00A065E7" w:rsidP="00A065E7">
      <w:pPr>
        <w:tabs>
          <w:tab w:val="clear" w:pos="425"/>
          <w:tab w:val="left" w:pos="0"/>
          <w:tab w:val="left" w:pos="5812"/>
        </w:tabs>
        <w:ind w:left="0" w:firstLine="0"/>
        <w:jc w:val="left"/>
      </w:pPr>
      <w:r>
        <w:t>rektor</w:t>
      </w:r>
      <w:r w:rsidRPr="00EE64BC">
        <w:tab/>
      </w:r>
      <w:r w:rsidRPr="00EE64BC">
        <w:br/>
        <w:t>za dalšího účastníka</w:t>
      </w:r>
      <w:r>
        <w:t xml:space="preserve"> 2</w:t>
      </w:r>
    </w:p>
    <w:sectPr w:rsidR="0002546D" w:rsidRPr="00CC485F" w:rsidSect="00BD3DF3">
      <w:headerReference w:type="even" r:id="rId8"/>
      <w:headerReference w:type="default" r:id="rId9"/>
      <w:footerReference w:type="even" r:id="rId10"/>
      <w:footerReference w:type="default" r:id="rId11"/>
      <w:pgSz w:w="11900" w:h="16840"/>
      <w:pgMar w:top="1417" w:right="1417" w:bottom="1417"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4B04" w16cex:dateUtc="2020-04-29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7F122" w16cid:durableId="2198BD83"/>
  <w16cid:commentId w16cid:paraId="19B78513" w16cid:durableId="2198BD84"/>
  <w16cid:commentId w16cid:paraId="05CA7ED2" w16cid:durableId="22550C8B"/>
  <w16cid:commentId w16cid:paraId="3B6629F0" w16cid:durableId="2198BEB0"/>
  <w16cid:commentId w16cid:paraId="0A5203D9" w16cid:durableId="2198BD85"/>
  <w16cid:commentId w16cid:paraId="30AE3706" w16cid:durableId="2198BECB"/>
  <w16cid:commentId w16cid:paraId="1FB3E06C" w16cid:durableId="2198BD86"/>
  <w16cid:commentId w16cid:paraId="5A9CB30B" w16cid:durableId="2198BD87"/>
  <w16cid:commentId w16cid:paraId="4EF55121" w16cid:durableId="2198BD88"/>
  <w16cid:commentId w16cid:paraId="44936DF0" w16cid:durableId="2198BEF0"/>
  <w16cid:commentId w16cid:paraId="6556F430" w16cid:durableId="2198BD89"/>
  <w16cid:commentId w16cid:paraId="7B8D5374" w16cid:durableId="2198BD8A"/>
  <w16cid:commentId w16cid:paraId="1E1F668D" w16cid:durableId="2198BD8B"/>
  <w16cid:commentId w16cid:paraId="668927CA" w16cid:durableId="2198BD8C"/>
  <w16cid:commentId w16cid:paraId="2E545CFC" w16cid:durableId="2198BD8D"/>
  <w16cid:commentId w16cid:paraId="1E65268D" w16cid:durableId="2198B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28633" w14:textId="77777777" w:rsidR="008C6D6B" w:rsidRDefault="008C6D6B" w:rsidP="006522BB">
      <w:r>
        <w:separator/>
      </w:r>
    </w:p>
    <w:p w14:paraId="54033F06" w14:textId="77777777" w:rsidR="008C6D6B" w:rsidRDefault="008C6D6B" w:rsidP="006522BB"/>
  </w:endnote>
  <w:endnote w:type="continuationSeparator" w:id="0">
    <w:p w14:paraId="56B2C774" w14:textId="77777777" w:rsidR="008C6D6B" w:rsidRDefault="008C6D6B" w:rsidP="006522BB">
      <w:r>
        <w:continuationSeparator/>
      </w:r>
    </w:p>
    <w:p w14:paraId="239A8BED" w14:textId="77777777" w:rsidR="008C6D6B" w:rsidRDefault="008C6D6B"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18532B14"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303664">
      <w:rPr>
        <w:rStyle w:val="slostrnky"/>
        <w:noProof/>
        <w:sz w:val="18"/>
        <w:szCs w:val="18"/>
      </w:rPr>
      <w:t>2</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303664">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82BE" w14:textId="77777777" w:rsidR="008C6D6B" w:rsidRDefault="008C6D6B" w:rsidP="006522BB">
      <w:r>
        <w:separator/>
      </w:r>
    </w:p>
    <w:p w14:paraId="15619D80" w14:textId="77777777" w:rsidR="008C6D6B" w:rsidRDefault="008C6D6B" w:rsidP="006522BB"/>
  </w:footnote>
  <w:footnote w:type="continuationSeparator" w:id="0">
    <w:p w14:paraId="2F6102FE" w14:textId="77777777" w:rsidR="008C6D6B" w:rsidRDefault="008C6D6B" w:rsidP="006522BB">
      <w:r>
        <w:continuationSeparator/>
      </w:r>
    </w:p>
    <w:p w14:paraId="37BC9AD2" w14:textId="77777777" w:rsidR="008C6D6B" w:rsidRDefault="008C6D6B"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8AA1" w14:textId="17352FC0" w:rsidR="00BD3DF3" w:rsidRPr="00BD3DF3" w:rsidRDefault="00BD3DF3" w:rsidP="00BD3DF3">
    <w:pPr>
      <w:pStyle w:val="Zhlav"/>
      <w:jc w:val="center"/>
    </w:pPr>
    <w:r w:rsidRPr="00BD3DF3">
      <w:t xml:space="preserve">Registrační číslo projektu:  </w:t>
    </w:r>
    <w:r w:rsidRPr="00BD3DF3">
      <w:rPr>
        <w:rStyle w:val="value"/>
      </w:rPr>
      <w:t>FW03010656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D7"/>
    <w:multiLevelType w:val="hybridMultilevel"/>
    <w:tmpl w:val="C0BA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066D7"/>
    <w:multiLevelType w:val="hybridMultilevel"/>
    <w:tmpl w:val="C1FC9696"/>
    <w:lvl w:ilvl="0" w:tplc="51AC83D4">
      <w:start w:val="1"/>
      <w:numFmt w:val="bullet"/>
      <w:lvlText w:val="-"/>
      <w:lvlJc w:val="left"/>
      <w:pPr>
        <w:ind w:left="720" w:hanging="360"/>
      </w:pPr>
      <w:rPr>
        <w:rFonts w:ascii="Calibri" w:eastAsia="Cambr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71D4B"/>
    <w:multiLevelType w:val="hybridMultilevel"/>
    <w:tmpl w:val="EFF4E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D438B3"/>
    <w:multiLevelType w:val="hybridMultilevel"/>
    <w:tmpl w:val="54C47E16"/>
    <w:lvl w:ilvl="0" w:tplc="4C8AC516">
      <w:start w:val="1"/>
      <w:numFmt w:val="bullet"/>
      <w:lvlText w:val="-"/>
      <w:lvlJc w:val="left"/>
      <w:pPr>
        <w:ind w:left="720" w:hanging="360"/>
      </w:pPr>
      <w:rPr>
        <w:rFonts w:ascii="Calibri" w:eastAsia="Cambr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F42168"/>
    <w:multiLevelType w:val="hybridMultilevel"/>
    <w:tmpl w:val="A6FC80BE"/>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tentative="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7" w15:restartNumberingAfterBreak="0">
    <w:nsid w:val="33A468E7"/>
    <w:multiLevelType w:val="hybridMultilevel"/>
    <w:tmpl w:val="F8B83B8E"/>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tentative="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8"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914C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2"/>
  </w:num>
  <w:num w:numId="5">
    <w:abstractNumId w:val="1"/>
  </w:num>
  <w:num w:numId="6">
    <w:abstractNumId w:val="9"/>
  </w:num>
  <w:num w:numId="7">
    <w:abstractNumId w:val="8"/>
  </w:num>
  <w:num w:numId="8">
    <w:abstractNumId w:val="5"/>
  </w:num>
  <w:num w:numId="9">
    <w:abstractNumId w:val="3"/>
  </w:num>
  <w:num w:numId="10">
    <w:abstractNumId w:val="11"/>
  </w:num>
  <w:num w:numId="11">
    <w:abstractNumId w:val="4"/>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50B"/>
    <w:rsid w:val="00012CEA"/>
    <w:rsid w:val="00015309"/>
    <w:rsid w:val="0002546D"/>
    <w:rsid w:val="00027BC2"/>
    <w:rsid w:val="00031AB1"/>
    <w:rsid w:val="00067C7C"/>
    <w:rsid w:val="0007065E"/>
    <w:rsid w:val="000840BB"/>
    <w:rsid w:val="000A00ED"/>
    <w:rsid w:val="000A2CE7"/>
    <w:rsid w:val="000A2D8A"/>
    <w:rsid w:val="000C5454"/>
    <w:rsid w:val="000C6471"/>
    <w:rsid w:val="000C70EE"/>
    <w:rsid w:val="000E2EE3"/>
    <w:rsid w:val="000E725C"/>
    <w:rsid w:val="001058A0"/>
    <w:rsid w:val="00111963"/>
    <w:rsid w:val="00113342"/>
    <w:rsid w:val="00120A6B"/>
    <w:rsid w:val="00122BBD"/>
    <w:rsid w:val="00126B7F"/>
    <w:rsid w:val="0013442F"/>
    <w:rsid w:val="00141161"/>
    <w:rsid w:val="00150155"/>
    <w:rsid w:val="00150E31"/>
    <w:rsid w:val="00155579"/>
    <w:rsid w:val="00182900"/>
    <w:rsid w:val="001A0528"/>
    <w:rsid w:val="001A2DC8"/>
    <w:rsid w:val="001B0EF8"/>
    <w:rsid w:val="001B1E7C"/>
    <w:rsid w:val="001C0399"/>
    <w:rsid w:val="001C3624"/>
    <w:rsid w:val="001C3992"/>
    <w:rsid w:val="001D159F"/>
    <w:rsid w:val="001D3B02"/>
    <w:rsid w:val="001E680B"/>
    <w:rsid w:val="00201242"/>
    <w:rsid w:val="00202665"/>
    <w:rsid w:val="002048CA"/>
    <w:rsid w:val="00205074"/>
    <w:rsid w:val="00206B3C"/>
    <w:rsid w:val="00213A30"/>
    <w:rsid w:val="00217A1A"/>
    <w:rsid w:val="0022523A"/>
    <w:rsid w:val="00241F78"/>
    <w:rsid w:val="00263CA8"/>
    <w:rsid w:val="002644A8"/>
    <w:rsid w:val="00271679"/>
    <w:rsid w:val="002730FD"/>
    <w:rsid w:val="00282C4F"/>
    <w:rsid w:val="00283AA2"/>
    <w:rsid w:val="00287BB6"/>
    <w:rsid w:val="002A0213"/>
    <w:rsid w:val="002A11CA"/>
    <w:rsid w:val="002A16D1"/>
    <w:rsid w:val="002A67D3"/>
    <w:rsid w:val="00303664"/>
    <w:rsid w:val="003042BB"/>
    <w:rsid w:val="00322D5B"/>
    <w:rsid w:val="003237F5"/>
    <w:rsid w:val="00331E99"/>
    <w:rsid w:val="00332DD6"/>
    <w:rsid w:val="0034020E"/>
    <w:rsid w:val="00342A93"/>
    <w:rsid w:val="003453AD"/>
    <w:rsid w:val="0038683A"/>
    <w:rsid w:val="00396A25"/>
    <w:rsid w:val="00397741"/>
    <w:rsid w:val="003A0158"/>
    <w:rsid w:val="003A3579"/>
    <w:rsid w:val="003D5028"/>
    <w:rsid w:val="003E0F30"/>
    <w:rsid w:val="003E150F"/>
    <w:rsid w:val="003E2AC0"/>
    <w:rsid w:val="003E5E0F"/>
    <w:rsid w:val="00423B33"/>
    <w:rsid w:val="00424A37"/>
    <w:rsid w:val="00452B71"/>
    <w:rsid w:val="004566BE"/>
    <w:rsid w:val="00476D66"/>
    <w:rsid w:val="00477AB1"/>
    <w:rsid w:val="0048372E"/>
    <w:rsid w:val="00497963"/>
    <w:rsid w:val="004A5E14"/>
    <w:rsid w:val="004B2F54"/>
    <w:rsid w:val="004B5D1D"/>
    <w:rsid w:val="004B7308"/>
    <w:rsid w:val="004E5FDF"/>
    <w:rsid w:val="004F1859"/>
    <w:rsid w:val="004F3E47"/>
    <w:rsid w:val="004F726C"/>
    <w:rsid w:val="0056216E"/>
    <w:rsid w:val="00573204"/>
    <w:rsid w:val="00585507"/>
    <w:rsid w:val="005904F3"/>
    <w:rsid w:val="0059200B"/>
    <w:rsid w:val="005A1265"/>
    <w:rsid w:val="005A209D"/>
    <w:rsid w:val="005A7162"/>
    <w:rsid w:val="005A7E3C"/>
    <w:rsid w:val="005B00CE"/>
    <w:rsid w:val="005D0DC1"/>
    <w:rsid w:val="005D3829"/>
    <w:rsid w:val="005F6578"/>
    <w:rsid w:val="00605E46"/>
    <w:rsid w:val="006120C0"/>
    <w:rsid w:val="00612130"/>
    <w:rsid w:val="006333A2"/>
    <w:rsid w:val="00640009"/>
    <w:rsid w:val="006522BB"/>
    <w:rsid w:val="00674BDA"/>
    <w:rsid w:val="006769C9"/>
    <w:rsid w:val="00681CE9"/>
    <w:rsid w:val="006946FB"/>
    <w:rsid w:val="006957B6"/>
    <w:rsid w:val="00697E8E"/>
    <w:rsid w:val="006A5D63"/>
    <w:rsid w:val="006B1C9F"/>
    <w:rsid w:val="006C55E3"/>
    <w:rsid w:val="006D51CB"/>
    <w:rsid w:val="006D61C1"/>
    <w:rsid w:val="006D6F37"/>
    <w:rsid w:val="006F277F"/>
    <w:rsid w:val="00716609"/>
    <w:rsid w:val="00735A48"/>
    <w:rsid w:val="00756A88"/>
    <w:rsid w:val="00764C3D"/>
    <w:rsid w:val="007826D3"/>
    <w:rsid w:val="00794C02"/>
    <w:rsid w:val="007955E4"/>
    <w:rsid w:val="007C11C0"/>
    <w:rsid w:val="007D6EA7"/>
    <w:rsid w:val="007E5F30"/>
    <w:rsid w:val="007F008B"/>
    <w:rsid w:val="007F385F"/>
    <w:rsid w:val="00800606"/>
    <w:rsid w:val="008063AA"/>
    <w:rsid w:val="00824688"/>
    <w:rsid w:val="00840C56"/>
    <w:rsid w:val="008478B4"/>
    <w:rsid w:val="008516B3"/>
    <w:rsid w:val="00862D80"/>
    <w:rsid w:val="008630B7"/>
    <w:rsid w:val="00864024"/>
    <w:rsid w:val="00876875"/>
    <w:rsid w:val="008964CA"/>
    <w:rsid w:val="008A097D"/>
    <w:rsid w:val="008A57E4"/>
    <w:rsid w:val="008B58B6"/>
    <w:rsid w:val="008C1BE3"/>
    <w:rsid w:val="008C45E6"/>
    <w:rsid w:val="008C5CB7"/>
    <w:rsid w:val="008C6D6B"/>
    <w:rsid w:val="008C71E5"/>
    <w:rsid w:val="008D59DE"/>
    <w:rsid w:val="008E1B95"/>
    <w:rsid w:val="008E1F78"/>
    <w:rsid w:val="008F6AE1"/>
    <w:rsid w:val="00901F69"/>
    <w:rsid w:val="00912746"/>
    <w:rsid w:val="009206D0"/>
    <w:rsid w:val="00935FE1"/>
    <w:rsid w:val="00983144"/>
    <w:rsid w:val="00997228"/>
    <w:rsid w:val="009A2266"/>
    <w:rsid w:val="009C0B07"/>
    <w:rsid w:val="009C6EEA"/>
    <w:rsid w:val="009E3EE8"/>
    <w:rsid w:val="009F0540"/>
    <w:rsid w:val="00A00770"/>
    <w:rsid w:val="00A056DE"/>
    <w:rsid w:val="00A05BCC"/>
    <w:rsid w:val="00A065E7"/>
    <w:rsid w:val="00A07FF9"/>
    <w:rsid w:val="00A24505"/>
    <w:rsid w:val="00A24F12"/>
    <w:rsid w:val="00A32886"/>
    <w:rsid w:val="00A36C68"/>
    <w:rsid w:val="00A4406D"/>
    <w:rsid w:val="00A5273E"/>
    <w:rsid w:val="00A56689"/>
    <w:rsid w:val="00A712A0"/>
    <w:rsid w:val="00A72E20"/>
    <w:rsid w:val="00A907E2"/>
    <w:rsid w:val="00A93A8D"/>
    <w:rsid w:val="00A95BBC"/>
    <w:rsid w:val="00A965B4"/>
    <w:rsid w:val="00AA0C09"/>
    <w:rsid w:val="00AA0EC4"/>
    <w:rsid w:val="00AA626C"/>
    <w:rsid w:val="00AB30DD"/>
    <w:rsid w:val="00AB3329"/>
    <w:rsid w:val="00AB4BD8"/>
    <w:rsid w:val="00AC2325"/>
    <w:rsid w:val="00AC5970"/>
    <w:rsid w:val="00AF4E1D"/>
    <w:rsid w:val="00AF5B78"/>
    <w:rsid w:val="00B30B4A"/>
    <w:rsid w:val="00B35878"/>
    <w:rsid w:val="00B41345"/>
    <w:rsid w:val="00B45FB2"/>
    <w:rsid w:val="00B53FAC"/>
    <w:rsid w:val="00B70AD4"/>
    <w:rsid w:val="00B76003"/>
    <w:rsid w:val="00B84EF9"/>
    <w:rsid w:val="00B8576C"/>
    <w:rsid w:val="00B869D8"/>
    <w:rsid w:val="00BA5BD2"/>
    <w:rsid w:val="00BB06CF"/>
    <w:rsid w:val="00BB59C2"/>
    <w:rsid w:val="00BC1CD8"/>
    <w:rsid w:val="00BC7451"/>
    <w:rsid w:val="00BD369B"/>
    <w:rsid w:val="00BD3DF3"/>
    <w:rsid w:val="00BE2AF1"/>
    <w:rsid w:val="00BE6F4C"/>
    <w:rsid w:val="00BF5CB9"/>
    <w:rsid w:val="00C0049E"/>
    <w:rsid w:val="00C122C9"/>
    <w:rsid w:val="00C3241B"/>
    <w:rsid w:val="00C428A0"/>
    <w:rsid w:val="00C46A1A"/>
    <w:rsid w:val="00C54D4A"/>
    <w:rsid w:val="00C553A9"/>
    <w:rsid w:val="00C65CD7"/>
    <w:rsid w:val="00CA7FC5"/>
    <w:rsid w:val="00CB740A"/>
    <w:rsid w:val="00CC047C"/>
    <w:rsid w:val="00CC485F"/>
    <w:rsid w:val="00CE13AB"/>
    <w:rsid w:val="00CE7A16"/>
    <w:rsid w:val="00CF4B06"/>
    <w:rsid w:val="00CF5AD4"/>
    <w:rsid w:val="00D01812"/>
    <w:rsid w:val="00D04F4B"/>
    <w:rsid w:val="00D07B67"/>
    <w:rsid w:val="00D302A8"/>
    <w:rsid w:val="00D33C52"/>
    <w:rsid w:val="00D41D47"/>
    <w:rsid w:val="00D45316"/>
    <w:rsid w:val="00D567EB"/>
    <w:rsid w:val="00D7196F"/>
    <w:rsid w:val="00D77DD2"/>
    <w:rsid w:val="00D816CB"/>
    <w:rsid w:val="00D858A1"/>
    <w:rsid w:val="00D93FE3"/>
    <w:rsid w:val="00DA5670"/>
    <w:rsid w:val="00DD4F56"/>
    <w:rsid w:val="00DE374E"/>
    <w:rsid w:val="00DF1ED8"/>
    <w:rsid w:val="00E00ADE"/>
    <w:rsid w:val="00E132EA"/>
    <w:rsid w:val="00E14FF5"/>
    <w:rsid w:val="00E54D11"/>
    <w:rsid w:val="00E64A43"/>
    <w:rsid w:val="00E722F2"/>
    <w:rsid w:val="00EA69F0"/>
    <w:rsid w:val="00EE64BC"/>
    <w:rsid w:val="00EF146A"/>
    <w:rsid w:val="00F04ADD"/>
    <w:rsid w:val="00F10AFC"/>
    <w:rsid w:val="00F126CF"/>
    <w:rsid w:val="00F20125"/>
    <w:rsid w:val="00F31474"/>
    <w:rsid w:val="00F37636"/>
    <w:rsid w:val="00F41827"/>
    <w:rsid w:val="00F42874"/>
    <w:rsid w:val="00F434FE"/>
    <w:rsid w:val="00F679EA"/>
    <w:rsid w:val="00F82200"/>
    <w:rsid w:val="00F905FE"/>
    <w:rsid w:val="00F93BCD"/>
    <w:rsid w:val="00FA1A24"/>
    <w:rsid w:val="00FA6F5B"/>
    <w:rsid w:val="00FA72B8"/>
    <w:rsid w:val="00FA77D0"/>
    <w:rsid w:val="00FC76E7"/>
    <w:rsid w:val="00FD2E3F"/>
    <w:rsid w:val="00FD57C2"/>
    <w:rsid w:val="00FE3E51"/>
    <w:rsid w:val="00FF219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CF723"/>
  <w15:docId w15:val="{777C8E1F-65A5-4A3A-A73A-1F4B7C1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value">
    <w:name w:val="value"/>
    <w:basedOn w:val="Standardnpsmoodstavce"/>
    <w:rsid w:val="00B8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2836">
      <w:bodyDiv w:val="1"/>
      <w:marLeft w:val="0"/>
      <w:marRight w:val="0"/>
      <w:marTop w:val="0"/>
      <w:marBottom w:val="0"/>
      <w:divBdr>
        <w:top w:val="none" w:sz="0" w:space="0" w:color="auto"/>
        <w:left w:val="none" w:sz="0" w:space="0" w:color="auto"/>
        <w:bottom w:val="none" w:sz="0" w:space="0" w:color="auto"/>
        <w:right w:val="none" w:sz="0" w:space="0" w:color="auto"/>
      </w:divBdr>
    </w:div>
    <w:div w:id="1015376147">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56D1-6D60-4CC4-B784-AD94789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3396</Words>
  <Characters>20037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Svatošová Helena (200092)</cp:lastModifiedBy>
  <cp:revision>2</cp:revision>
  <cp:lastPrinted>2020-06-24T13:11:00Z</cp:lastPrinted>
  <dcterms:created xsi:type="dcterms:W3CDTF">2021-05-04T09:55:00Z</dcterms:created>
  <dcterms:modified xsi:type="dcterms:W3CDTF">2021-05-04T09:55:00Z</dcterms:modified>
</cp:coreProperties>
</file>