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Illllllllllllllllllllllll</w:t>
      </w:r>
      <w:bookmarkEnd w:id="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580" w:firstLine="0"/>
        <w:jc w:val="right"/>
        <w:rPr>
          <w:sz w:val="16"/>
          <w:szCs w:val="16"/>
        </w:rPr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2021002695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RÁMCOVÁ KUPNÍ SMLOUVA</w:t>
      </w:r>
      <w:bookmarkEnd w:id="4"/>
    </w:p>
    <w:p>
      <w:pPr>
        <w:pStyle w:val="Style33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 souladu s ustanovením § 2079 a násl. zákona č. 89/2012 Sb., občanský zákoník, mezi níže uvedenými smluvními stranami</w:t>
      </w:r>
      <w:bookmarkEnd w:id="6"/>
    </w:p>
    <w:tbl>
      <w:tblPr>
        <w:tblOverlap w:val="never"/>
        <w:jc w:val="center"/>
        <w:tblLayout w:type="fixed"/>
      </w:tblPr>
      <w:tblGrid>
        <w:gridCol w:w="2722"/>
        <w:gridCol w:w="6350"/>
      </w:tblGrid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140" w:right="0" w:hanging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798/1d, 625 00 Brno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color w:val="000000"/>
                <w:spacing w:val="2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0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11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spojeni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MONETA Money Bank, a.s., č. ú. 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</w:p>
        </w:tc>
      </w:tr>
    </w:tbl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„kupující)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22"/>
        <w:gridCol w:w="6346"/>
      </w:tblGrid>
      <w:tr>
        <w:trPr>
          <w:trHeight w:val="7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 Sídlo.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GIFTY s.r.o.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Brtev 92, 507 81 Lázně Bělohrad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Vladimír Šádek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</w:t>
            </w:r>
            <w:r>
              <w:rPr>
                <w:b/>
                <w:bCs/>
                <w:color w:val="000000"/>
                <w:spacing w:val="3"/>
                <w:w w:val="100"/>
                <w:position w:val="0"/>
                <w:sz w:val="17"/>
                <w:szCs w:val="17"/>
                <w:shd w:val="clear" w:color="auto" w:fill="000000"/>
                <w:lang w:val="cs-CZ" w:eastAsia="cs-CZ" w:bidi="cs-CZ"/>
              </w:rPr>
              <w:t>....</w:t>
            </w:r>
            <w:r>
              <w:rPr>
                <w:b/>
                <w:bCs/>
                <w:color w:val="000000"/>
                <w:spacing w:val="4"/>
                <w:w w:val="100"/>
                <w:position w:val="0"/>
                <w:sz w:val="17"/>
                <w:szCs w:val="17"/>
                <w:shd w:val="clear" w:color="auto" w:fill="000000"/>
                <w:lang w:val="cs-CZ" w:eastAsia="cs-CZ" w:bidi="cs-CZ"/>
              </w:rPr>
              <w:t>..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000000"/>
                <w:lang w:val="cs-CZ" w:eastAsia="cs-CZ" w:bidi="cs-CZ"/>
              </w:rPr>
              <w:t>​.......</w:t>
            </w:r>
            <w:r>
              <w:rPr>
                <w:b/>
                <w:bCs/>
                <w:color w:val="000000"/>
                <w:spacing w:val="1"/>
                <w:w w:val="100"/>
                <w:position w:val="0"/>
                <w:sz w:val="17"/>
                <w:szCs w:val="17"/>
                <w:shd w:val="clear" w:color="auto" w:fill="000000"/>
                <w:lang w:val="cs-CZ" w:eastAsia="cs-CZ" w:bidi="cs-CZ"/>
              </w:rPr>
              <w:t>...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000000"/>
                <w:lang w:val="cs-CZ" w:eastAsia="cs-CZ" w:bidi="cs-CZ"/>
              </w:rPr>
              <w:t>​</w:t>
            </w:r>
            <w:r>
              <w:rPr>
                <w:b/>
                <w:bCs/>
                <w:color w:val="000000"/>
                <w:spacing w:val="1"/>
                <w:w w:val="100"/>
                <w:position w:val="0"/>
                <w:sz w:val="17"/>
                <w:szCs w:val="17"/>
                <w:shd w:val="clear" w:color="auto" w:fill="000000"/>
                <w:lang w:val="cs-CZ" w:eastAsia="cs-CZ" w:bidi="cs-CZ"/>
              </w:rPr>
              <w:t>....</w:t>
            </w:r>
            <w:r>
              <w:rPr>
                <w:b/>
                <w:bCs/>
                <w:color w:val="000000"/>
                <w:spacing w:val="2"/>
                <w:w w:val="100"/>
                <w:position w:val="0"/>
                <w:sz w:val="17"/>
                <w:szCs w:val="17"/>
                <w:shd w:val="clear" w:color="auto" w:fill="000000"/>
                <w:lang w:val="cs-CZ" w:eastAsia="cs-CZ" w:bidi="cs-CZ"/>
              </w:rPr>
              <w:t>..........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28801130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CZ28801130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rejstříkový soud v Hradci Králové, oddil C, vložka 28152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000000"/>
                <w:lang w:val="cs-CZ" w:eastAsia="cs-CZ" w:bidi="cs-CZ"/>
              </w:rPr>
              <w:t>...............</w:t>
            </w:r>
            <w:r>
              <w:rPr>
                <w:b/>
                <w:bCs/>
                <w:color w:val="000000"/>
                <w:spacing w:val="1"/>
                <w:w w:val="100"/>
                <w:position w:val="0"/>
                <w:sz w:val="17"/>
                <w:szCs w:val="17"/>
                <w:shd w:val="clear" w:color="auto" w:fill="000000"/>
                <w:lang w:val="cs-CZ" w:eastAsia="cs-CZ" w:bidi="cs-CZ"/>
              </w:rPr>
              <w:t>..............</w:t>
            </w:r>
          </w:p>
        </w:tc>
      </w:tr>
    </w:tbl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„prodávající</w:t>
      </w:r>
    </w:p>
    <w:p>
      <w:pPr>
        <w:widowControl w:val="0"/>
        <w:spacing w:after="5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je oprávněn na základě svého vlastnického práva nakládat s tímto zbožím: ochranné obličejové štíty, jejichž specifikace, vč. jednotkových cen, je uvedena v příloze č. 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12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dodávky zboží podle čl. 1 této smlouvy je rovněž dodání dokladů, které se k dodávanému zboží vztahují a návody k použití v českém jazyce.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69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se zavazuje plnit svůj závazek k dodání zboží podle čl. 1 této smlouvy vždy nejpozději do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4 dní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ode dne účinnosti příslušné dílčí kupní smlouvy, nebude-li dohodnuto jinak. Tento závazek se bude považovat za splněný dnem předání a převzetí příslušného zboží formou písemného předávacího protokolu. Místem splnění závazku prodávajícího k dodání zboží je centrální sklad v sídle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 w:line="269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se zavazuje zaplatit prodávajícímu za předmět koupě a prodeje podle čl. 1 této smlouvy jednotkovou kupní cenu.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color w:val="000000"/>
          <w:spacing w:val="1"/>
          <w:w w:val="100"/>
          <w:position w:val="0"/>
          <w:u w:val="single"/>
          <w:shd w:val="clear" w:color="auto" w:fill="000000"/>
          <w:lang w:val="en-US" w:eastAsia="en-US" w:bidi="en-US"/>
        </w:rPr>
        <w:t>...................</w:t>
      </w:r>
      <w:r>
        <w:rPr>
          <w:color w:val="000000"/>
          <w:spacing w:val="2"/>
          <w:w w:val="100"/>
          <w:position w:val="0"/>
          <w:u w:val="single"/>
          <w:shd w:val="clear" w:color="auto" w:fill="000000"/>
          <w:lang w:val="en-US" w:eastAsia="en-US" w:bidi="en-US"/>
        </w:rPr>
        <w:t>.................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7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28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u w:val="single"/>
          <w:shd w:val="clear" w:color="auto" w:fill="000000"/>
          <w:lang w:val="en-US" w:eastAsia="en-US" w:bidi="en-US"/>
        </w:rPr>
        <w:t>​</w:t>
      </w:r>
      <w:r>
        <w:rPr>
          <w:color w:val="000000"/>
          <w:spacing w:val="1"/>
          <w:w w:val="100"/>
          <w:position w:val="0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color w:val="000000"/>
          <w:spacing w:val="2"/>
          <w:w w:val="100"/>
          <w:position w:val="0"/>
          <w:u w:val="single"/>
          <w:shd w:val="clear" w:color="auto" w:fill="000000"/>
          <w:lang w:val="en-US" w:eastAsia="en-US" w:bidi="en-US"/>
        </w:rPr>
        <w:t>..........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faktuře musí být mimo jiné vždy uvedeno toto číslo veřejné zakázky, ke které se faktura vztahuje: </w:t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P21V00000799.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8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převodem zboží je podle čl. 1 této smlouvy spojena záruka za jeho jakost v trvání 12 měsíců ode dne splnění závazku prodávajícího k dodáni příslušného zboží. V rámci záruky se prodávající zavazuje, že zboží podle čl. 1 této smlouvy bude mít po dobu uvedené záruční lhůty vlastnosti, které jsou dohodnuty, a které jsou stanoveny právními předpisy nebo technickými normami nebo jsou u zboží tohoto druhu obvyklé. V tomto smyslu je součástí dohodnutých vlastností také to, že zboží musí být dodáváno v neporušeném balení, nepoužité, řádně označeno dle příslušných právních předpisů a s minimální skladovací životností 12 měsíců ode splnění závazku prodávajícího k dodání zboží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86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zavazuje, že bude bezplatně odstraňovat vady, které se na zboží podle čl. 1 této smlouvy vyskytnou v záruční lhůtě podle čl. 9 této smlouvy, a to ve lhůtě do 4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88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0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prodávající vady zboží ve lhůtě podle čl. 10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83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závazku prodávajícího k dodání zboží ve lhůtě podle čl. 4 této smlouvy se prodávající zavazuje platit kupujícímu smluvní pokutu ve výši 0,1 % z kupní ceny podle čl. 7 této smlouvy bez DPH. Pro případ prodlení s odstraněním vady ve lhůtě podle čl. 10 této smlouvy se prodávající zavazuje platit kupujícímu smluvní pokutu ve výši 500,- Kč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1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změnit nebo zrušit pouze jinou písemnou dohodou obou smluvních stran. Dále jsou smluvní strany oprávněny vypovědět tuto smlouvu písemnou výpovědí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1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jejího uzavření po jejím podpisu oběma smluvními stranami a účinnosti dnem jejího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57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dobu určitou, a to na dobu jednoho roku od účinnosti této rámcové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62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92100" distB="2017395" distL="0" distR="0" simplePos="0" relativeHeight="125829378" behindDoc="0" locked="0" layoutInCell="1" allowOverlap="1">
                <wp:simplePos x="0" y="0"/>
                <wp:positionH relativeFrom="page">
                  <wp:posOffset>4222750</wp:posOffset>
                </wp:positionH>
                <wp:positionV relativeFrom="paragraph">
                  <wp:posOffset>292100</wp:posOffset>
                </wp:positionV>
                <wp:extent cx="2038985" cy="1587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89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.​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8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9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2.5pt;margin-top:23.pt;width:160.55000000000001pt;height:12.5pt;z-index:-125829375;mso-wrap-distance-left:0;mso-wrap-distance-top:23.pt;mso-wrap-distance-right:0;mso-wrap-distance-bottom:158.8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.​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8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9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09930" distB="1185545" distL="0" distR="0" simplePos="0" relativeHeight="125829380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709930</wp:posOffset>
            </wp:positionV>
            <wp:extent cx="2359025" cy="57277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59025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07670" distB="1481455" distL="0" distR="0" simplePos="0" relativeHeight="125829381" behindDoc="0" locked="0" layoutInCell="1" allowOverlap="1">
                <wp:simplePos x="0" y="0"/>
                <wp:positionH relativeFrom="page">
                  <wp:posOffset>4436110</wp:posOffset>
                </wp:positionH>
                <wp:positionV relativeFrom="paragraph">
                  <wp:posOffset>407670</wp:posOffset>
                </wp:positionV>
                <wp:extent cx="895985" cy="57912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6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bookmarkStart w:id="0" w:name="bookmark0"/>
                            <w:bookmarkEnd w:id="0"/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2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3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​....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1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​.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1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2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3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​........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1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9.30000000000001pt;margin-top:32.100000000000001pt;width:70.549999999999997pt;height:45.600000000000001pt;z-index:-125829372;mso-wrap-distance-left:0;mso-wrap-distance-top:32.100000000000001pt;mso-wrap-distance-right:0;mso-wrap-distance-bottom:116.65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firstLine="0"/>
                        <w:jc w:val="right"/>
                      </w:pP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6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bookmarkStart w:id="0" w:name="bookmark0"/>
                      <w:bookmarkEnd w:id="0"/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2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3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​....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1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​.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1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2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3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​........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1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01115" distB="0" distL="0" distR="0" simplePos="0" relativeHeight="125829383" behindDoc="0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1301115</wp:posOffset>
                </wp:positionV>
                <wp:extent cx="2541905" cy="116713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1905" cy="1167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67D1ED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Jihomoravského kraje, o o</w:t>
                              <w:br/>
                              <w:t>Kamenice 798/1 d, 625 00 Brno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256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67D1ED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1: Specifikace, Ceník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2.350000000000009pt;margin-top:102.45pt;width:200.15000000000001pt;height:91.900000000000006pt;z-index:-125829370;mso-wrap-distance-left:0;mso-wrap-distance-top:102.4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MUDr. Hana Albrechtová ředitelka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67D1ED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Jihomoravského kraje, o o</w:t>
                        <w:br/>
                        <w:t>Kamenice 798/1 d, 625 00 Brno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256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67D1ED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1: Specifikace, Ceník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06830" distB="802005" distL="0" distR="0" simplePos="0" relativeHeight="125829385" behindDoc="0" locked="0" layoutInCell="1" allowOverlap="1">
                <wp:simplePos x="0" y="0"/>
                <wp:positionH relativeFrom="page">
                  <wp:posOffset>4219575</wp:posOffset>
                </wp:positionH>
                <wp:positionV relativeFrom="paragraph">
                  <wp:posOffset>1306830</wp:posOffset>
                </wp:positionV>
                <wp:extent cx="938530" cy="3594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853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Vladimír Šádek jednatel s.rjo.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2.25pt;margin-top:102.90000000000001pt;width:73.900000000000006pt;height:28.300000000000001pt;z-index:-125829368;mso-wrap-distance-left:0;mso-wrap-distance-top:102.90000000000001pt;mso-wrap-distance-right:0;mso-wrap-distance-bottom:63.149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Vladimír Šádek jednatel s.rjo.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14020" distB="841375" distL="0" distR="0" simplePos="0" relativeHeight="125829387" behindDoc="0" locked="0" layoutInCell="1" allowOverlap="1">
            <wp:simplePos x="0" y="0"/>
            <wp:positionH relativeFrom="page">
              <wp:posOffset>4914900</wp:posOffset>
            </wp:positionH>
            <wp:positionV relativeFrom="paragraph">
              <wp:posOffset>414020</wp:posOffset>
            </wp:positionV>
            <wp:extent cx="1042670" cy="121285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42670" cy="12128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670050" distB="639445" distL="0" distR="0" simplePos="0" relativeHeight="125829388" behindDoc="0" locked="0" layoutInCell="1" allowOverlap="1">
                <wp:simplePos x="0" y="0"/>
                <wp:positionH relativeFrom="page">
                  <wp:posOffset>4232275</wp:posOffset>
                </wp:positionH>
                <wp:positionV relativeFrom="paragraph">
                  <wp:posOffset>1670050</wp:posOffset>
                </wp:positionV>
                <wp:extent cx="701040" cy="15875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Prodávající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3.25pt;margin-top:131.5pt;width:55.200000000000003pt;height:12.5pt;z-index:-125829365;mso-wrap-distance-left:0;mso-wrap-distance-top:131.5pt;mso-wrap-distance-right:0;mso-wrap-distance-bottom:50.35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9450" distB="1429385" distL="0" distR="0" simplePos="0" relativeHeight="125829390" behindDoc="0" locked="0" layoutInCell="1" allowOverlap="1">
                <wp:simplePos x="0" y="0"/>
                <wp:positionH relativeFrom="page">
                  <wp:posOffset>5347335</wp:posOffset>
                </wp:positionH>
                <wp:positionV relativeFrom="paragraph">
                  <wp:posOffset>679450</wp:posOffset>
                </wp:positionV>
                <wp:extent cx="1069975" cy="35941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997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1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7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1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2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​..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1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​..​..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1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9195A3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h ra d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​..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1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b w:val="0"/>
                                <w:bCs w:val="0"/>
                                <w:color w:val="9195A3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1130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1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.........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2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ža </w:t>
                            </w:r>
                            <w:r>
                              <w:rPr>
                                <w:b w:val="0"/>
                                <w:bCs w:val="0"/>
                                <w:color w:val="9195A3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taa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1.05000000000001pt;margin-top:53.5pt;width:84.25pt;height:28.300000000000001pt;z-index:-125829363;mso-wrap-distance-left:0;mso-wrap-distance-top:53.5pt;mso-wrap-distance-right:0;mso-wrap-distance-bottom:112.5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1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7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1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2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​..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1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​..​..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1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b w:val="0"/>
                          <w:bCs w:val="0"/>
                          <w:color w:val="9195A3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h ra d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​..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1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b w:val="0"/>
                          <w:bCs w:val="0"/>
                          <w:color w:val="9195A3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1130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1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.........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2"/>
                          <w:w w:val="100"/>
                          <w:position w:val="0"/>
                          <w:sz w:val="16"/>
                          <w:szCs w:val="16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ža </w:t>
                      </w:r>
                      <w:r>
                        <w:rPr>
                          <w:b w:val="0"/>
                          <w:bCs w:val="0"/>
                          <w:color w:val="9195A3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taa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4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Specifikace, Ceník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obličejového ochranného štítu</w:t>
      </w:r>
    </w:p>
    <w:tbl>
      <w:tblPr>
        <w:tblOverlap w:val="never"/>
        <w:jc w:val="center"/>
        <w:tblLayout w:type="fixed"/>
      </w:tblPr>
      <w:tblGrid>
        <w:gridCol w:w="4560"/>
        <w:gridCol w:w="4589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Shoda s nařízením EU (EU) 2016/425 (prohlášení o shodě)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Označení CE na výrobku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Určen k ochraně celého obličeje (ne však prodloužená verze)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Čiré transparentní provedení zorníku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Minimální rozměry zorníku: výška 220 mm, šířka 300 mm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výška 240 mm, šířka 296 mm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Nemlžící se provedení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Možnost použití s dioptrickými brýlemi, rouškou, respirátorem, nanomaskou s bočními filtry (např. WPAV4)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Opakovaně použitelný (omyvatelný a dezinfikovatelný)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Upevnění pomocí čelenky a gumy s možností regulace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Název výrobce a obchodní název výrobku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výrobce: GIFTY s.r.o.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Ochranný obličejový štít, typ: UHK 1.0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Individuálně balený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ANO</w:t>
            </w:r>
          </w:p>
        </w:tc>
      </w:tr>
    </w:tbl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</w:t>
      </w:r>
    </w:p>
    <w:tbl>
      <w:tblPr>
        <w:tblOverlap w:val="never"/>
        <w:jc w:val="center"/>
        <w:tblLayout w:type="fixed"/>
      </w:tblPr>
      <w:tblGrid>
        <w:gridCol w:w="1728"/>
        <w:gridCol w:w="1920"/>
        <w:gridCol w:w="1464"/>
        <w:gridCol w:w="1464"/>
        <w:gridCol w:w="1224"/>
        <w:gridCol w:w="1277"/>
      </w:tblGrid>
      <w:tr>
        <w:trPr>
          <w:trHeight w:val="10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Předpokládaný odběr v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za ks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za kus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 Kč vč. DPH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Obličejový ochranný štít -</w:t>
            </w:r>
          </w:p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UHK 1.0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50,-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60,50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125 000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151 250 Kč</w:t>
            </w:r>
          </w:p>
        </w:tc>
      </w:tr>
    </w:tbl>
    <w:sectPr>
      <w:footerReference w:type="default" r:id="rId9"/>
      <w:footnotePr>
        <w:pos w:val="pageBottom"/>
        <w:numFmt w:val="decimal"/>
        <w:numRestart w:val="continuous"/>
      </w:footnotePr>
      <w:pgSz w:w="11900" w:h="16840"/>
      <w:pgMar w:top="373" w:right="1302" w:bottom="1194" w:left="1396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944245</wp:posOffset>
              </wp:positionH>
              <wp:positionV relativeFrom="page">
                <wp:posOffset>10091420</wp:posOffset>
              </wp:positionV>
              <wp:extent cx="1771015" cy="10350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7101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VZ 18-21 Ochranné obličejové štíty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4.350000000000009pt;margin-top:794.60000000000002pt;width:139.45000000000002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VZ 18-21 Ochranné obličejové štíty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Nadpis #2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7">
    <w:name w:val="Základní text (2)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7">
    <w:name w:val="Nadpis #1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29">
    <w:name w:val="Záhlaví nebo zápatí (2)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Nadpis #3_"/>
    <w:basedOn w:val="DefaultParagraphFont"/>
    <w:link w:val="Style31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CharStyle34">
    <w:name w:val="Nadpis #4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">
    <w:name w:val="Titulek tabulky_"/>
    <w:basedOn w:val="DefaultParagraphFont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0">
    <w:name w:val="Jiné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auto"/>
      <w:spacing w:after="40"/>
      <w:ind w:right="340"/>
      <w:jc w:val="right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16">
    <w:name w:val="Základní text (2)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6">
    <w:name w:val="Nadpis #1"/>
    <w:basedOn w:val="Normal"/>
    <w:link w:val="CharStyle27"/>
    <w:pPr>
      <w:widowControl w:val="0"/>
      <w:shd w:val="clear" w:color="auto" w:fill="auto"/>
      <w:spacing w:after="1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28">
    <w:name w:val="Záhlaví nebo zápatí (2)"/>
    <w:basedOn w:val="Normal"/>
    <w:link w:val="CharStyle2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Nadpis #3"/>
    <w:basedOn w:val="Normal"/>
    <w:link w:val="CharStyle32"/>
    <w:pPr>
      <w:widowControl w:val="0"/>
      <w:shd w:val="clear" w:color="auto" w:fill="auto"/>
      <w:spacing w:after="32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paragraph" w:customStyle="1" w:styleId="Style33">
    <w:name w:val="Nadpis #4"/>
    <w:basedOn w:val="Normal"/>
    <w:link w:val="CharStyle34"/>
    <w:pPr>
      <w:widowControl w:val="0"/>
      <w:shd w:val="clear" w:color="auto" w:fill="auto"/>
      <w:spacing w:after="320"/>
      <w:ind w:left="2040" w:hanging="132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5">
    <w:name w:val="Titulek tabulky"/>
    <w:basedOn w:val="Normal"/>
    <w:link w:val="CharStyle3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39">
    <w:name w:val="Jiné"/>
    <w:basedOn w:val="Normal"/>
    <w:link w:val="CharStyle40"/>
    <w:pPr>
      <w:widowControl w:val="0"/>
      <w:shd w:val="clear" w:color="auto" w:fill="auto"/>
      <w:spacing w:after="1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