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6" w:rsidRPr="004035F6" w:rsidRDefault="004035F6" w:rsidP="00D939BB">
      <w:pPr>
        <w:rPr>
          <w:rFonts w:ascii="Calibri" w:hAnsi="Calibri" w:cs="Calibri"/>
          <w:sz w:val="3"/>
          <w:szCs w:val="3"/>
        </w:rPr>
      </w:pPr>
    </w:p>
    <w:p w:rsidR="004035F6" w:rsidRPr="004035F6" w:rsidRDefault="004035F6" w:rsidP="004035F6">
      <w:pPr>
        <w:tabs>
          <w:tab w:val="left" w:pos="6120"/>
        </w:tabs>
        <w:rPr>
          <w:rFonts w:ascii="Calibri" w:hAnsi="Calibri" w:cs="Calibri"/>
          <w:sz w:val="21"/>
          <w:szCs w:val="21"/>
        </w:rPr>
      </w:pPr>
    </w:p>
    <w:p w:rsidR="00211015" w:rsidRDefault="008625A5" w:rsidP="00C56FFE">
      <w:pPr>
        <w:autoSpaceDE w:val="0"/>
        <w:autoSpaceDN w:val="0"/>
        <w:adjustRightInd w:val="0"/>
        <w:rPr>
          <w:rFonts w:ascii="Calibri Light" w:hAnsi="Calibri Light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 w:rsidR="00DF0062">
        <w:rPr>
          <w:rFonts w:ascii="Calibri" w:hAnsi="Calibri" w:cs="Calibri"/>
          <w:sz w:val="22"/>
          <w:szCs w:val="22"/>
        </w:rPr>
        <w:t xml:space="preserve">                                                    </w:t>
      </w:r>
    </w:p>
    <w:p w:rsidR="008628C9" w:rsidRPr="001F7165" w:rsidRDefault="008628C9" w:rsidP="00481633">
      <w:pPr>
        <w:pStyle w:val="odvolacka"/>
        <w:spacing w:before="80"/>
        <w:rPr>
          <w:rFonts w:ascii="Calibri Light" w:hAnsi="Calibri Light" w:cs="Calibri"/>
          <w:sz w:val="18"/>
          <w:szCs w:val="18"/>
        </w:rPr>
      </w:pPr>
    </w:p>
    <w:p w:rsidR="00DD71A0" w:rsidRDefault="00FA1B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</w:t>
      </w:r>
    </w:p>
    <w:p w:rsidR="00FA1B20" w:rsidRDefault="00FA1B20">
      <w:pPr>
        <w:rPr>
          <w:rFonts w:ascii="Calibri" w:hAnsi="Calibri" w:cs="Calibri"/>
          <w:sz w:val="22"/>
          <w:szCs w:val="22"/>
        </w:rPr>
      </w:pP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 xml:space="preserve">Národní památkový ústav, státní </w:t>
      </w:r>
      <w:r w:rsidRPr="00FA1B20">
        <w:rPr>
          <w:rFonts w:asciiTheme="minorHAnsi" w:eastAsia="HiddenHorzOCR" w:hAnsiTheme="minorHAnsi" w:cstheme="minorHAnsi"/>
          <w:b/>
          <w:color w:val="080708"/>
          <w:sz w:val="22"/>
          <w:szCs w:val="22"/>
        </w:rPr>
        <w:t xml:space="preserve">příspěvková </w:t>
      </w:r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>organizace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IČO: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75032333</w:t>
      </w:r>
      <w:r w:rsidR="00CB1FD1">
        <w:rPr>
          <w:rFonts w:asciiTheme="minorHAnsi" w:hAnsiTheme="minorHAnsi" w:cstheme="minorHAnsi"/>
          <w:color w:val="080708"/>
          <w:sz w:val="22"/>
          <w:szCs w:val="22"/>
        </w:rPr>
        <w:t xml:space="preserve">, </w:t>
      </w:r>
      <w:r w:rsidR="00CB1FD1">
        <w:rPr>
          <w:rFonts w:ascii="Calibri" w:hAnsi="Calibri" w:cs="Calibri"/>
          <w:sz w:val="22"/>
          <w:szCs w:val="22"/>
        </w:rPr>
        <w:t>DIČ CZ75032333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>se sídlem</w:t>
      </w:r>
      <w:r w:rsidRPr="00FA1B20">
        <w:rPr>
          <w:rFonts w:asciiTheme="minorHAnsi" w:hAnsiTheme="minorHAnsi" w:cstheme="minorHAnsi"/>
          <w:color w:val="2B2C2B"/>
          <w:sz w:val="22"/>
          <w:szCs w:val="22"/>
        </w:rPr>
        <w:t xml:space="preserve">: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Valdštejnské nám. 162/3, 118 01 Praha 1- Malá Strana</w:t>
      </w:r>
    </w:p>
    <w:p w:rsidR="00FA1B20" w:rsidRDefault="00FA1B20" w:rsidP="00FA1B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zastoupený: Ing. arch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Naděždou </w:t>
      </w:r>
      <w:proofErr w:type="spellStart"/>
      <w:r w:rsidRPr="00FA1B20">
        <w:rPr>
          <w:rFonts w:asciiTheme="minorHAnsi" w:hAnsiTheme="minorHAnsi" w:cstheme="minorHAnsi"/>
          <w:color w:val="080708"/>
          <w:sz w:val="22"/>
          <w:szCs w:val="22"/>
        </w:rPr>
        <w:t>Goryczkovou</w:t>
      </w:r>
      <w:proofErr w:type="spellEnd"/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, generální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>ředitelkou</w:t>
      </w:r>
    </w:p>
    <w:p w:rsidR="00FA1B20" w:rsidRDefault="00FA1B20" w:rsidP="00FA1B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80708"/>
          <w:sz w:val="22"/>
          <w:szCs w:val="22"/>
        </w:rPr>
      </w:pPr>
    </w:p>
    <w:p w:rsidR="00FA1B20" w:rsidRDefault="00FA1B20" w:rsidP="00FA1B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3D3D3D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adresa pro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>doručování</w:t>
      </w:r>
      <w:r w:rsidRPr="00FA1B20">
        <w:rPr>
          <w:rFonts w:asciiTheme="minorHAnsi" w:eastAsia="HiddenHorzOCR" w:hAnsiTheme="minorHAnsi" w:cstheme="minorHAnsi"/>
          <w:color w:val="3D3D3D"/>
          <w:sz w:val="22"/>
          <w:szCs w:val="22"/>
        </w:rPr>
        <w:t>: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Národní památkový ústav, územní odborné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pracoviště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v Praze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Na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Perštýně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356/12</w:t>
      </w:r>
      <w:r>
        <w:rPr>
          <w:rFonts w:asciiTheme="minorHAnsi" w:hAnsiTheme="minorHAnsi" w:cstheme="minorHAnsi"/>
          <w:color w:val="080708"/>
          <w:sz w:val="22"/>
          <w:szCs w:val="22"/>
        </w:rPr>
        <w:t>,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 110 00 Praha 1-Staré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>Mě</w:t>
      </w:r>
      <w:r>
        <w:rPr>
          <w:rFonts w:asciiTheme="minorHAnsi" w:eastAsia="HiddenHorzOCR" w:hAnsiTheme="minorHAnsi" w:cstheme="minorHAnsi"/>
          <w:color w:val="080708"/>
          <w:sz w:val="22"/>
          <w:szCs w:val="22"/>
        </w:rPr>
        <w:t>sto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kontaktní osoba pro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věcná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jednání:</w:t>
      </w:r>
    </w:p>
    <w:p w:rsid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>
        <w:rPr>
          <w:rFonts w:asciiTheme="minorHAnsi" w:hAnsiTheme="minorHAnsi" w:cstheme="minorHAnsi"/>
          <w:color w:val="080708"/>
          <w:sz w:val="22"/>
          <w:szCs w:val="22"/>
        </w:rPr>
        <w:t xml:space="preserve">PhDr. Jaroslav </w:t>
      </w:r>
      <w:proofErr w:type="spellStart"/>
      <w:r>
        <w:rPr>
          <w:rFonts w:asciiTheme="minorHAnsi" w:hAnsiTheme="minorHAnsi" w:cstheme="minorHAnsi"/>
          <w:color w:val="080708"/>
          <w:sz w:val="22"/>
          <w:szCs w:val="22"/>
        </w:rPr>
        <w:t>Podliska</w:t>
      </w:r>
      <w:proofErr w:type="spellEnd"/>
      <w:r>
        <w:rPr>
          <w:rFonts w:asciiTheme="minorHAnsi" w:hAnsiTheme="minorHAnsi" w:cstheme="minorHAnsi"/>
          <w:color w:val="080708"/>
          <w:sz w:val="22"/>
          <w:szCs w:val="22"/>
        </w:rPr>
        <w:t xml:space="preserve"> Ph.D., ředitel</w:t>
      </w:r>
      <w:r w:rsidR="008F4F51">
        <w:rPr>
          <w:rFonts w:asciiTheme="minorHAnsi" w:hAnsiTheme="minorHAnsi" w:cstheme="minorHAnsi"/>
          <w:color w:val="080708"/>
          <w:sz w:val="22"/>
          <w:szCs w:val="22"/>
        </w:rPr>
        <w:t xml:space="preserve">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územního odborného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pracoviště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v</w:t>
      </w:r>
      <w:r>
        <w:rPr>
          <w:rFonts w:asciiTheme="minorHAnsi" w:hAnsiTheme="minorHAnsi" w:cstheme="minorHAnsi"/>
          <w:color w:val="080708"/>
          <w:sz w:val="22"/>
          <w:szCs w:val="22"/>
        </w:rPr>
        <w:t> 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Praze</w:t>
      </w:r>
    </w:p>
    <w:p w:rsid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>
        <w:rPr>
          <w:rFonts w:asciiTheme="minorHAnsi" w:hAnsiTheme="minorHAnsi" w:cstheme="minorHAnsi"/>
          <w:color w:val="080708"/>
          <w:sz w:val="22"/>
          <w:szCs w:val="22"/>
        </w:rPr>
        <w:t>(dále jen „NPÚ")</w:t>
      </w:r>
    </w:p>
    <w:p w:rsid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</w:p>
    <w:p w:rsid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>
        <w:rPr>
          <w:rFonts w:asciiTheme="minorHAnsi" w:hAnsiTheme="minorHAnsi" w:cstheme="minorHAnsi"/>
          <w:color w:val="080708"/>
          <w:sz w:val="22"/>
          <w:szCs w:val="22"/>
        </w:rPr>
        <w:t>a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 xml:space="preserve">Archeologický ústav AV </w:t>
      </w:r>
      <w:r w:rsidRPr="00FA1B20">
        <w:rPr>
          <w:rFonts w:asciiTheme="minorHAnsi" w:eastAsia="HiddenHorzOCR" w:hAnsiTheme="minorHAnsi" w:cstheme="minorHAnsi"/>
          <w:b/>
          <w:color w:val="080708"/>
          <w:sz w:val="22"/>
          <w:szCs w:val="22"/>
        </w:rPr>
        <w:t xml:space="preserve">ČR, </w:t>
      </w:r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 xml:space="preserve">Praha, </w:t>
      </w:r>
      <w:proofErr w:type="spellStart"/>
      <w:proofErr w:type="gramStart"/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>v.v.</w:t>
      </w:r>
      <w:proofErr w:type="gramEnd"/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>i</w:t>
      </w:r>
      <w:proofErr w:type="spellEnd"/>
      <w:r w:rsidRPr="00FA1B20">
        <w:rPr>
          <w:rFonts w:asciiTheme="minorHAnsi" w:hAnsiTheme="minorHAnsi" w:cstheme="minorHAnsi"/>
          <w:b/>
          <w:color w:val="080708"/>
          <w:sz w:val="22"/>
          <w:szCs w:val="22"/>
        </w:rPr>
        <w:t>.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IČO </w:t>
      </w:r>
      <w:r w:rsidRPr="00FA1B20">
        <w:rPr>
          <w:rFonts w:asciiTheme="minorHAnsi" w:eastAsia="HiddenHorzOCR" w:hAnsiTheme="minorHAnsi" w:cstheme="minorHAnsi"/>
          <w:color w:val="2B2C2B"/>
          <w:sz w:val="22"/>
          <w:szCs w:val="22"/>
        </w:rPr>
        <w:t xml:space="preserve">: 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>767985912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>se sídlem: Letenská 4, 118 01 Praha 1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>zastoupený: Mgr. Jan</w:t>
      </w:r>
      <w:r>
        <w:rPr>
          <w:rFonts w:asciiTheme="minorHAnsi" w:hAnsiTheme="minorHAnsi" w:cstheme="minorHAnsi"/>
          <w:color w:val="080708"/>
          <w:sz w:val="22"/>
          <w:szCs w:val="22"/>
        </w:rPr>
        <w:t>em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>Mařík</w:t>
      </w:r>
      <w:r>
        <w:rPr>
          <w:rFonts w:asciiTheme="minorHAnsi" w:eastAsia="HiddenHorzOCR" w:hAnsiTheme="minorHAnsi" w:cstheme="minorHAnsi"/>
          <w:color w:val="080708"/>
          <w:sz w:val="22"/>
          <w:szCs w:val="22"/>
        </w:rPr>
        <w:t>em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80708"/>
          <w:sz w:val="22"/>
          <w:szCs w:val="22"/>
        </w:rPr>
        <w:t>Ph.D</w:t>
      </w: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.,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>ředitelem</w:t>
      </w:r>
    </w:p>
    <w:p w:rsidR="00CB1FD1" w:rsidRDefault="00CB1FD1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</w:p>
    <w:p w:rsid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>(dále jen „ARÚP")</w:t>
      </w:r>
    </w:p>
    <w:p w:rsidR="00FA1B20" w:rsidRPr="00FA1B20" w:rsidRDefault="00FA1B20" w:rsidP="00FA1B20">
      <w:pPr>
        <w:autoSpaceDE w:val="0"/>
        <w:autoSpaceDN w:val="0"/>
        <w:adjustRightInd w:val="0"/>
        <w:rPr>
          <w:rFonts w:asciiTheme="minorHAnsi" w:hAnsiTheme="minorHAnsi" w:cstheme="minorHAnsi"/>
          <w:color w:val="080708"/>
          <w:sz w:val="22"/>
          <w:szCs w:val="22"/>
        </w:rPr>
      </w:pPr>
    </w:p>
    <w:p w:rsidR="00D634BF" w:rsidRDefault="00FA1B20" w:rsidP="00FA1B20">
      <w:pPr>
        <w:rPr>
          <w:rFonts w:asciiTheme="minorHAnsi" w:hAnsiTheme="minorHAnsi" w:cstheme="minorHAnsi"/>
          <w:color w:val="080708"/>
          <w:sz w:val="22"/>
          <w:szCs w:val="22"/>
        </w:rPr>
      </w:pPr>
      <w:r w:rsidRPr="00FA1B20">
        <w:rPr>
          <w:rFonts w:asciiTheme="minorHAnsi" w:hAnsiTheme="minorHAnsi" w:cstheme="minorHAnsi"/>
          <w:color w:val="080708"/>
          <w:sz w:val="22"/>
          <w:szCs w:val="22"/>
        </w:rPr>
        <w:t xml:space="preserve">uzavírají níže uvedeného dne, </w:t>
      </w:r>
      <w:r w:rsidRPr="00FA1B20">
        <w:rPr>
          <w:rFonts w:asciiTheme="minorHAnsi" w:eastAsia="HiddenHorzOCR" w:hAnsiTheme="minorHAnsi" w:cstheme="minorHAnsi"/>
          <w:color w:val="080708"/>
          <w:sz w:val="22"/>
          <w:szCs w:val="22"/>
        </w:rPr>
        <w:t xml:space="preserve">měsíce </w:t>
      </w:r>
      <w:r w:rsidR="00E46C14">
        <w:rPr>
          <w:rFonts w:asciiTheme="minorHAnsi" w:hAnsiTheme="minorHAnsi" w:cstheme="minorHAnsi"/>
          <w:color w:val="080708"/>
          <w:sz w:val="22"/>
          <w:szCs w:val="22"/>
        </w:rPr>
        <w:t xml:space="preserve">a roku </w:t>
      </w:r>
      <w:r w:rsidR="00BA01BC">
        <w:rPr>
          <w:rFonts w:asciiTheme="minorHAnsi" w:hAnsiTheme="minorHAnsi" w:cstheme="minorHAnsi"/>
          <w:color w:val="080708"/>
          <w:sz w:val="22"/>
          <w:szCs w:val="22"/>
        </w:rPr>
        <w:t>tento</w:t>
      </w:r>
      <w:r w:rsidR="00E46C14">
        <w:rPr>
          <w:rFonts w:asciiTheme="minorHAnsi" w:hAnsiTheme="minorHAnsi" w:cstheme="minorHAnsi"/>
          <w:color w:val="080708"/>
          <w:sz w:val="22"/>
          <w:szCs w:val="22"/>
        </w:rPr>
        <w:t xml:space="preserve"> </w:t>
      </w:r>
    </w:p>
    <w:p w:rsidR="00BA01BC" w:rsidRPr="00E46C14" w:rsidRDefault="00BA01BC" w:rsidP="00D634BF">
      <w:pPr>
        <w:jc w:val="center"/>
        <w:rPr>
          <w:rFonts w:asciiTheme="minorHAnsi" w:hAnsiTheme="minorHAnsi" w:cstheme="minorHAnsi"/>
          <w:color w:val="080708"/>
          <w:sz w:val="22"/>
          <w:szCs w:val="22"/>
        </w:rPr>
      </w:pPr>
      <w:r>
        <w:rPr>
          <w:rFonts w:asciiTheme="minorHAnsi" w:hAnsiTheme="minorHAnsi" w:cstheme="minorHAnsi"/>
          <w:b/>
          <w:color w:val="080708"/>
        </w:rPr>
        <w:t>Dodatek č.</w:t>
      </w:r>
      <w:r w:rsidR="00D634BF">
        <w:rPr>
          <w:rFonts w:asciiTheme="minorHAnsi" w:hAnsiTheme="minorHAnsi" w:cstheme="minorHAnsi"/>
          <w:b/>
          <w:color w:val="080708"/>
        </w:rPr>
        <w:t xml:space="preserve"> 1</w:t>
      </w:r>
      <w:r w:rsidR="00E46C14">
        <w:rPr>
          <w:rFonts w:asciiTheme="minorHAnsi" w:hAnsiTheme="minorHAnsi" w:cstheme="minorHAnsi"/>
          <w:b/>
          <w:color w:val="080708"/>
        </w:rPr>
        <w:t>.</w:t>
      </w:r>
    </w:p>
    <w:p w:rsidR="00BA01BC" w:rsidRDefault="00BA01BC" w:rsidP="00FA1B20">
      <w:pPr>
        <w:rPr>
          <w:rFonts w:asciiTheme="minorHAnsi" w:hAnsiTheme="minorHAnsi" w:cstheme="minorHAnsi"/>
          <w:b/>
          <w:color w:val="080708"/>
        </w:rPr>
      </w:pPr>
    </w:p>
    <w:p w:rsidR="00BA01BC" w:rsidRDefault="00E46C14" w:rsidP="00E46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1BC">
        <w:rPr>
          <w:rFonts w:asciiTheme="minorHAnsi" w:hAnsiTheme="minorHAnsi" w:cstheme="minorHAnsi"/>
          <w:b/>
          <w:sz w:val="22"/>
          <w:szCs w:val="22"/>
        </w:rPr>
        <w:t>Článek</w:t>
      </w:r>
      <w:r w:rsidR="00CA2839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BA01BC">
        <w:rPr>
          <w:rFonts w:asciiTheme="minorHAnsi" w:hAnsiTheme="minorHAnsi" w:cstheme="minorHAnsi"/>
          <w:b/>
          <w:sz w:val="22"/>
          <w:szCs w:val="22"/>
        </w:rPr>
        <w:t>.</w:t>
      </w:r>
    </w:p>
    <w:p w:rsidR="00E46C14" w:rsidRDefault="00E46C14" w:rsidP="00E46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F326E8" w:rsidRDefault="00F326E8" w:rsidP="00E46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6C14" w:rsidRPr="00DA26D7" w:rsidRDefault="00E46C14" w:rsidP="00CA2839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/>
          <w:color w:val="080708"/>
          <w:sz w:val="22"/>
          <w:szCs w:val="22"/>
        </w:rPr>
      </w:pPr>
      <w:r w:rsidRPr="00DA26D7">
        <w:rPr>
          <w:rFonts w:asciiTheme="minorHAnsi" w:hAnsiTheme="minorHAnsi" w:cstheme="minorHAnsi"/>
          <w:color w:val="080708"/>
          <w:sz w:val="22"/>
          <w:szCs w:val="22"/>
        </w:rPr>
        <w:t>Výše uvedené smluvní strany prohlašují, že dne 7. 12. 201</w:t>
      </w:r>
      <w:r w:rsidR="00AA637E">
        <w:rPr>
          <w:rFonts w:asciiTheme="minorHAnsi" w:hAnsiTheme="minorHAnsi" w:cstheme="minorHAnsi"/>
          <w:color w:val="080708"/>
          <w:sz w:val="22"/>
          <w:szCs w:val="22"/>
        </w:rPr>
        <w:t>8 uzavřely Smlouvu o spolupráci,</w:t>
      </w:r>
      <w:r w:rsidR="003104B7">
        <w:rPr>
          <w:rFonts w:asciiTheme="minorHAnsi" w:hAnsiTheme="minorHAnsi" w:cstheme="minorHAnsi"/>
          <w:color w:val="080708"/>
          <w:sz w:val="22"/>
          <w:szCs w:val="22"/>
        </w:rPr>
        <w:t xml:space="preserve"> kterou je </w:t>
      </w:r>
      <w:r w:rsidR="00AA637E">
        <w:rPr>
          <w:rFonts w:asciiTheme="minorHAnsi" w:hAnsiTheme="minorHAnsi" w:cstheme="minorHAnsi"/>
          <w:color w:val="080708"/>
          <w:sz w:val="22"/>
          <w:szCs w:val="22"/>
        </w:rPr>
        <w:t xml:space="preserve">rozvíjena </w:t>
      </w:r>
      <w:r w:rsidR="003104B7">
        <w:rPr>
          <w:rFonts w:asciiTheme="minorHAnsi" w:hAnsiTheme="minorHAnsi" w:cstheme="minorHAnsi"/>
          <w:color w:val="080708"/>
          <w:sz w:val="22"/>
          <w:szCs w:val="22"/>
        </w:rPr>
        <w:t xml:space="preserve">spolupráce </w:t>
      </w:r>
      <w:r w:rsidR="00CB1FD1">
        <w:rPr>
          <w:rFonts w:asciiTheme="minorHAnsi" w:hAnsiTheme="minorHAnsi" w:cstheme="minorHAnsi"/>
          <w:color w:val="080708"/>
          <w:sz w:val="22"/>
          <w:szCs w:val="22"/>
        </w:rPr>
        <w:t>navazující</w:t>
      </w:r>
      <w:r w:rsidR="00DA26D7" w:rsidRPr="00DA26D7">
        <w:rPr>
          <w:rFonts w:asciiTheme="minorHAnsi" w:hAnsiTheme="minorHAnsi" w:cstheme="minorHAnsi"/>
          <w:color w:val="080708"/>
          <w:sz w:val="22"/>
          <w:szCs w:val="22"/>
        </w:rPr>
        <w:t xml:space="preserve"> na projekt </w:t>
      </w:r>
      <w:r w:rsidR="00DA26D7" w:rsidRPr="00AA637E">
        <w:rPr>
          <w:rFonts w:asciiTheme="minorHAnsi" w:hAnsiTheme="minorHAnsi" w:cstheme="minorHAnsi"/>
          <w:i/>
          <w:color w:val="080708"/>
          <w:sz w:val="22"/>
          <w:szCs w:val="22"/>
        </w:rPr>
        <w:t xml:space="preserve">Integrovaný </w:t>
      </w:r>
      <w:r w:rsidR="00DA26D7" w:rsidRPr="00AA637E">
        <w:rPr>
          <w:rFonts w:asciiTheme="minorHAnsi" w:eastAsia="HiddenHorzOCR" w:hAnsiTheme="minorHAnsi" w:cstheme="minorHAnsi"/>
          <w:i/>
          <w:color w:val="080708"/>
          <w:sz w:val="22"/>
          <w:szCs w:val="22"/>
        </w:rPr>
        <w:t xml:space="preserve">informační </w:t>
      </w:r>
      <w:r w:rsidR="00DA26D7" w:rsidRPr="00AA637E">
        <w:rPr>
          <w:rFonts w:asciiTheme="minorHAnsi" w:hAnsiTheme="minorHAnsi" w:cstheme="minorHAnsi"/>
          <w:i/>
          <w:color w:val="080708"/>
          <w:sz w:val="22"/>
          <w:szCs w:val="22"/>
        </w:rPr>
        <w:t xml:space="preserve">systém archeologických </w:t>
      </w:r>
      <w:r w:rsidR="00DA26D7" w:rsidRPr="00AA637E">
        <w:rPr>
          <w:rFonts w:asciiTheme="minorHAnsi" w:eastAsia="HiddenHorzOCR" w:hAnsiTheme="minorHAnsi" w:cstheme="minorHAnsi"/>
          <w:i/>
          <w:color w:val="080708"/>
          <w:sz w:val="22"/>
          <w:szCs w:val="22"/>
        </w:rPr>
        <w:t xml:space="preserve">pramenů </w:t>
      </w:r>
      <w:r w:rsidR="00DA26D7" w:rsidRPr="00AA637E">
        <w:rPr>
          <w:rFonts w:asciiTheme="minorHAnsi" w:hAnsiTheme="minorHAnsi" w:cstheme="minorHAnsi"/>
          <w:i/>
          <w:color w:val="080708"/>
          <w:sz w:val="22"/>
          <w:szCs w:val="22"/>
        </w:rPr>
        <w:t>Prahy</w:t>
      </w:r>
      <w:r w:rsidR="003104B7">
        <w:rPr>
          <w:rFonts w:asciiTheme="minorHAnsi" w:hAnsiTheme="minorHAnsi" w:cstheme="minorHAnsi"/>
          <w:color w:val="080708"/>
          <w:sz w:val="22"/>
          <w:szCs w:val="22"/>
        </w:rPr>
        <w:t xml:space="preserve"> (</w:t>
      </w:r>
      <w:r w:rsidR="00DA26D7" w:rsidRPr="00DA26D7">
        <w:rPr>
          <w:rFonts w:ascii="Calibri" w:hAnsi="Calibri" w:cs="Calibri"/>
          <w:sz w:val="22"/>
          <w:szCs w:val="22"/>
        </w:rPr>
        <w:t xml:space="preserve">dále jen </w:t>
      </w:r>
      <w:r w:rsidR="00285520">
        <w:rPr>
          <w:rFonts w:ascii="Calibri" w:hAnsi="Calibri" w:cs="Calibri"/>
          <w:sz w:val="22"/>
          <w:szCs w:val="22"/>
        </w:rPr>
        <w:t>„</w:t>
      </w:r>
      <w:r w:rsidR="00DA26D7" w:rsidRPr="00DA26D7">
        <w:rPr>
          <w:rFonts w:ascii="Calibri" w:hAnsi="Calibri" w:cs="Calibri"/>
          <w:sz w:val="22"/>
          <w:szCs w:val="22"/>
        </w:rPr>
        <w:t>Smlouva o spolupráci</w:t>
      </w:r>
      <w:r w:rsidR="00285520">
        <w:rPr>
          <w:rFonts w:ascii="Calibri" w:hAnsi="Calibri" w:cs="Calibri"/>
          <w:sz w:val="22"/>
          <w:szCs w:val="22"/>
        </w:rPr>
        <w:t>“</w:t>
      </w:r>
      <w:r w:rsidR="00DA26D7" w:rsidRPr="00DA26D7">
        <w:rPr>
          <w:rFonts w:ascii="Calibri" w:hAnsi="Calibri" w:cs="Calibri"/>
          <w:sz w:val="22"/>
          <w:szCs w:val="22"/>
        </w:rPr>
        <w:t>).</w:t>
      </w:r>
      <w:r w:rsidR="003104B7">
        <w:rPr>
          <w:rFonts w:ascii="Calibri" w:hAnsi="Calibri" w:cs="Calibri"/>
          <w:sz w:val="22"/>
          <w:szCs w:val="22"/>
        </w:rPr>
        <w:t xml:space="preserve"> </w:t>
      </w:r>
      <w:r w:rsidR="003104B7">
        <w:rPr>
          <w:rFonts w:asciiTheme="minorHAnsi" w:hAnsiTheme="minorHAnsi" w:cstheme="minorHAnsi"/>
          <w:color w:val="080708"/>
          <w:sz w:val="22"/>
          <w:szCs w:val="22"/>
        </w:rPr>
        <w:t xml:space="preserve">Smlouva o spolupráci je v NPÚ vedena pod </w:t>
      </w:r>
      <w:proofErr w:type="gramStart"/>
      <w:r w:rsidR="003104B7">
        <w:rPr>
          <w:rFonts w:asciiTheme="minorHAnsi" w:hAnsiTheme="minorHAnsi" w:cstheme="minorHAnsi"/>
          <w:color w:val="080708"/>
          <w:sz w:val="22"/>
          <w:szCs w:val="22"/>
        </w:rPr>
        <w:t>č.j.</w:t>
      </w:r>
      <w:proofErr w:type="gramEnd"/>
      <w:r w:rsidR="003104B7">
        <w:rPr>
          <w:rFonts w:asciiTheme="minorHAnsi" w:hAnsiTheme="minorHAnsi" w:cstheme="minorHAnsi"/>
          <w:color w:val="080708"/>
          <w:sz w:val="22"/>
          <w:szCs w:val="22"/>
        </w:rPr>
        <w:t>:</w:t>
      </w:r>
      <w:r w:rsidR="003104B7" w:rsidRPr="00DA26D7">
        <w:rPr>
          <w:rFonts w:ascii="Calibri" w:hAnsi="Calibri" w:cs="Calibri"/>
          <w:sz w:val="22"/>
          <w:szCs w:val="22"/>
        </w:rPr>
        <w:t xml:space="preserve"> </w:t>
      </w:r>
      <w:r w:rsidR="003104B7">
        <w:rPr>
          <w:rFonts w:ascii="Calibri" w:hAnsi="Calibri" w:cs="Calibri"/>
          <w:sz w:val="22"/>
          <w:szCs w:val="22"/>
        </w:rPr>
        <w:t>NPU – 311/93670/2018 a ev.č.:311/310/2018.</w:t>
      </w:r>
    </w:p>
    <w:p w:rsidR="00DA26D7" w:rsidRPr="00CA2839" w:rsidRDefault="00285520" w:rsidP="00CA2839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/>
          <w:color w:val="080708"/>
          <w:sz w:val="22"/>
          <w:szCs w:val="22"/>
        </w:rPr>
      </w:pPr>
      <w:r>
        <w:rPr>
          <w:rFonts w:asciiTheme="minorHAnsi" w:hAnsiTheme="minorHAnsi" w:cstheme="minorHAnsi"/>
          <w:color w:val="080708"/>
          <w:sz w:val="22"/>
          <w:szCs w:val="22"/>
        </w:rPr>
        <w:t xml:space="preserve">Vzhledem </w:t>
      </w:r>
      <w:r w:rsidR="00C460C3">
        <w:rPr>
          <w:rFonts w:asciiTheme="minorHAnsi" w:hAnsiTheme="minorHAnsi" w:cstheme="minorHAnsi"/>
          <w:color w:val="080708"/>
          <w:sz w:val="22"/>
          <w:szCs w:val="22"/>
        </w:rPr>
        <w:t xml:space="preserve">k situaci způsobené pandemií Covid-19 a </w:t>
      </w:r>
      <w:r w:rsidR="003104B7">
        <w:rPr>
          <w:rFonts w:asciiTheme="minorHAnsi" w:hAnsiTheme="minorHAnsi" w:cstheme="minorHAnsi"/>
          <w:color w:val="080708"/>
          <w:sz w:val="22"/>
          <w:szCs w:val="22"/>
        </w:rPr>
        <w:t xml:space="preserve">aktuální </w:t>
      </w:r>
      <w:r w:rsidR="00C460C3">
        <w:rPr>
          <w:rFonts w:asciiTheme="minorHAnsi" w:hAnsiTheme="minorHAnsi" w:cstheme="minorHAnsi"/>
          <w:color w:val="080708"/>
          <w:sz w:val="22"/>
          <w:szCs w:val="22"/>
        </w:rPr>
        <w:t xml:space="preserve">disponibilitě finančních </w:t>
      </w:r>
      <w:r w:rsidR="003104B7">
        <w:rPr>
          <w:rFonts w:asciiTheme="minorHAnsi" w:hAnsiTheme="minorHAnsi" w:cstheme="minorHAnsi"/>
          <w:color w:val="080708"/>
          <w:sz w:val="22"/>
          <w:szCs w:val="22"/>
        </w:rPr>
        <w:t xml:space="preserve">prostředků </w:t>
      </w:r>
      <w:r w:rsidR="00CA2839">
        <w:rPr>
          <w:rFonts w:asciiTheme="minorHAnsi" w:hAnsiTheme="minorHAnsi" w:cstheme="minorHAnsi"/>
          <w:color w:val="080708"/>
          <w:sz w:val="22"/>
          <w:szCs w:val="22"/>
        </w:rPr>
        <w:t>NPÚ se smluvní strany dohodly na níže uvedené změně Smlouvy o spolupráci.</w:t>
      </w:r>
    </w:p>
    <w:p w:rsidR="00CA2839" w:rsidRPr="00CA2839" w:rsidRDefault="00CA2839" w:rsidP="00CA2839">
      <w:pPr>
        <w:jc w:val="both"/>
        <w:rPr>
          <w:rFonts w:asciiTheme="minorHAnsi" w:hAnsiTheme="minorHAnsi" w:cstheme="minorHAnsi"/>
          <w:b/>
          <w:color w:val="080708"/>
          <w:sz w:val="22"/>
          <w:szCs w:val="22"/>
        </w:rPr>
      </w:pPr>
    </w:p>
    <w:p w:rsidR="00CA2839" w:rsidRPr="00CA2839" w:rsidRDefault="00CA2839" w:rsidP="00CA2839">
      <w:pPr>
        <w:jc w:val="both"/>
        <w:rPr>
          <w:rFonts w:asciiTheme="minorHAnsi" w:hAnsiTheme="minorHAnsi" w:cstheme="minorHAnsi"/>
          <w:color w:val="080708"/>
          <w:sz w:val="22"/>
          <w:szCs w:val="22"/>
        </w:rPr>
      </w:pPr>
    </w:p>
    <w:p w:rsidR="00CA2839" w:rsidRPr="00CA2839" w:rsidRDefault="00CA2839" w:rsidP="00CA2839">
      <w:pPr>
        <w:pStyle w:val="Odstavecseseznamem"/>
        <w:ind w:left="357"/>
        <w:jc w:val="center"/>
        <w:rPr>
          <w:rFonts w:asciiTheme="minorHAnsi" w:hAnsiTheme="minorHAnsi" w:cstheme="minorHAnsi"/>
          <w:b/>
          <w:color w:val="080708"/>
          <w:sz w:val="22"/>
          <w:szCs w:val="22"/>
        </w:rPr>
      </w:pPr>
      <w:r w:rsidRPr="00CA2839">
        <w:rPr>
          <w:rFonts w:asciiTheme="minorHAnsi" w:hAnsiTheme="minorHAnsi" w:cstheme="minorHAnsi"/>
          <w:b/>
          <w:color w:val="080708"/>
          <w:sz w:val="22"/>
          <w:szCs w:val="22"/>
        </w:rPr>
        <w:t>Článek II.</w:t>
      </w:r>
    </w:p>
    <w:p w:rsidR="00CA2839" w:rsidRDefault="00CA2839" w:rsidP="00CA2839">
      <w:pPr>
        <w:pStyle w:val="Odstavecseseznamem"/>
        <w:ind w:left="357"/>
        <w:jc w:val="center"/>
        <w:rPr>
          <w:rFonts w:asciiTheme="minorHAnsi" w:hAnsiTheme="minorHAnsi" w:cstheme="minorHAnsi"/>
          <w:b/>
          <w:color w:val="080708"/>
          <w:sz w:val="22"/>
          <w:szCs w:val="22"/>
        </w:rPr>
      </w:pPr>
      <w:r w:rsidRPr="00CA2839">
        <w:rPr>
          <w:rFonts w:asciiTheme="minorHAnsi" w:hAnsiTheme="minorHAnsi" w:cstheme="minorHAnsi"/>
          <w:b/>
          <w:color w:val="080708"/>
          <w:sz w:val="22"/>
          <w:szCs w:val="22"/>
        </w:rPr>
        <w:t>Změna smlouvy</w:t>
      </w:r>
    </w:p>
    <w:p w:rsidR="00F326E8" w:rsidRDefault="00F326E8" w:rsidP="00CA2839">
      <w:pPr>
        <w:pStyle w:val="Odstavecseseznamem"/>
        <w:ind w:left="357"/>
        <w:jc w:val="center"/>
        <w:rPr>
          <w:rFonts w:asciiTheme="minorHAnsi" w:hAnsiTheme="minorHAnsi" w:cstheme="minorHAnsi"/>
          <w:b/>
          <w:color w:val="080708"/>
          <w:sz w:val="22"/>
          <w:szCs w:val="22"/>
        </w:rPr>
      </w:pPr>
    </w:p>
    <w:p w:rsidR="001E6858" w:rsidRPr="001E6858" w:rsidRDefault="00D46311" w:rsidP="00FD4C3F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b/>
          <w:color w:val="080708"/>
          <w:sz w:val="22"/>
          <w:szCs w:val="22"/>
        </w:rPr>
      </w:pPr>
      <w:r w:rsidRPr="001E6858">
        <w:rPr>
          <w:rFonts w:asciiTheme="minorHAnsi" w:hAnsiTheme="minorHAnsi" w:cstheme="minorHAnsi"/>
          <w:color w:val="080708"/>
          <w:sz w:val="22"/>
          <w:szCs w:val="22"/>
        </w:rPr>
        <w:t>V článku</w:t>
      </w:r>
      <w:r w:rsidR="0098344F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 II.</w:t>
      </w:r>
      <w:r w:rsidR="001E6858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, </w:t>
      </w:r>
      <w:r w:rsidR="002255BF">
        <w:rPr>
          <w:rFonts w:asciiTheme="minorHAnsi" w:hAnsiTheme="minorHAnsi" w:cstheme="minorHAnsi"/>
          <w:color w:val="080708"/>
          <w:sz w:val="22"/>
          <w:szCs w:val="22"/>
        </w:rPr>
        <w:t>odst.</w:t>
      </w:r>
      <w:r w:rsidR="00D634BF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 1</w:t>
      </w:r>
      <w:r w:rsidRPr="001E6858">
        <w:rPr>
          <w:rFonts w:asciiTheme="minorHAnsi" w:hAnsiTheme="minorHAnsi" w:cstheme="minorHAnsi"/>
          <w:color w:val="080708"/>
          <w:sz w:val="22"/>
          <w:szCs w:val="22"/>
        </w:rPr>
        <w:t>.</w:t>
      </w:r>
      <w:r w:rsidR="001E6858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 se bez náhrady ruší ustanovení</w:t>
      </w:r>
      <w:r w:rsidR="0098344F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 1. </w:t>
      </w:r>
      <w:r w:rsidR="007F09F6" w:rsidRPr="001E6858">
        <w:rPr>
          <w:rFonts w:asciiTheme="minorHAnsi" w:hAnsiTheme="minorHAnsi" w:cstheme="minorHAnsi"/>
          <w:color w:val="080708"/>
          <w:sz w:val="22"/>
          <w:szCs w:val="22"/>
        </w:rPr>
        <w:t>4.</w:t>
      </w:r>
      <w:r w:rsidR="00FE6784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 Smlouvy o spolupráci</w:t>
      </w:r>
      <w:r w:rsidR="001E6858">
        <w:rPr>
          <w:rFonts w:asciiTheme="minorHAnsi" w:hAnsiTheme="minorHAnsi" w:cstheme="minorHAnsi"/>
          <w:color w:val="080708"/>
          <w:sz w:val="22"/>
          <w:szCs w:val="22"/>
        </w:rPr>
        <w:t>.</w:t>
      </w:r>
    </w:p>
    <w:p w:rsidR="003104B7" w:rsidRDefault="002255BF" w:rsidP="00BA01BC">
      <w:pPr>
        <w:pStyle w:val="Odstavecseseznamem"/>
        <w:numPr>
          <w:ilvl w:val="0"/>
          <w:numId w:val="4"/>
        </w:numPr>
        <w:ind w:left="357" w:hanging="357"/>
        <w:jc w:val="both"/>
      </w:pPr>
      <w:r>
        <w:rPr>
          <w:rFonts w:asciiTheme="minorHAnsi" w:hAnsiTheme="minorHAnsi" w:cstheme="minorHAnsi"/>
          <w:color w:val="080708"/>
          <w:sz w:val="22"/>
          <w:szCs w:val="22"/>
        </w:rPr>
        <w:t>V článku II., odst.</w:t>
      </w:r>
      <w:bookmarkStart w:id="0" w:name="_GoBack"/>
      <w:bookmarkEnd w:id="0"/>
      <w:r w:rsidR="00D46311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 </w:t>
      </w:r>
      <w:r w:rsidR="0098344F" w:rsidRPr="001E6858">
        <w:rPr>
          <w:rFonts w:asciiTheme="minorHAnsi" w:hAnsiTheme="minorHAnsi" w:cstheme="minorHAnsi"/>
          <w:color w:val="080708"/>
          <w:sz w:val="22"/>
          <w:szCs w:val="22"/>
        </w:rPr>
        <w:t>2</w:t>
      </w:r>
      <w:r w:rsidR="00D46311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. </w:t>
      </w:r>
      <w:r w:rsidR="001E6858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se bez náhrady ruší </w:t>
      </w:r>
      <w:r w:rsidR="0098344F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ustanovení </w:t>
      </w:r>
      <w:r w:rsidR="007F09F6" w:rsidRPr="001E6858">
        <w:rPr>
          <w:rFonts w:asciiTheme="minorHAnsi" w:hAnsiTheme="minorHAnsi" w:cstheme="minorHAnsi"/>
          <w:color w:val="080708"/>
          <w:sz w:val="22"/>
          <w:szCs w:val="22"/>
        </w:rPr>
        <w:t xml:space="preserve">2. 3., 2. 4. a 2. 5. </w:t>
      </w:r>
      <w:r w:rsidR="00F326E8" w:rsidRPr="001E6858">
        <w:rPr>
          <w:rFonts w:asciiTheme="minorHAnsi" w:hAnsiTheme="minorHAnsi" w:cstheme="minorHAnsi"/>
          <w:color w:val="080708"/>
          <w:sz w:val="22"/>
          <w:szCs w:val="22"/>
        </w:rPr>
        <w:t>Smlouvy o spolupráci</w:t>
      </w:r>
      <w:r w:rsidR="001E6858">
        <w:rPr>
          <w:rFonts w:asciiTheme="minorHAnsi" w:hAnsiTheme="minorHAnsi" w:cstheme="minorHAnsi"/>
          <w:color w:val="080708"/>
          <w:sz w:val="22"/>
          <w:szCs w:val="22"/>
        </w:rPr>
        <w:t>.</w:t>
      </w:r>
    </w:p>
    <w:p w:rsidR="00BA01BC" w:rsidRDefault="00BA01BC" w:rsidP="00BA01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1BC">
        <w:rPr>
          <w:rFonts w:asciiTheme="minorHAnsi" w:hAnsiTheme="minorHAnsi" w:cstheme="minorHAnsi"/>
          <w:b/>
          <w:sz w:val="22"/>
          <w:szCs w:val="22"/>
        </w:rPr>
        <w:lastRenderedPageBreak/>
        <w:t>Článek III.</w:t>
      </w:r>
      <w:r w:rsidRPr="00BA01BC">
        <w:rPr>
          <w:rFonts w:asciiTheme="minorHAnsi" w:hAnsiTheme="minorHAnsi" w:cstheme="minorHAnsi"/>
          <w:b/>
          <w:sz w:val="22"/>
          <w:szCs w:val="22"/>
        </w:rPr>
        <w:br/>
        <w:t>Závěrečná ustanovení</w:t>
      </w:r>
    </w:p>
    <w:p w:rsidR="001E6858" w:rsidRPr="00BA01BC" w:rsidRDefault="001E6858" w:rsidP="00BA01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01BC" w:rsidRDefault="00BA01BC" w:rsidP="00BA01B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BC">
        <w:rPr>
          <w:rFonts w:asciiTheme="minorHAnsi" w:hAnsiTheme="minorHAnsi" w:cstheme="minorHAnsi"/>
          <w:sz w:val="22"/>
          <w:szCs w:val="22"/>
        </w:rPr>
        <w:t>O</w:t>
      </w:r>
      <w:r w:rsidR="00DA26D7">
        <w:rPr>
          <w:rFonts w:asciiTheme="minorHAnsi" w:hAnsiTheme="minorHAnsi" w:cstheme="minorHAnsi"/>
          <w:sz w:val="22"/>
          <w:szCs w:val="22"/>
        </w:rPr>
        <w:t>statní ujednání Smlouvy o spolupráci</w:t>
      </w:r>
      <w:r w:rsidRPr="00BA01BC">
        <w:rPr>
          <w:rFonts w:asciiTheme="minorHAnsi" w:hAnsiTheme="minorHAnsi" w:cstheme="minorHAnsi"/>
          <w:sz w:val="22"/>
          <w:szCs w:val="22"/>
        </w:rPr>
        <w:t xml:space="preserve"> se </w:t>
      </w:r>
      <w:r w:rsidR="00CB1FD1">
        <w:rPr>
          <w:rFonts w:asciiTheme="minorHAnsi" w:hAnsiTheme="minorHAnsi" w:cstheme="minorHAnsi"/>
          <w:sz w:val="22"/>
          <w:szCs w:val="22"/>
        </w:rPr>
        <w:t xml:space="preserve">neruší, </w:t>
      </w:r>
      <w:r w:rsidRPr="00BA01BC">
        <w:rPr>
          <w:rFonts w:asciiTheme="minorHAnsi" w:hAnsiTheme="minorHAnsi" w:cstheme="minorHAnsi"/>
          <w:sz w:val="22"/>
          <w:szCs w:val="22"/>
        </w:rPr>
        <w:t>nemění a zůstávají v platnosti.</w:t>
      </w:r>
    </w:p>
    <w:p w:rsidR="00CA2839" w:rsidRDefault="00CA2839" w:rsidP="00BA01B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vůči sobě nemají žádné nevypořádané finanční závazky</w:t>
      </w:r>
      <w:r w:rsidR="00FE6784">
        <w:rPr>
          <w:rFonts w:asciiTheme="minorHAnsi" w:hAnsiTheme="minorHAnsi" w:cstheme="minorHAnsi"/>
          <w:sz w:val="22"/>
          <w:szCs w:val="22"/>
        </w:rPr>
        <w:t>.</w:t>
      </w:r>
    </w:p>
    <w:p w:rsidR="00FE6784" w:rsidRPr="00FE6784" w:rsidRDefault="00FE6784" w:rsidP="00FE678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BC">
        <w:rPr>
          <w:rFonts w:asciiTheme="minorHAnsi" w:hAnsiTheme="minorHAnsi" w:cstheme="minorHAnsi"/>
          <w:sz w:val="22"/>
          <w:szCs w:val="22"/>
        </w:rPr>
        <w:t xml:space="preserve">Tento Dodatek č. 1 </w:t>
      </w:r>
      <w:r>
        <w:rPr>
          <w:rFonts w:asciiTheme="minorHAnsi" w:hAnsiTheme="minorHAnsi" w:cstheme="minorHAnsi"/>
          <w:sz w:val="22"/>
          <w:szCs w:val="22"/>
        </w:rPr>
        <w:t>ke Smlouvě o spolupráci</w:t>
      </w:r>
      <w:r w:rsidRPr="00BA01BC">
        <w:rPr>
          <w:rFonts w:asciiTheme="minorHAnsi" w:hAnsiTheme="minorHAnsi" w:cstheme="minorHAnsi"/>
          <w:sz w:val="22"/>
          <w:szCs w:val="22"/>
        </w:rPr>
        <w:t xml:space="preserve"> byl sepsán ve dvou vyhotoveních. K</w:t>
      </w:r>
      <w:r w:rsidR="00614BAF">
        <w:rPr>
          <w:rFonts w:asciiTheme="minorHAnsi" w:hAnsiTheme="minorHAnsi" w:cstheme="minorHAnsi"/>
          <w:sz w:val="22"/>
          <w:szCs w:val="22"/>
        </w:rPr>
        <w:t>aždá ze smluvních stran obdrží</w:t>
      </w:r>
      <w:r w:rsidRPr="00BA01BC">
        <w:rPr>
          <w:rFonts w:asciiTheme="minorHAnsi" w:hAnsiTheme="minorHAnsi" w:cstheme="minorHAnsi"/>
          <w:sz w:val="22"/>
          <w:szCs w:val="22"/>
        </w:rPr>
        <w:t xml:space="preserve"> po jednom totožném vyhotovení.</w:t>
      </w:r>
    </w:p>
    <w:p w:rsidR="00BA01BC" w:rsidRPr="00BA01BC" w:rsidRDefault="002A01A0" w:rsidP="00BA01B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Tento Dodatek č. 1</w:t>
      </w:r>
      <w:r w:rsidR="00BA01BC" w:rsidRPr="00BA01BC">
        <w:rPr>
          <w:rFonts w:asciiTheme="minorHAnsi" w:hAnsiTheme="minorHAnsi" w:cstheme="minorHAnsi"/>
          <w:color w:val="000000"/>
          <w:sz w:val="22"/>
          <w:szCs w:val="22"/>
        </w:rPr>
        <w:t xml:space="preserve"> podléhá povinnosti uveřejnění </w:t>
      </w:r>
      <w:r w:rsidR="00BA01BC" w:rsidRPr="00BA01BC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BA01BC" w:rsidRPr="00BA01BC">
        <w:rPr>
          <w:rFonts w:asciiTheme="minorHAnsi" w:hAnsiTheme="minorHAnsi" w:cstheme="minorHAnsi"/>
          <w:color w:val="000000"/>
          <w:sz w:val="22"/>
          <w:szCs w:val="22"/>
        </w:rPr>
        <w:t xml:space="preserve">. Tento Dodatek č. 1 nabude účinnosti dnem uveřejnění a jeho uveřejnění zajistí </w:t>
      </w:r>
      <w:r>
        <w:rPr>
          <w:rFonts w:asciiTheme="minorHAnsi" w:hAnsiTheme="minorHAnsi" w:cstheme="minorHAnsi"/>
          <w:color w:val="000000"/>
          <w:sz w:val="22"/>
          <w:szCs w:val="22"/>
        </w:rPr>
        <w:t>NPÚ</w:t>
      </w:r>
      <w:r w:rsidR="00BA01BC" w:rsidRPr="00BA01B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01BC" w:rsidRPr="00BA01BC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</w:t>
      </w:r>
      <w:r>
        <w:rPr>
          <w:rFonts w:asciiTheme="minorHAnsi" w:hAnsiTheme="minorHAnsi" w:cstheme="minorHAnsi"/>
          <w:snapToGrid w:val="0"/>
          <w:sz w:val="22"/>
          <w:szCs w:val="22"/>
        </w:rPr>
        <w:t>tento Dodatek č. 1 může</w:t>
      </w:r>
      <w:r w:rsidR="00BA01BC" w:rsidRPr="00BA01BC">
        <w:rPr>
          <w:rFonts w:asciiTheme="minorHAnsi" w:hAnsiTheme="minorHAnsi" w:cstheme="minorHAnsi"/>
          <w:snapToGrid w:val="0"/>
          <w:sz w:val="22"/>
          <w:szCs w:val="22"/>
        </w:rPr>
        <w:t xml:space="preserve"> být předmětem zveřejnění i dle jiných právních předpisů.</w:t>
      </w:r>
    </w:p>
    <w:p w:rsidR="00BA01BC" w:rsidRPr="00BA01BC" w:rsidRDefault="00BA01BC" w:rsidP="00BA01B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BC">
        <w:rPr>
          <w:rFonts w:asciiTheme="minorHAnsi" w:hAnsiTheme="minorHAnsi" w:cstheme="minorHAns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A01BC" w:rsidRPr="00BA01BC" w:rsidRDefault="00BA01BC" w:rsidP="00BA01B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BC">
        <w:rPr>
          <w:rFonts w:asciiTheme="minorHAnsi" w:hAnsiTheme="minorHAnsi" w:cstheme="minorHAnsi"/>
          <w:sz w:val="22"/>
          <w:szCs w:val="22"/>
        </w:rPr>
        <w:t xml:space="preserve">Smluvní strany prohlašují, že tento Dodatek č. 1 uzavřely podle své pravé a svobodné vůle prosté omylů, nikoliv v tísni a že vzájemné plnění dle tohoto Dodatku č. </w:t>
      </w:r>
      <w:r w:rsidR="00DA26D7">
        <w:rPr>
          <w:rFonts w:asciiTheme="minorHAnsi" w:hAnsiTheme="minorHAnsi" w:cstheme="minorHAnsi"/>
          <w:sz w:val="22"/>
          <w:szCs w:val="22"/>
        </w:rPr>
        <w:t>1</w:t>
      </w:r>
      <w:r w:rsidRPr="00BA01BC">
        <w:rPr>
          <w:rFonts w:asciiTheme="minorHAnsi" w:hAnsiTheme="minorHAnsi" w:cstheme="minorHAnsi"/>
          <w:sz w:val="22"/>
          <w:szCs w:val="22"/>
        </w:rPr>
        <w:t xml:space="preserve"> není v hrubém nepoměru. Tento Dodatek č. 1 je pro obě smluvní strany určitý a srozumitelný.</w:t>
      </w:r>
    </w:p>
    <w:p w:rsidR="00BA01BC" w:rsidRPr="004F2BED" w:rsidRDefault="00BA01BC" w:rsidP="00BA01BC">
      <w:pPr>
        <w:pStyle w:val="Zkladntext"/>
        <w:numPr>
          <w:ilvl w:val="0"/>
          <w:numId w:val="2"/>
        </w:numPr>
        <w:rPr>
          <w:rFonts w:ascii="Calibri" w:hAnsi="Calibri"/>
          <w:szCs w:val="22"/>
        </w:rPr>
      </w:pPr>
      <w:r w:rsidRPr="00BA01BC">
        <w:rPr>
          <w:rFonts w:asciiTheme="minorHAnsi" w:hAnsiTheme="minorHAnsi" w:cstheme="minorHAns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BA01BC">
          <w:rPr>
            <w:rStyle w:val="Hypertextovodkaz"/>
            <w:rFonts w:asciiTheme="minorHAnsi" w:hAnsiTheme="minorHAnsi" w:cstheme="minorHAnsi"/>
            <w:iCs/>
            <w:szCs w:val="22"/>
          </w:rPr>
          <w:t>www.npu.cz</w:t>
        </w:r>
      </w:hyperlink>
      <w:r w:rsidRPr="00BA01BC">
        <w:rPr>
          <w:rFonts w:asciiTheme="minorHAnsi" w:hAnsiTheme="minorHAnsi" w:cstheme="minorHAnsi"/>
          <w:iCs/>
          <w:szCs w:val="22"/>
        </w:rPr>
        <w:t xml:space="preserve"> v sekci „Ochrana osobních údajů</w:t>
      </w:r>
      <w:r w:rsidRPr="003733B1">
        <w:rPr>
          <w:rFonts w:ascii="Calibri" w:hAnsi="Calibri"/>
          <w:iCs/>
          <w:szCs w:val="22"/>
        </w:rPr>
        <w:t>“.</w:t>
      </w:r>
    </w:p>
    <w:p w:rsidR="00BA01BC" w:rsidRPr="00BA01BC" w:rsidRDefault="00BA01BC" w:rsidP="00FA1B20">
      <w:pPr>
        <w:rPr>
          <w:rFonts w:asciiTheme="minorHAnsi" w:hAnsiTheme="minorHAnsi" w:cstheme="minorHAnsi"/>
          <w:b/>
        </w:rPr>
      </w:pPr>
    </w:p>
    <w:p w:rsidR="00C56FFE" w:rsidRDefault="00C56FFE">
      <w:pPr>
        <w:rPr>
          <w:rFonts w:ascii="Calibri" w:hAnsi="Calibri" w:cs="Calibri"/>
          <w:sz w:val="22"/>
          <w:szCs w:val="22"/>
        </w:rPr>
      </w:pPr>
    </w:p>
    <w:p w:rsidR="00DA26D7" w:rsidRDefault="00DA26D7">
      <w:pPr>
        <w:rPr>
          <w:rFonts w:ascii="Calibri" w:hAnsi="Calibri" w:cs="Calibri"/>
          <w:sz w:val="22"/>
          <w:szCs w:val="22"/>
        </w:rPr>
      </w:pPr>
    </w:p>
    <w:p w:rsidR="00DA26D7" w:rsidRDefault="00DA26D7" w:rsidP="00DA26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Praze, dne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Praze, dne</w:t>
      </w:r>
    </w:p>
    <w:p w:rsidR="00DA26D7" w:rsidRDefault="00DA26D7">
      <w:pPr>
        <w:rPr>
          <w:rFonts w:ascii="Calibri" w:hAnsi="Calibri" w:cs="Calibri"/>
          <w:sz w:val="22"/>
          <w:szCs w:val="22"/>
        </w:rPr>
      </w:pPr>
    </w:p>
    <w:p w:rsidR="00DA26D7" w:rsidRDefault="00DA26D7">
      <w:pPr>
        <w:rPr>
          <w:rFonts w:ascii="Calibri" w:hAnsi="Calibri" w:cs="Calibri"/>
          <w:sz w:val="22"/>
          <w:szCs w:val="22"/>
        </w:rPr>
      </w:pPr>
    </w:p>
    <w:p w:rsidR="00C56FFE" w:rsidRDefault="00C56FFE">
      <w:pPr>
        <w:rPr>
          <w:rFonts w:ascii="Calibri" w:hAnsi="Calibri" w:cs="Calibri"/>
          <w:sz w:val="22"/>
          <w:szCs w:val="22"/>
        </w:rPr>
      </w:pPr>
    </w:p>
    <w:p w:rsidR="00C56FFE" w:rsidRDefault="00C56FFE">
      <w:pPr>
        <w:rPr>
          <w:rFonts w:ascii="Calibri" w:hAnsi="Calibri" w:cs="Calibri"/>
          <w:sz w:val="22"/>
          <w:szCs w:val="22"/>
        </w:rPr>
      </w:pPr>
    </w:p>
    <w:p w:rsidR="00DD71A0" w:rsidRDefault="00DD71A0">
      <w:pPr>
        <w:rPr>
          <w:rFonts w:ascii="Calibri" w:hAnsi="Calibri" w:cs="Calibri"/>
          <w:sz w:val="22"/>
          <w:szCs w:val="22"/>
        </w:rPr>
      </w:pPr>
    </w:p>
    <w:p w:rsidR="00DD71A0" w:rsidRDefault="00DA26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DA26D7" w:rsidRDefault="00DA26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arch. Naděžda Goryczková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Mgr. Jan Mařík, Ph.D.</w:t>
      </w:r>
    </w:p>
    <w:p w:rsidR="00DA26D7" w:rsidRDefault="00DA26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ředitel</w:t>
      </w:r>
    </w:p>
    <w:p w:rsidR="00DD71A0" w:rsidRDefault="00DD71A0">
      <w:pPr>
        <w:rPr>
          <w:rFonts w:ascii="Calibri" w:hAnsi="Calibri" w:cs="Calibri"/>
          <w:sz w:val="22"/>
          <w:szCs w:val="22"/>
        </w:rPr>
      </w:pPr>
    </w:p>
    <w:sectPr w:rsidR="00DD71A0" w:rsidSect="00403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D2" w:rsidRDefault="00F43AD2">
      <w:r>
        <w:separator/>
      </w:r>
    </w:p>
  </w:endnote>
  <w:endnote w:type="continuationSeparator" w:id="0">
    <w:p w:rsidR="00F43AD2" w:rsidRDefault="00F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DC" w:rsidRDefault="00D54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8A" w:rsidRPr="00104576" w:rsidRDefault="004977A3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698A" w:rsidRPr="00E4698A" w:rsidRDefault="00D42E62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55BF" w:rsidRPr="002255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55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" filled="f" stroked="f" strokeweight=".5pt">
              <v:path arrowok="t"/>
              <v:textbox>
                <w:txbxContent>
                  <w:p w:rsidR="00E4698A" w:rsidRPr="00E4698A" w:rsidRDefault="00D42E62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2255BF" w:rsidRPr="002255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2255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698A" w:rsidRPr="00104576">
      <w:t>Národní památkový ústav, generální</w:t>
    </w:r>
    <w:r w:rsidR="0095100E">
      <w:t xml:space="preserve"> ředitelství | Valdštejnské náměstí</w:t>
    </w:r>
    <w:r w:rsidR="00E4698A" w:rsidRPr="00104576">
      <w:t xml:space="preserve"> 162/3, 118 01 Praha 1 </w:t>
    </w:r>
    <w:r w:rsidR="00E4698A">
      <w:t>–</w:t>
    </w:r>
    <w:r w:rsidR="00E4698A" w:rsidRPr="00104576">
      <w:t xml:space="preserve"> Malá Strana</w:t>
    </w:r>
    <w:r w:rsidR="00E4698A" w:rsidRPr="00104576">
      <w:br/>
    </w:r>
    <w:r w:rsidR="0095100E">
      <w:t xml:space="preserve">T +420 257 010 111 </w:t>
    </w:r>
    <w:r w:rsidR="00E4698A" w:rsidRPr="00104576">
      <w:t>| E epodatelna@npu.cz | DS 2cy8h6t | IČO 75032333 | DIČ CZ75032333</w:t>
    </w:r>
  </w:p>
  <w:p w:rsidR="00276CDF" w:rsidRPr="00E4698A" w:rsidRDefault="00276CDF" w:rsidP="00E4698A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7" w:rsidRPr="00104576" w:rsidRDefault="004977A3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3507" w:rsidRPr="00E4698A" w:rsidRDefault="00D42E62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55BF" w:rsidRPr="002255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55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" filled="f" stroked="f" strokeweight=".5pt">
              <v:path arrowok="t"/>
              <v:textbox>
                <w:txbxContent>
                  <w:p w:rsidR="002E3507" w:rsidRPr="00E4698A" w:rsidRDefault="00D42E62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2255BF" w:rsidRPr="002255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2255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E3507" w:rsidRPr="00104576">
      <w:t>Národní památkový ústav, generální</w:t>
    </w:r>
    <w:r w:rsidR="0095100E">
      <w:t xml:space="preserve"> ředitelství | Valdštejnské náměstí</w:t>
    </w:r>
    <w:r w:rsidR="002E3507" w:rsidRPr="00104576">
      <w:t xml:space="preserve"> 162/3, 118 01 Praha 1 </w:t>
    </w:r>
    <w:r w:rsidR="002E3507">
      <w:t>–</w:t>
    </w:r>
    <w:r w:rsidR="002E3507" w:rsidRPr="00104576">
      <w:t xml:space="preserve"> Malá Strana</w:t>
    </w:r>
    <w:r w:rsidR="002E3507" w:rsidRPr="00104576">
      <w:br/>
    </w:r>
    <w:r w:rsidR="0095100E">
      <w:t xml:space="preserve">T +420 257 010 111 </w:t>
    </w:r>
    <w:r w:rsidR="002E3507" w:rsidRPr="00104576">
      <w:t>| E epodatelna@npu.cz | DS 2cy8h6t | IČO 75032333 | DIČ CZ75032333</w:t>
    </w:r>
  </w:p>
  <w:p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D2" w:rsidRDefault="00F43AD2">
      <w:r>
        <w:separator/>
      </w:r>
    </w:p>
  </w:footnote>
  <w:footnote w:type="continuationSeparator" w:id="0">
    <w:p w:rsidR="00F43AD2" w:rsidRDefault="00F4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DC" w:rsidRDefault="00D547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DC" w:rsidRDefault="00D547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27" w:rsidRDefault="00D939BB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114935</wp:posOffset>
          </wp:positionV>
          <wp:extent cx="2170430" cy="944880"/>
          <wp:effectExtent l="0" t="0" r="1270" b="762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A72"/>
    <w:multiLevelType w:val="hybridMultilevel"/>
    <w:tmpl w:val="48AC4BA0"/>
    <w:lvl w:ilvl="0" w:tplc="88AEF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525"/>
    <w:multiLevelType w:val="hybridMultilevel"/>
    <w:tmpl w:val="0BA868C8"/>
    <w:lvl w:ilvl="0" w:tplc="F87090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83994"/>
    <w:multiLevelType w:val="hybridMultilevel"/>
    <w:tmpl w:val="6C64D7E2"/>
    <w:lvl w:ilvl="0" w:tplc="36CA3C4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2039C"/>
    <w:rsid w:val="000410A1"/>
    <w:rsid w:val="00096687"/>
    <w:rsid w:val="000B73E4"/>
    <w:rsid w:val="000C2F9C"/>
    <w:rsid w:val="000E05E0"/>
    <w:rsid w:val="000E2F19"/>
    <w:rsid w:val="000E390E"/>
    <w:rsid w:val="000F68EA"/>
    <w:rsid w:val="00104576"/>
    <w:rsid w:val="001076D0"/>
    <w:rsid w:val="00153F90"/>
    <w:rsid w:val="00186D07"/>
    <w:rsid w:val="001B4B0C"/>
    <w:rsid w:val="001C42AD"/>
    <w:rsid w:val="001E6858"/>
    <w:rsid w:val="001F6D66"/>
    <w:rsid w:val="001F7165"/>
    <w:rsid w:val="00211015"/>
    <w:rsid w:val="002175F0"/>
    <w:rsid w:val="002213BC"/>
    <w:rsid w:val="002255BF"/>
    <w:rsid w:val="00225D4C"/>
    <w:rsid w:val="0024272F"/>
    <w:rsid w:val="00255272"/>
    <w:rsid w:val="00256348"/>
    <w:rsid w:val="00273569"/>
    <w:rsid w:val="0027452B"/>
    <w:rsid w:val="00276CDF"/>
    <w:rsid w:val="00285520"/>
    <w:rsid w:val="00296CCA"/>
    <w:rsid w:val="002A01A0"/>
    <w:rsid w:val="002B51AE"/>
    <w:rsid w:val="002C019C"/>
    <w:rsid w:val="002E3507"/>
    <w:rsid w:val="002F47DC"/>
    <w:rsid w:val="003104B7"/>
    <w:rsid w:val="0032080E"/>
    <w:rsid w:val="00325429"/>
    <w:rsid w:val="00325C29"/>
    <w:rsid w:val="00337A81"/>
    <w:rsid w:val="003420F8"/>
    <w:rsid w:val="00342E50"/>
    <w:rsid w:val="003504A0"/>
    <w:rsid w:val="00362B19"/>
    <w:rsid w:val="00374641"/>
    <w:rsid w:val="00383315"/>
    <w:rsid w:val="0039045C"/>
    <w:rsid w:val="003B6B0B"/>
    <w:rsid w:val="003E1A11"/>
    <w:rsid w:val="003E5E39"/>
    <w:rsid w:val="003F3266"/>
    <w:rsid w:val="004035F6"/>
    <w:rsid w:val="00405F54"/>
    <w:rsid w:val="00406D75"/>
    <w:rsid w:val="00420F20"/>
    <w:rsid w:val="0042127A"/>
    <w:rsid w:val="00421738"/>
    <w:rsid w:val="00425A51"/>
    <w:rsid w:val="004650F8"/>
    <w:rsid w:val="00481633"/>
    <w:rsid w:val="004823CC"/>
    <w:rsid w:val="004977A3"/>
    <w:rsid w:val="004A26A1"/>
    <w:rsid w:val="004A3A37"/>
    <w:rsid w:val="004B558D"/>
    <w:rsid w:val="00505863"/>
    <w:rsid w:val="00514AE4"/>
    <w:rsid w:val="0051563F"/>
    <w:rsid w:val="00532DF9"/>
    <w:rsid w:val="00534204"/>
    <w:rsid w:val="00555C8E"/>
    <w:rsid w:val="00557343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14BAF"/>
    <w:rsid w:val="00622892"/>
    <w:rsid w:val="00644F9D"/>
    <w:rsid w:val="00645D71"/>
    <w:rsid w:val="00673040"/>
    <w:rsid w:val="00692AA1"/>
    <w:rsid w:val="0069606A"/>
    <w:rsid w:val="006A0E64"/>
    <w:rsid w:val="006A466C"/>
    <w:rsid w:val="006B622C"/>
    <w:rsid w:val="006C36B6"/>
    <w:rsid w:val="006E5BD2"/>
    <w:rsid w:val="00704388"/>
    <w:rsid w:val="00721DF3"/>
    <w:rsid w:val="0072690B"/>
    <w:rsid w:val="007317FE"/>
    <w:rsid w:val="00733C28"/>
    <w:rsid w:val="00757DE2"/>
    <w:rsid w:val="00767297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7F09F6"/>
    <w:rsid w:val="00802763"/>
    <w:rsid w:val="00815E29"/>
    <w:rsid w:val="00827095"/>
    <w:rsid w:val="00835108"/>
    <w:rsid w:val="00845465"/>
    <w:rsid w:val="00846EE4"/>
    <w:rsid w:val="00852020"/>
    <w:rsid w:val="008625A5"/>
    <w:rsid w:val="008628C9"/>
    <w:rsid w:val="00880DC1"/>
    <w:rsid w:val="00893F30"/>
    <w:rsid w:val="008A5D7E"/>
    <w:rsid w:val="008B07A5"/>
    <w:rsid w:val="008D556F"/>
    <w:rsid w:val="008F4F51"/>
    <w:rsid w:val="009077DA"/>
    <w:rsid w:val="00911320"/>
    <w:rsid w:val="00913688"/>
    <w:rsid w:val="00920738"/>
    <w:rsid w:val="009244A9"/>
    <w:rsid w:val="00930894"/>
    <w:rsid w:val="0095100E"/>
    <w:rsid w:val="00960138"/>
    <w:rsid w:val="00966C80"/>
    <w:rsid w:val="0098344F"/>
    <w:rsid w:val="00992FA0"/>
    <w:rsid w:val="009A3BE7"/>
    <w:rsid w:val="009B40C2"/>
    <w:rsid w:val="009C3857"/>
    <w:rsid w:val="009F3EAE"/>
    <w:rsid w:val="00A049C9"/>
    <w:rsid w:val="00A30413"/>
    <w:rsid w:val="00A34C79"/>
    <w:rsid w:val="00A43B95"/>
    <w:rsid w:val="00A558A0"/>
    <w:rsid w:val="00A71216"/>
    <w:rsid w:val="00A71EA7"/>
    <w:rsid w:val="00A9062A"/>
    <w:rsid w:val="00AA637E"/>
    <w:rsid w:val="00AB06CA"/>
    <w:rsid w:val="00AB6701"/>
    <w:rsid w:val="00AC2013"/>
    <w:rsid w:val="00AE2D69"/>
    <w:rsid w:val="00B052ED"/>
    <w:rsid w:val="00B24AD2"/>
    <w:rsid w:val="00B361D2"/>
    <w:rsid w:val="00B4632A"/>
    <w:rsid w:val="00B56BBA"/>
    <w:rsid w:val="00B75FB5"/>
    <w:rsid w:val="00B76FC6"/>
    <w:rsid w:val="00B81A19"/>
    <w:rsid w:val="00B84EF5"/>
    <w:rsid w:val="00B92FA8"/>
    <w:rsid w:val="00B96E29"/>
    <w:rsid w:val="00BA01BC"/>
    <w:rsid w:val="00BB5875"/>
    <w:rsid w:val="00BB7F70"/>
    <w:rsid w:val="00BC1FBE"/>
    <w:rsid w:val="00C01877"/>
    <w:rsid w:val="00C215B0"/>
    <w:rsid w:val="00C34D7B"/>
    <w:rsid w:val="00C460C3"/>
    <w:rsid w:val="00C5648D"/>
    <w:rsid w:val="00C56FFE"/>
    <w:rsid w:val="00C83012"/>
    <w:rsid w:val="00CA2839"/>
    <w:rsid w:val="00CB1FD1"/>
    <w:rsid w:val="00D17CC7"/>
    <w:rsid w:val="00D31F46"/>
    <w:rsid w:val="00D33D14"/>
    <w:rsid w:val="00D355CD"/>
    <w:rsid w:val="00D42E62"/>
    <w:rsid w:val="00D46311"/>
    <w:rsid w:val="00D547DC"/>
    <w:rsid w:val="00D634BF"/>
    <w:rsid w:val="00D85AF4"/>
    <w:rsid w:val="00D86D34"/>
    <w:rsid w:val="00D9250E"/>
    <w:rsid w:val="00D939BB"/>
    <w:rsid w:val="00DA26D7"/>
    <w:rsid w:val="00DD71A0"/>
    <w:rsid w:val="00DE35F4"/>
    <w:rsid w:val="00DE555D"/>
    <w:rsid w:val="00DF0062"/>
    <w:rsid w:val="00E077B9"/>
    <w:rsid w:val="00E07D54"/>
    <w:rsid w:val="00E34435"/>
    <w:rsid w:val="00E44865"/>
    <w:rsid w:val="00E4698A"/>
    <w:rsid w:val="00E46C14"/>
    <w:rsid w:val="00E62B40"/>
    <w:rsid w:val="00E71F9D"/>
    <w:rsid w:val="00E76044"/>
    <w:rsid w:val="00ED56A1"/>
    <w:rsid w:val="00EE3121"/>
    <w:rsid w:val="00F11D58"/>
    <w:rsid w:val="00F14005"/>
    <w:rsid w:val="00F16FBF"/>
    <w:rsid w:val="00F20432"/>
    <w:rsid w:val="00F326E8"/>
    <w:rsid w:val="00F43AD2"/>
    <w:rsid w:val="00F456BB"/>
    <w:rsid w:val="00F548AC"/>
    <w:rsid w:val="00F610D5"/>
    <w:rsid w:val="00F62F42"/>
    <w:rsid w:val="00F70234"/>
    <w:rsid w:val="00F853A7"/>
    <w:rsid w:val="00F95E56"/>
    <w:rsid w:val="00FA0CC3"/>
    <w:rsid w:val="00FA1B20"/>
    <w:rsid w:val="00FB4B13"/>
    <w:rsid w:val="00FC05E0"/>
    <w:rsid w:val="00FC4842"/>
    <w:rsid w:val="00FE67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66BD0"/>
  <w15:docId w15:val="{7A1D32DF-5EE0-4F48-966B-23A36D0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3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6D7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A01B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A01BC"/>
    <w:rPr>
      <w:rFonts w:ascii="Arial" w:hAnsi="Arial" w:cs="Arial"/>
      <w:szCs w:val="24"/>
    </w:rPr>
  </w:style>
  <w:style w:type="character" w:styleId="Hypertextovodkaz">
    <w:name w:val="Hyperlink"/>
    <w:uiPriority w:val="99"/>
    <w:semiHidden/>
    <w:unhideWhenUsed/>
    <w:rsid w:val="00BA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Frdlíková Markéta</cp:lastModifiedBy>
  <cp:revision>3</cp:revision>
  <cp:lastPrinted>2017-11-05T21:06:00Z</cp:lastPrinted>
  <dcterms:created xsi:type="dcterms:W3CDTF">2021-04-19T15:09:00Z</dcterms:created>
  <dcterms:modified xsi:type="dcterms:W3CDTF">2021-04-19T15:10:00Z</dcterms:modified>
</cp:coreProperties>
</file>