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156363" w14:textId="77777777" w:rsidR="002F1D34" w:rsidRPr="00F36E99" w:rsidRDefault="00471E1A" w:rsidP="002F1D34">
      <w:r w:rsidRPr="00F36E99">
        <w:t>Ministerstvo průmyslu a obchodu</w:t>
      </w:r>
    </w:p>
    <w:p w14:paraId="5D92BF14" w14:textId="77777777" w:rsidR="002F1D34" w:rsidRPr="00F36E99" w:rsidRDefault="00471E1A" w:rsidP="002F1D34">
      <w:r w:rsidRPr="00F36E99">
        <w:t>Sekce fondů EU</w:t>
      </w:r>
      <w:r>
        <w:t xml:space="preserve"> </w:t>
      </w:r>
    </w:p>
    <w:p w14:paraId="61B9549B" w14:textId="77777777" w:rsidR="002F1D34" w:rsidRPr="00F36E99" w:rsidRDefault="00471E1A" w:rsidP="002F1D34">
      <w:pPr>
        <w:jc w:val="both"/>
        <w:rPr>
          <w:rFonts w:asciiTheme="minorHAnsi" w:hAnsiTheme="minorHAnsi"/>
          <w:szCs w:val="22"/>
        </w:rPr>
      </w:pPr>
      <w:r w:rsidRPr="00F36E99">
        <w:rPr>
          <w:rFonts w:asciiTheme="minorHAnsi" w:hAnsiTheme="minorHAnsi"/>
          <w:szCs w:val="22"/>
        </w:rPr>
        <w:t>Na Františku 32</w:t>
      </w:r>
    </w:p>
    <w:p w14:paraId="1DEF9F31" w14:textId="77777777" w:rsidR="002F1D34" w:rsidRPr="00662313" w:rsidRDefault="00471E1A" w:rsidP="00C97556">
      <w:pPr>
        <w:pStyle w:val="Nadpis1"/>
        <w:spacing w:after="120"/>
        <w:rPr>
          <w:b w:val="0"/>
          <w:szCs w:val="22"/>
        </w:rPr>
      </w:pPr>
      <w:r w:rsidRPr="00662313">
        <w:rPr>
          <w:b w:val="0"/>
          <w:szCs w:val="22"/>
        </w:rPr>
        <w:t>110 15 Praha 1</w:t>
      </w:r>
    </w:p>
    <w:p w14:paraId="0CBAEF53" w14:textId="77777777" w:rsidR="002F1D34" w:rsidRPr="00F36E99" w:rsidRDefault="002F1D34" w:rsidP="002F1D34">
      <w:pPr>
        <w:spacing w:before="120" w:after="120"/>
        <w:jc w:val="right"/>
        <w:rPr>
          <w:rFonts w:asciiTheme="minorHAnsi" w:hAnsiTheme="minorHAnsi"/>
          <w:szCs w:val="22"/>
        </w:rPr>
      </w:pPr>
    </w:p>
    <w:p w14:paraId="7A7BF26E" w14:textId="7ACCB850" w:rsidR="002F1D34" w:rsidRPr="004E1606" w:rsidRDefault="00471E1A" w:rsidP="002F1D34">
      <w:pPr>
        <w:pStyle w:val="Zkladntext3"/>
        <w:spacing w:after="120"/>
        <w:jc w:val="center"/>
        <w:rPr>
          <w:rFonts w:asciiTheme="minorHAnsi" w:hAnsiTheme="minorHAnsi" w:cs="Times New Roman"/>
          <w:sz w:val="28"/>
          <w:szCs w:val="28"/>
        </w:rPr>
      </w:pPr>
      <w:r w:rsidRPr="00F36E99">
        <w:rPr>
          <w:rFonts w:asciiTheme="minorHAnsi" w:hAnsiTheme="minorHAnsi" w:cs="Times New Roman"/>
          <w:sz w:val="28"/>
          <w:szCs w:val="28"/>
        </w:rPr>
        <w:t>Rozhodnutí o poskytnutí dotace č.</w:t>
      </w:r>
      <w:r>
        <w:rPr>
          <w:rFonts w:asciiTheme="minorHAnsi" w:hAnsiTheme="minorHAnsi" w:cs="Times New Roman"/>
          <w:sz w:val="28"/>
          <w:szCs w:val="28"/>
        </w:rPr>
        <w:t xml:space="preserve"> </w:t>
      </w:r>
      <w:r w:rsidRPr="00F36E99">
        <w:rPr>
          <w:rFonts w:asciiTheme="minorHAnsi" w:hAnsiTheme="minorHAnsi" w:cs="Times New Roman"/>
          <w:sz w:val="28"/>
          <w:szCs w:val="28"/>
        </w:rPr>
        <w:t>j.</w:t>
      </w:r>
      <w:r w:rsidR="00A13E15">
        <w:rPr>
          <w:rFonts w:asciiTheme="minorHAnsi" w:hAnsiTheme="minorHAnsi" w:cs="Times New Roman"/>
          <w:sz w:val="28"/>
          <w:szCs w:val="28"/>
        </w:rPr>
        <w:t xml:space="preserve"> </w:t>
      </w:r>
      <w:r w:rsidR="004E1606" w:rsidRPr="004E1606">
        <w:rPr>
          <w:rFonts w:asciiTheme="minorHAnsi" w:hAnsiTheme="minorHAnsi" w:cs="Times New Roman"/>
          <w:sz w:val="28"/>
          <w:szCs w:val="28"/>
        </w:rPr>
        <w:t>CZ.01.1.02/0.0/0.0/20_321/0024717</w:t>
      </w:r>
    </w:p>
    <w:p w14:paraId="00105768" w14:textId="77777777" w:rsidR="002F1D34" w:rsidRDefault="00471E1A" w:rsidP="00B518E2">
      <w:pPr>
        <w:pStyle w:val="Zkladntext3"/>
        <w:spacing w:after="120"/>
        <w:rPr>
          <w:rFonts w:asciiTheme="minorHAnsi" w:hAnsiTheme="minorHAnsi"/>
          <w:szCs w:val="22"/>
        </w:rPr>
      </w:pPr>
      <w:r w:rsidRPr="00C91FC3">
        <w:rPr>
          <w:rFonts w:asciiTheme="minorHAnsi" w:hAnsiTheme="minorHAnsi" w:cs="Times New Roman"/>
          <w:b w:val="0"/>
          <w:sz w:val="22"/>
          <w:szCs w:val="22"/>
          <w:u w:val="none"/>
        </w:rPr>
        <w:br/>
      </w:r>
      <w:r>
        <w:rPr>
          <w:rFonts w:asciiTheme="minorHAnsi" w:hAnsiTheme="minorHAnsi" w:cs="Times New Roman"/>
          <w:b w:val="0"/>
          <w:sz w:val="22"/>
          <w:szCs w:val="22"/>
          <w:u w:val="none"/>
        </w:rPr>
        <w:t>Ministerstvo průmyslu a obchodu jako řídicí orgán Operačního p</w:t>
      </w:r>
      <w:r w:rsidR="00AA5794">
        <w:rPr>
          <w:rFonts w:asciiTheme="minorHAnsi" w:hAnsiTheme="minorHAnsi" w:cs="Times New Roman"/>
          <w:b w:val="0"/>
          <w:sz w:val="22"/>
          <w:szCs w:val="22"/>
          <w:u w:val="none"/>
        </w:rPr>
        <w:t>rogramu Podnikání a inovace pro </w:t>
      </w:r>
      <w:r>
        <w:rPr>
          <w:rFonts w:asciiTheme="minorHAnsi" w:hAnsiTheme="minorHAnsi" w:cs="Times New Roman"/>
          <w:b w:val="0"/>
          <w:sz w:val="22"/>
          <w:szCs w:val="22"/>
          <w:u w:val="none"/>
        </w:rPr>
        <w:t>konkurenceschopnost (dále jen „poskytovatel dotace“ n</w:t>
      </w:r>
      <w:r w:rsidR="00AA5794">
        <w:rPr>
          <w:rFonts w:asciiTheme="minorHAnsi" w:hAnsiTheme="minorHAnsi" w:cs="Times New Roman"/>
          <w:b w:val="0"/>
          <w:sz w:val="22"/>
          <w:szCs w:val="22"/>
          <w:u w:val="none"/>
        </w:rPr>
        <w:t>ebo „MPO“) na základě žádosti o </w:t>
      </w:r>
      <w:r>
        <w:rPr>
          <w:rFonts w:asciiTheme="minorHAnsi" w:hAnsiTheme="minorHAnsi" w:cs="Times New Roman"/>
          <w:b w:val="0"/>
          <w:sz w:val="22"/>
          <w:szCs w:val="22"/>
          <w:u w:val="none"/>
        </w:rPr>
        <w:t xml:space="preserve">poskytnutí dotace přijaté </w:t>
      </w:r>
      <w:r w:rsidR="00A13E15">
        <w:rPr>
          <w:rFonts w:asciiTheme="minorHAnsi" w:hAnsiTheme="minorHAnsi" w:cs="Times New Roman"/>
          <w:b w:val="0"/>
          <w:sz w:val="22"/>
          <w:szCs w:val="22"/>
          <w:u w:val="none"/>
        </w:rPr>
        <w:t xml:space="preserve">dne </w:t>
      </w:r>
      <w:proofErr w:type="gramStart"/>
      <w:r w:rsidR="00705E2B" w:rsidRPr="00D0629D">
        <w:rPr>
          <w:rFonts w:asciiTheme="minorHAnsi" w:hAnsiTheme="minorHAnsi"/>
          <w:b w:val="0"/>
          <w:sz w:val="22"/>
          <w:szCs w:val="22"/>
          <w:u w:val="none"/>
        </w:rPr>
        <w:t>22.12.2020</w:t>
      </w:r>
      <w:proofErr w:type="gramEnd"/>
      <w:r w:rsidR="00A13E15">
        <w:rPr>
          <w:rFonts w:asciiTheme="minorHAnsi" w:hAnsiTheme="minorHAnsi" w:cs="Times New Roman"/>
          <w:b w:val="0"/>
          <w:sz w:val="22"/>
          <w:szCs w:val="22"/>
          <w:u w:val="none"/>
        </w:rPr>
        <w:t xml:space="preserve"> v rámci Výzvy </w:t>
      </w:r>
      <w:r w:rsidR="003B3BE9" w:rsidRPr="000E5399">
        <w:rPr>
          <w:rFonts w:asciiTheme="minorHAnsi" w:hAnsiTheme="minorHAnsi"/>
          <w:b w:val="0"/>
          <w:sz w:val="22"/>
          <w:szCs w:val="22"/>
          <w:u w:val="none"/>
        </w:rPr>
        <w:t>APLIKACE - VÝZVA VIII.</w:t>
      </w:r>
      <w:r w:rsidR="00A13E15">
        <w:rPr>
          <w:rFonts w:asciiTheme="minorHAnsi" w:hAnsiTheme="minorHAnsi" w:cs="Times New Roman"/>
          <w:b w:val="0"/>
          <w:sz w:val="22"/>
          <w:szCs w:val="22"/>
          <w:u w:val="none"/>
        </w:rPr>
        <w:t xml:space="preserve"> (dále jen „Výzva“) a Prioritní osy </w:t>
      </w:r>
      <w:r w:rsidR="007D3538" w:rsidRPr="003F5F77">
        <w:rPr>
          <w:rFonts w:asciiTheme="minorHAnsi" w:hAnsiTheme="minorHAnsi" w:cs="Times New Roman"/>
          <w:b w:val="0"/>
          <w:sz w:val="22"/>
          <w:szCs w:val="22"/>
          <w:u w:val="none"/>
        </w:rPr>
        <w:t>PO-1 „Rozvoj výzkumu a vývoje pro inovace“</w:t>
      </w:r>
      <w:r w:rsidR="00A13E15">
        <w:rPr>
          <w:rFonts w:asciiTheme="minorHAnsi" w:hAnsiTheme="minorHAnsi" w:cs="Times New Roman"/>
          <w:b w:val="0"/>
          <w:sz w:val="22"/>
          <w:szCs w:val="22"/>
          <w:u w:val="none"/>
        </w:rPr>
        <w:t xml:space="preserve">, </w:t>
      </w:r>
      <w:r w:rsidR="006A2F1E">
        <w:rPr>
          <w:rFonts w:asciiTheme="minorHAnsi" w:hAnsiTheme="minorHAnsi" w:cs="Times New Roman"/>
          <w:b w:val="0"/>
          <w:sz w:val="22"/>
          <w:szCs w:val="22"/>
          <w:u w:val="none"/>
        </w:rPr>
        <w:t xml:space="preserve">rozhodlo </w:t>
      </w:r>
      <w:r w:rsidR="00A13E15">
        <w:rPr>
          <w:rFonts w:asciiTheme="minorHAnsi" w:hAnsiTheme="minorHAnsi" w:cs="Times New Roman"/>
          <w:b w:val="0"/>
          <w:sz w:val="22"/>
          <w:szCs w:val="22"/>
          <w:u w:val="none"/>
        </w:rPr>
        <w:t xml:space="preserve">dle </w:t>
      </w:r>
      <w:r w:rsidR="00A13E15" w:rsidRPr="00C91FC3">
        <w:rPr>
          <w:rFonts w:asciiTheme="minorHAnsi" w:hAnsiTheme="minorHAnsi" w:cs="Times New Roman"/>
          <w:b w:val="0"/>
          <w:sz w:val="22"/>
          <w:szCs w:val="22"/>
          <w:u w:val="none"/>
        </w:rPr>
        <w:t>ust. § 14</w:t>
      </w:r>
      <w:r w:rsidR="00A13E15">
        <w:rPr>
          <w:rFonts w:asciiTheme="minorHAnsi" w:hAnsiTheme="minorHAnsi" w:cs="Times New Roman"/>
          <w:b w:val="0"/>
          <w:sz w:val="22"/>
          <w:szCs w:val="22"/>
          <w:u w:val="none"/>
        </w:rPr>
        <w:t>m</w:t>
      </w:r>
      <w:r w:rsidR="00A13E15" w:rsidRPr="00C91FC3">
        <w:rPr>
          <w:rFonts w:asciiTheme="minorHAnsi" w:hAnsiTheme="minorHAnsi" w:cs="Times New Roman"/>
          <w:b w:val="0"/>
          <w:sz w:val="22"/>
          <w:szCs w:val="22"/>
          <w:u w:val="none"/>
        </w:rPr>
        <w:t xml:space="preserve"> </w:t>
      </w:r>
      <w:r w:rsidR="00A13E15">
        <w:rPr>
          <w:rFonts w:asciiTheme="minorHAnsi" w:hAnsiTheme="minorHAnsi" w:cs="Times New Roman"/>
          <w:b w:val="0"/>
          <w:sz w:val="22"/>
          <w:szCs w:val="22"/>
          <w:u w:val="none"/>
        </w:rPr>
        <w:t xml:space="preserve">odst. 1 písm. a) </w:t>
      </w:r>
      <w:r w:rsidR="00A13E15" w:rsidRPr="00C91FC3">
        <w:rPr>
          <w:rFonts w:asciiTheme="minorHAnsi" w:hAnsiTheme="minorHAnsi" w:cs="Times New Roman"/>
          <w:b w:val="0"/>
          <w:sz w:val="22"/>
          <w:szCs w:val="22"/>
          <w:u w:val="none"/>
        </w:rPr>
        <w:t>zákona č.</w:t>
      </w:r>
      <w:r w:rsidR="00A13E15">
        <w:rPr>
          <w:rFonts w:asciiTheme="minorHAnsi" w:hAnsiTheme="minorHAnsi" w:cs="Times New Roman"/>
          <w:b w:val="0"/>
          <w:sz w:val="22"/>
          <w:szCs w:val="22"/>
          <w:u w:val="none"/>
        </w:rPr>
        <w:t xml:space="preserve"> </w:t>
      </w:r>
      <w:r w:rsidR="00A13E15" w:rsidRPr="00C91FC3">
        <w:rPr>
          <w:rFonts w:asciiTheme="minorHAnsi" w:hAnsiTheme="minorHAnsi" w:cs="Times New Roman"/>
          <w:b w:val="0"/>
          <w:sz w:val="22"/>
          <w:szCs w:val="22"/>
          <w:u w:val="none"/>
        </w:rPr>
        <w:t>218/2000 Sb.</w:t>
      </w:r>
      <w:r w:rsidR="00AA5794">
        <w:rPr>
          <w:rFonts w:asciiTheme="minorHAnsi" w:hAnsiTheme="minorHAnsi" w:cs="Times New Roman"/>
          <w:b w:val="0"/>
          <w:sz w:val="22"/>
          <w:szCs w:val="22"/>
          <w:u w:val="none"/>
        </w:rPr>
        <w:t>, o rozpočtových pravidlech a o </w:t>
      </w:r>
      <w:r w:rsidR="00A13E15" w:rsidRPr="00C91FC3">
        <w:rPr>
          <w:rFonts w:asciiTheme="minorHAnsi" w:hAnsiTheme="minorHAnsi" w:cs="Times New Roman"/>
          <w:b w:val="0"/>
          <w:sz w:val="22"/>
          <w:szCs w:val="22"/>
          <w:u w:val="none"/>
        </w:rPr>
        <w:t>změně některých souvisejících zákonů, ve znění pozdějších předpisů</w:t>
      </w:r>
      <w:r w:rsidR="00A13E15">
        <w:rPr>
          <w:rFonts w:asciiTheme="minorHAnsi" w:hAnsiTheme="minorHAnsi" w:cs="Times New Roman"/>
          <w:b w:val="0"/>
          <w:sz w:val="22"/>
          <w:szCs w:val="22"/>
          <w:u w:val="none"/>
        </w:rPr>
        <w:t xml:space="preserve"> (dále jen „rozpočtová pravidla“)</w:t>
      </w:r>
      <w:r w:rsidR="00A13E15" w:rsidRPr="00C91FC3">
        <w:rPr>
          <w:rFonts w:asciiTheme="minorHAnsi" w:hAnsiTheme="minorHAnsi" w:cs="Times New Roman"/>
          <w:b w:val="0"/>
          <w:sz w:val="22"/>
          <w:szCs w:val="22"/>
          <w:u w:val="none"/>
        </w:rPr>
        <w:t>,</w:t>
      </w:r>
      <w:r w:rsidR="006A2F1E">
        <w:rPr>
          <w:rFonts w:asciiTheme="minorHAnsi" w:hAnsiTheme="minorHAnsi" w:cs="Times New Roman"/>
          <w:b w:val="0"/>
          <w:sz w:val="22"/>
          <w:szCs w:val="22"/>
          <w:u w:val="none"/>
        </w:rPr>
        <w:t xml:space="preserve"> </w:t>
      </w:r>
      <w:r w:rsidR="00AA5794">
        <w:rPr>
          <w:rFonts w:asciiTheme="minorHAnsi" w:hAnsiTheme="minorHAnsi" w:cs="Times New Roman"/>
          <w:b w:val="0"/>
          <w:sz w:val="22"/>
          <w:szCs w:val="22"/>
          <w:u w:val="none"/>
        </w:rPr>
        <w:t>o </w:t>
      </w:r>
      <w:r w:rsidR="00A13E15">
        <w:rPr>
          <w:rFonts w:asciiTheme="minorHAnsi" w:hAnsiTheme="minorHAnsi" w:cs="Times New Roman"/>
          <w:b w:val="0"/>
          <w:sz w:val="22"/>
          <w:szCs w:val="22"/>
          <w:u w:val="none"/>
        </w:rPr>
        <w:t>poskytnutí dotace na projekt s názvem „</w:t>
      </w:r>
      <w:r w:rsidR="00705E2B" w:rsidRPr="00D0629D">
        <w:rPr>
          <w:rFonts w:asciiTheme="minorHAnsi" w:hAnsiTheme="minorHAnsi"/>
          <w:b w:val="0"/>
          <w:sz w:val="22"/>
          <w:szCs w:val="22"/>
          <w:u w:val="none"/>
        </w:rPr>
        <w:t>Založení technologické platformy vývoje specifických protilátek proti koronavirovým infekcím</w:t>
      </w:r>
      <w:r w:rsidR="00A13E15">
        <w:rPr>
          <w:rFonts w:asciiTheme="minorHAnsi" w:hAnsiTheme="minorHAnsi" w:cs="Times New Roman"/>
          <w:b w:val="0"/>
          <w:sz w:val="22"/>
          <w:szCs w:val="22"/>
          <w:u w:val="none"/>
        </w:rPr>
        <w:t xml:space="preserve">“, registrační číslo </w:t>
      </w:r>
      <w:r w:rsidR="00705E2B" w:rsidRPr="00D0629D">
        <w:rPr>
          <w:rFonts w:asciiTheme="minorHAnsi" w:hAnsiTheme="minorHAnsi"/>
          <w:b w:val="0"/>
          <w:sz w:val="22"/>
          <w:szCs w:val="22"/>
          <w:u w:val="none"/>
        </w:rPr>
        <w:t>CZ.01.1.02/0.0/0.0/20_321/0024717</w:t>
      </w:r>
      <w:r w:rsidR="00A13E15">
        <w:rPr>
          <w:rFonts w:asciiTheme="minorHAnsi" w:hAnsiTheme="minorHAnsi" w:cs="Times New Roman"/>
          <w:b w:val="0"/>
          <w:sz w:val="22"/>
          <w:szCs w:val="22"/>
          <w:u w:val="none"/>
        </w:rPr>
        <w:t xml:space="preserve"> (dále jen „Projekt“), </w:t>
      </w:r>
      <w:r>
        <w:rPr>
          <w:rFonts w:asciiTheme="minorHAnsi" w:hAnsiTheme="minorHAnsi" w:cs="Times New Roman"/>
          <w:b w:val="0"/>
          <w:sz w:val="22"/>
          <w:szCs w:val="22"/>
          <w:u w:val="none"/>
        </w:rPr>
        <w:t>takto:</w:t>
      </w:r>
    </w:p>
    <w:p w14:paraId="0DF5E48F" w14:textId="6E4DC4BB" w:rsidR="002F1D34" w:rsidRDefault="002F1D34" w:rsidP="002F1D34">
      <w:pPr>
        <w:spacing w:before="120" w:after="120"/>
        <w:jc w:val="both"/>
        <w:rPr>
          <w:rFonts w:asciiTheme="minorHAnsi" w:hAnsiTheme="minorHAnsi"/>
          <w:szCs w:val="22"/>
        </w:rPr>
      </w:pPr>
      <w:bookmarkStart w:id="0" w:name="_GoBack"/>
      <w:bookmarkEnd w:id="0"/>
    </w:p>
    <w:p w14:paraId="2D4E0922" w14:textId="77777777" w:rsidR="002F1D34" w:rsidRDefault="002F1D34" w:rsidP="002F1D34">
      <w:pPr>
        <w:spacing w:before="120" w:after="120"/>
        <w:jc w:val="both"/>
        <w:rPr>
          <w:rFonts w:asciiTheme="minorHAnsi" w:hAnsiTheme="minorHAnsi"/>
          <w:szCs w:val="22"/>
        </w:rPr>
      </w:pPr>
    </w:p>
    <w:p w14:paraId="25C133EA" w14:textId="77777777" w:rsidR="002F1D34" w:rsidRDefault="00471E1A" w:rsidP="00D87A31">
      <w:pPr>
        <w:pStyle w:val="Nadpis4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–</w:t>
      </w:r>
      <w:r w:rsidRPr="00DC0B0B">
        <w:rPr>
          <w:sz w:val="24"/>
          <w:szCs w:val="24"/>
        </w:rPr>
        <w:t xml:space="preserve"> VYMEZENÍ DOTACE</w:t>
      </w:r>
    </w:p>
    <w:p w14:paraId="7FF1621C" w14:textId="77777777" w:rsidR="00005E43" w:rsidRPr="00005E43" w:rsidRDefault="00005E43" w:rsidP="00005E43"/>
    <w:p w14:paraId="6A4DBEA9" w14:textId="77777777" w:rsidR="00A9785E" w:rsidRDefault="00471E1A" w:rsidP="00D87A31">
      <w:pPr>
        <w:pStyle w:val="Odstavecseseznamem"/>
        <w:numPr>
          <w:ilvl w:val="0"/>
          <w:numId w:val="4"/>
        </w:numPr>
        <w:spacing w:before="240" w:after="240"/>
        <w:ind w:left="357" w:hanging="357"/>
        <w:contextualSpacing w:val="0"/>
        <w:jc w:val="center"/>
        <w:rPr>
          <w:b/>
          <w:sz w:val="24"/>
        </w:rPr>
      </w:pPr>
      <w:r w:rsidRPr="00005E43">
        <w:rPr>
          <w:b/>
          <w:sz w:val="24"/>
        </w:rPr>
        <w:t>Článek</w:t>
      </w:r>
      <w:r w:rsidRPr="00005E43">
        <w:rPr>
          <w:b/>
          <w:sz w:val="24"/>
        </w:rPr>
        <w:br/>
        <w:t>Identifikace Příjemce dotace (dále jen „příjemce“) a Projektu</w:t>
      </w:r>
    </w:p>
    <w:p w14:paraId="43984837" w14:textId="77777777" w:rsidR="00005E43" w:rsidRPr="00661785" w:rsidRDefault="00471E1A" w:rsidP="00B518E2">
      <w:pPr>
        <w:pStyle w:val="Odstavecseseznamem"/>
        <w:numPr>
          <w:ilvl w:val="1"/>
          <w:numId w:val="4"/>
        </w:numPr>
        <w:spacing w:before="240" w:after="240"/>
        <w:jc w:val="both"/>
        <w:rPr>
          <w:b/>
          <w:sz w:val="24"/>
        </w:rPr>
      </w:pPr>
      <w:r w:rsidRPr="00005E43">
        <w:t>V souladu s podmínkami pro poskytování finančních prostředků stanovenými Operačním programem Podnikání a inovace pro konkurenceschopnost (dále jen „OP PIK“) se poskytuje dotace příjemci:</w:t>
      </w: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095"/>
      </w:tblGrid>
      <w:tr w:rsidR="00107CA4" w14:paraId="719ED600" w14:textId="77777777" w:rsidTr="00F65F3C">
        <w:trPr>
          <w:cantSplit/>
        </w:trPr>
        <w:tc>
          <w:tcPr>
            <w:tcW w:w="3189" w:type="dxa"/>
          </w:tcPr>
          <w:p w14:paraId="44173242" w14:textId="77777777" w:rsidR="00005E43" w:rsidRPr="00F36E99" w:rsidRDefault="00471E1A" w:rsidP="00F65F3C">
            <w:pPr>
              <w:jc w:val="both"/>
              <w:rPr>
                <w:rFonts w:asciiTheme="minorHAnsi" w:hAnsiTheme="minorHAnsi"/>
                <w:szCs w:val="22"/>
              </w:rPr>
            </w:pPr>
            <w:r w:rsidRPr="00F36E99">
              <w:rPr>
                <w:rFonts w:asciiTheme="minorHAnsi" w:hAnsiTheme="minorHAnsi"/>
                <w:szCs w:val="22"/>
              </w:rPr>
              <w:t>Název příjemce (jméno a příjmení u fyzické osoby)</w:t>
            </w:r>
          </w:p>
        </w:tc>
        <w:tc>
          <w:tcPr>
            <w:tcW w:w="6095" w:type="dxa"/>
          </w:tcPr>
          <w:p w14:paraId="3618D48C" w14:textId="750E40DA" w:rsidR="00005E43" w:rsidRPr="00F36E99" w:rsidRDefault="00471E1A" w:rsidP="004E1606">
            <w:pPr>
              <w:rPr>
                <w:rFonts w:asciiTheme="minorHAnsi" w:hAnsiTheme="minorHAnsi"/>
                <w:szCs w:val="22"/>
              </w:rPr>
            </w:pPr>
            <w:r w:rsidRPr="00414966">
              <w:rPr>
                <w:rFonts w:asciiTheme="minorHAnsi" w:hAnsiTheme="minorHAnsi"/>
                <w:szCs w:val="22"/>
              </w:rPr>
              <w:t>DYNTEC spol. s r.o.</w:t>
            </w:r>
          </w:p>
        </w:tc>
      </w:tr>
      <w:tr w:rsidR="00107CA4" w14:paraId="7F93A846" w14:textId="77777777" w:rsidTr="00F65F3C">
        <w:trPr>
          <w:cantSplit/>
        </w:trPr>
        <w:tc>
          <w:tcPr>
            <w:tcW w:w="3189" w:type="dxa"/>
          </w:tcPr>
          <w:p w14:paraId="41E24CFC" w14:textId="77777777" w:rsidR="00005E43" w:rsidRPr="00F36E99" w:rsidRDefault="00471E1A" w:rsidP="00F65F3C">
            <w:pPr>
              <w:jc w:val="both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Adresa</w:t>
            </w:r>
            <w:r w:rsidRPr="00F36E99">
              <w:rPr>
                <w:rFonts w:asciiTheme="minorHAnsi" w:hAnsiTheme="minorHAnsi"/>
                <w:szCs w:val="22"/>
              </w:rPr>
              <w:t xml:space="preserve"> trvalého </w:t>
            </w:r>
            <w:r>
              <w:rPr>
                <w:rFonts w:asciiTheme="minorHAnsi" w:hAnsiTheme="minorHAnsi"/>
                <w:szCs w:val="22"/>
              </w:rPr>
              <w:t>pobytu</w:t>
            </w:r>
            <w:r w:rsidRPr="00F36E99">
              <w:rPr>
                <w:rFonts w:asciiTheme="minorHAnsi" w:hAnsiTheme="minorHAnsi"/>
                <w:szCs w:val="22"/>
              </w:rPr>
              <w:t xml:space="preserve"> (jen u fyzické osoby)</w:t>
            </w:r>
            <w:r>
              <w:rPr>
                <w:rFonts w:asciiTheme="minorHAnsi" w:hAnsiTheme="minorHAnsi"/>
                <w:szCs w:val="22"/>
              </w:rPr>
              <w:t>/adresa sídla u právnické osoby</w:t>
            </w:r>
          </w:p>
        </w:tc>
        <w:tc>
          <w:tcPr>
            <w:tcW w:w="6095" w:type="dxa"/>
          </w:tcPr>
          <w:p w14:paraId="21B032A5" w14:textId="77777777" w:rsidR="00005E43" w:rsidRPr="00F36E99" w:rsidRDefault="00471E1A" w:rsidP="00F65F3C">
            <w:pPr>
              <w:jc w:val="both"/>
              <w:rPr>
                <w:rFonts w:asciiTheme="minorHAnsi" w:hAnsiTheme="minorHAnsi"/>
                <w:szCs w:val="22"/>
              </w:rPr>
            </w:pPr>
            <w:r w:rsidRPr="00414966">
              <w:rPr>
                <w:rFonts w:asciiTheme="minorHAnsi" w:hAnsiTheme="minorHAnsi"/>
                <w:szCs w:val="22"/>
              </w:rPr>
              <w:t>Pražská 328, 411 55 Terezín</w:t>
            </w:r>
          </w:p>
        </w:tc>
      </w:tr>
      <w:tr w:rsidR="00107CA4" w14:paraId="59A1262F" w14:textId="77777777" w:rsidTr="00F65F3C">
        <w:trPr>
          <w:cantSplit/>
        </w:trPr>
        <w:tc>
          <w:tcPr>
            <w:tcW w:w="3189" w:type="dxa"/>
          </w:tcPr>
          <w:p w14:paraId="5EAB7871" w14:textId="77777777" w:rsidR="00005E43" w:rsidRPr="00F36E99" w:rsidRDefault="00471E1A" w:rsidP="00F65F3C">
            <w:pPr>
              <w:jc w:val="both"/>
              <w:rPr>
                <w:rFonts w:asciiTheme="minorHAnsi" w:hAnsiTheme="minorHAnsi"/>
                <w:szCs w:val="22"/>
              </w:rPr>
            </w:pPr>
            <w:r w:rsidRPr="00F36E99">
              <w:rPr>
                <w:rFonts w:asciiTheme="minorHAnsi" w:hAnsiTheme="minorHAnsi"/>
                <w:szCs w:val="22"/>
              </w:rPr>
              <w:t>IČ</w:t>
            </w:r>
          </w:p>
        </w:tc>
        <w:tc>
          <w:tcPr>
            <w:tcW w:w="6095" w:type="dxa"/>
          </w:tcPr>
          <w:p w14:paraId="7338805B" w14:textId="77777777" w:rsidR="00005E43" w:rsidRPr="00F36E99" w:rsidRDefault="00471E1A" w:rsidP="00F65F3C">
            <w:pPr>
              <w:jc w:val="both"/>
              <w:rPr>
                <w:rFonts w:asciiTheme="minorHAnsi" w:hAnsiTheme="minorHAnsi"/>
                <w:szCs w:val="22"/>
              </w:rPr>
            </w:pPr>
            <w:r w:rsidRPr="00414966">
              <w:rPr>
                <w:rFonts w:asciiTheme="minorHAnsi" w:hAnsiTheme="minorHAnsi"/>
                <w:szCs w:val="22"/>
              </w:rPr>
              <w:t>47548002</w:t>
            </w:r>
          </w:p>
        </w:tc>
      </w:tr>
      <w:tr w:rsidR="00107CA4" w14:paraId="0B454F9A" w14:textId="77777777" w:rsidTr="00F65F3C">
        <w:trPr>
          <w:cantSplit/>
        </w:trPr>
        <w:tc>
          <w:tcPr>
            <w:tcW w:w="3189" w:type="dxa"/>
          </w:tcPr>
          <w:p w14:paraId="1642AE1F" w14:textId="77777777" w:rsidR="00005E43" w:rsidRDefault="00471E1A" w:rsidP="00F65F3C">
            <w:pPr>
              <w:jc w:val="both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Místo realizace Projektu:</w:t>
            </w:r>
          </w:p>
        </w:tc>
        <w:tc>
          <w:tcPr>
            <w:tcW w:w="6095" w:type="dxa"/>
          </w:tcPr>
          <w:p w14:paraId="171E94F6" w14:textId="703B414D" w:rsidR="00005E43" w:rsidRPr="00F36E99" w:rsidRDefault="00471E1A" w:rsidP="00F65F3C">
            <w:pPr>
              <w:jc w:val="both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Pražská 328, 411 55 Terezín</w:t>
            </w:r>
            <w:r w:rsidR="00186D5C">
              <w:rPr>
                <w:rFonts w:asciiTheme="minorHAnsi" w:hAnsiTheme="minorHAnsi"/>
                <w:szCs w:val="22"/>
              </w:rPr>
              <w:t xml:space="preserve">; </w:t>
            </w:r>
            <w:r>
              <w:rPr>
                <w:rFonts w:asciiTheme="minorHAnsi" w:hAnsiTheme="minorHAnsi"/>
                <w:szCs w:val="22"/>
              </w:rPr>
              <w:t>Průmyslová 595, 252 50 Vestec</w:t>
            </w:r>
          </w:p>
        </w:tc>
      </w:tr>
      <w:tr w:rsidR="00107CA4" w14:paraId="5FFAB5B3" w14:textId="77777777" w:rsidTr="00F65F3C">
        <w:trPr>
          <w:cantSplit/>
        </w:trPr>
        <w:tc>
          <w:tcPr>
            <w:tcW w:w="3189" w:type="dxa"/>
          </w:tcPr>
          <w:p w14:paraId="7D0B7D31" w14:textId="77777777" w:rsidR="00005E43" w:rsidRDefault="00471E1A" w:rsidP="00F65F3C">
            <w:pPr>
              <w:jc w:val="both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 xml:space="preserve">Nadřízený kraj (pokud je to relevantní): </w:t>
            </w:r>
          </w:p>
        </w:tc>
        <w:tc>
          <w:tcPr>
            <w:tcW w:w="6095" w:type="dxa"/>
          </w:tcPr>
          <w:p w14:paraId="3CCEAE1F" w14:textId="77777777" w:rsidR="00005E43" w:rsidRPr="00F36E99" w:rsidRDefault="00005E43" w:rsidP="00F65F3C">
            <w:pPr>
              <w:jc w:val="both"/>
              <w:rPr>
                <w:rFonts w:asciiTheme="minorHAnsi" w:hAnsiTheme="minorHAnsi"/>
                <w:szCs w:val="22"/>
              </w:rPr>
            </w:pPr>
          </w:p>
        </w:tc>
      </w:tr>
      <w:tr w:rsidR="00107CA4" w14:paraId="2A5F96BB" w14:textId="77777777" w:rsidTr="00F65F3C">
        <w:trPr>
          <w:cantSplit/>
        </w:trPr>
        <w:tc>
          <w:tcPr>
            <w:tcW w:w="3189" w:type="dxa"/>
          </w:tcPr>
          <w:p w14:paraId="30197715" w14:textId="77777777" w:rsidR="00005E43" w:rsidRPr="00F36E99" w:rsidRDefault="00471E1A" w:rsidP="00F65F3C">
            <w:pPr>
              <w:jc w:val="both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Bankovní účet kraje, prostřednictvím kterého budou prostředky příjemci poukazovány, pokud je to relevantní:</w:t>
            </w:r>
          </w:p>
        </w:tc>
        <w:tc>
          <w:tcPr>
            <w:tcW w:w="6095" w:type="dxa"/>
          </w:tcPr>
          <w:p w14:paraId="5BFA3F69" w14:textId="77777777" w:rsidR="00005E43" w:rsidRPr="00F36E99" w:rsidRDefault="00005E43" w:rsidP="00F65F3C">
            <w:pPr>
              <w:jc w:val="both"/>
              <w:rPr>
                <w:rFonts w:asciiTheme="minorHAnsi" w:hAnsiTheme="minorHAnsi"/>
                <w:szCs w:val="22"/>
              </w:rPr>
            </w:pPr>
          </w:p>
        </w:tc>
      </w:tr>
    </w:tbl>
    <w:p w14:paraId="302659E1" w14:textId="2C450FB9" w:rsidR="00005E43" w:rsidRDefault="00005E43" w:rsidP="00005E43">
      <w:pPr>
        <w:spacing w:before="120" w:after="240"/>
      </w:pPr>
    </w:p>
    <w:p w14:paraId="707903A5" w14:textId="77777777" w:rsidR="00186D5C" w:rsidRDefault="00186D5C" w:rsidP="00005E43">
      <w:pPr>
        <w:spacing w:before="120" w:after="240"/>
      </w:pPr>
    </w:p>
    <w:p w14:paraId="4A52CD53" w14:textId="77777777" w:rsidR="00005E43" w:rsidRDefault="00471E1A" w:rsidP="00D87A31">
      <w:pPr>
        <w:pStyle w:val="Odstavecseseznamem"/>
        <w:numPr>
          <w:ilvl w:val="0"/>
          <w:numId w:val="4"/>
        </w:numPr>
        <w:spacing w:before="240" w:after="240"/>
        <w:ind w:left="357" w:hanging="357"/>
        <w:contextualSpacing w:val="0"/>
        <w:jc w:val="center"/>
        <w:rPr>
          <w:b/>
          <w:sz w:val="24"/>
        </w:rPr>
      </w:pPr>
      <w:r w:rsidRPr="00C87BC7">
        <w:rPr>
          <w:b/>
          <w:sz w:val="24"/>
        </w:rPr>
        <w:lastRenderedPageBreak/>
        <w:t>Článek</w:t>
      </w:r>
      <w:r w:rsidRPr="00C87BC7">
        <w:rPr>
          <w:b/>
          <w:sz w:val="24"/>
        </w:rPr>
        <w:br/>
        <w:t>Výše dotace</w:t>
      </w:r>
    </w:p>
    <w:p w14:paraId="659BD905" w14:textId="77777777" w:rsidR="009812E7" w:rsidRPr="00D401CF" w:rsidRDefault="00471E1A" w:rsidP="00154692">
      <w:pPr>
        <w:pStyle w:val="Odstavecseseznamem"/>
        <w:numPr>
          <w:ilvl w:val="1"/>
          <w:numId w:val="4"/>
        </w:numPr>
        <w:spacing w:before="120" w:after="120"/>
        <w:contextualSpacing w:val="0"/>
        <w:jc w:val="both"/>
      </w:pPr>
      <w:bookmarkStart w:id="1" w:name="_Ref39651323"/>
      <w:r>
        <w:t xml:space="preserve">Dotace </w:t>
      </w:r>
      <w:r w:rsidRPr="00C87BC7">
        <w:t>se poskytuje v celkové výši a ve struktuře dle níže uvedené tabulky:</w:t>
      </w:r>
      <w:bookmarkEnd w:id="1"/>
      <w:r w:rsidRPr="00154692">
        <w:t xml:space="preserve"> </w:t>
      </w:r>
    </w:p>
    <w:tbl>
      <w:tblPr>
        <w:tblW w:w="91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3"/>
        <w:gridCol w:w="2010"/>
        <w:gridCol w:w="2154"/>
      </w:tblGrid>
      <w:tr w:rsidR="00107CA4" w14:paraId="0B6A088E" w14:textId="77777777" w:rsidTr="00F65F3C">
        <w:trPr>
          <w:cantSplit/>
          <w:trHeight w:val="964"/>
          <w:jc w:val="center"/>
        </w:trPr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175ED" w14:textId="77777777" w:rsidR="00C87BC7" w:rsidRPr="000C25E1" w:rsidRDefault="00C87BC7" w:rsidP="00F65F3C">
            <w:pPr>
              <w:spacing w:before="120" w:after="120"/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5C829" w14:textId="77777777" w:rsidR="00C87BC7" w:rsidRPr="000C25E1" w:rsidRDefault="00471E1A" w:rsidP="00F65F3C">
            <w:pPr>
              <w:spacing w:before="120" w:after="120"/>
              <w:jc w:val="center"/>
              <w:rPr>
                <w:rFonts w:asciiTheme="minorHAnsi" w:hAnsiTheme="minorHAnsi"/>
                <w:b/>
                <w:szCs w:val="22"/>
              </w:rPr>
            </w:pPr>
            <w:r>
              <w:rPr>
                <w:rFonts w:asciiTheme="minorHAnsi" w:hAnsiTheme="minorHAnsi"/>
                <w:b/>
                <w:szCs w:val="22"/>
              </w:rPr>
              <w:t xml:space="preserve">Částka (v </w:t>
            </w:r>
            <w:r w:rsidRPr="000C25E1">
              <w:rPr>
                <w:rFonts w:asciiTheme="minorHAnsi" w:hAnsiTheme="minorHAnsi"/>
                <w:b/>
                <w:szCs w:val="22"/>
              </w:rPr>
              <w:t>Kč</w:t>
            </w:r>
            <w:r>
              <w:rPr>
                <w:rFonts w:asciiTheme="minorHAnsi" w:hAnsiTheme="minorHAnsi"/>
                <w:b/>
                <w:szCs w:val="22"/>
              </w:rPr>
              <w:t>)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C962C" w14:textId="77777777" w:rsidR="00C87BC7" w:rsidRPr="000C25E1" w:rsidRDefault="00471E1A" w:rsidP="00F65F3C">
            <w:pPr>
              <w:spacing w:before="120" w:after="120"/>
              <w:jc w:val="center"/>
              <w:rPr>
                <w:rFonts w:asciiTheme="minorHAnsi" w:hAnsiTheme="minorHAnsi"/>
                <w:b/>
                <w:szCs w:val="22"/>
              </w:rPr>
            </w:pPr>
            <w:r w:rsidRPr="000C25E1">
              <w:rPr>
                <w:rFonts w:asciiTheme="minorHAnsi" w:hAnsiTheme="minorHAnsi"/>
                <w:b/>
                <w:szCs w:val="22"/>
              </w:rPr>
              <w:t xml:space="preserve">Podíl na celkových způsobilých výdajích  </w:t>
            </w:r>
            <w:r w:rsidRPr="000C25E1">
              <w:rPr>
                <w:rFonts w:asciiTheme="minorHAnsi" w:hAnsiTheme="minorHAnsi"/>
                <w:b/>
                <w:szCs w:val="22"/>
              </w:rPr>
              <w:br/>
              <w:t>v %</w:t>
            </w:r>
          </w:p>
        </w:tc>
      </w:tr>
      <w:tr w:rsidR="00107CA4" w14:paraId="4BD0EEEE" w14:textId="77777777" w:rsidTr="00F65F3C">
        <w:trPr>
          <w:cantSplit/>
          <w:trHeight w:val="470"/>
          <w:jc w:val="center"/>
        </w:trPr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6D8B8" w14:textId="77777777" w:rsidR="00C87BC7" w:rsidRPr="000C25E1" w:rsidRDefault="00471E1A" w:rsidP="00F65F3C">
            <w:pPr>
              <w:spacing w:before="120" w:after="120"/>
              <w:jc w:val="both"/>
              <w:rPr>
                <w:rFonts w:asciiTheme="minorHAnsi" w:hAnsiTheme="minorHAnsi"/>
                <w:b/>
                <w:szCs w:val="22"/>
              </w:rPr>
            </w:pPr>
            <w:r w:rsidRPr="000C25E1">
              <w:rPr>
                <w:rFonts w:asciiTheme="minorHAnsi" w:hAnsiTheme="minorHAnsi"/>
                <w:b/>
                <w:szCs w:val="22"/>
              </w:rPr>
              <w:t>Celkové způsobilé výdaje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50055" w14:textId="77777777" w:rsidR="00C87BC7" w:rsidRPr="000C25E1" w:rsidRDefault="00471E1A" w:rsidP="00F65F3C">
            <w:pPr>
              <w:spacing w:before="120" w:after="120"/>
              <w:jc w:val="center"/>
              <w:rPr>
                <w:rFonts w:asciiTheme="minorHAnsi" w:hAnsiTheme="minorHAnsi"/>
                <w:b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32 266 156,00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A8F87" w14:textId="77777777" w:rsidR="00C87BC7" w:rsidRPr="000C25E1" w:rsidRDefault="00471E1A" w:rsidP="00F65F3C">
            <w:pPr>
              <w:spacing w:before="120" w:after="120"/>
              <w:jc w:val="center"/>
              <w:rPr>
                <w:rFonts w:asciiTheme="minorHAnsi" w:hAnsiTheme="minorHAnsi"/>
                <w:b/>
                <w:szCs w:val="22"/>
              </w:rPr>
            </w:pPr>
            <w:r>
              <w:rPr>
                <w:rFonts w:asciiTheme="minorHAnsi" w:hAnsiTheme="minorHAnsi"/>
                <w:b/>
                <w:szCs w:val="22"/>
              </w:rPr>
              <w:t>x</w:t>
            </w:r>
          </w:p>
        </w:tc>
      </w:tr>
      <w:tr w:rsidR="00107CA4" w14:paraId="1E2F8655" w14:textId="77777777" w:rsidTr="00F65F3C">
        <w:trPr>
          <w:cantSplit/>
          <w:trHeight w:val="470"/>
          <w:jc w:val="center"/>
        </w:trPr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B05D7" w14:textId="77777777" w:rsidR="00C87BC7" w:rsidRDefault="00471E1A" w:rsidP="00F65F3C">
            <w:pPr>
              <w:spacing w:before="120" w:after="120"/>
              <w:jc w:val="both"/>
              <w:rPr>
                <w:rFonts w:asciiTheme="minorHAnsi" w:hAnsiTheme="minorHAnsi"/>
                <w:b/>
                <w:szCs w:val="22"/>
              </w:rPr>
            </w:pPr>
            <w:r>
              <w:rPr>
                <w:rFonts w:asciiTheme="minorHAnsi" w:hAnsiTheme="minorHAnsi"/>
                <w:b/>
                <w:szCs w:val="22"/>
              </w:rPr>
              <w:t>Dotace</w:t>
            </w:r>
            <w:r>
              <w:rPr>
                <w:rStyle w:val="Znakapoznpodarou"/>
                <w:rFonts w:asciiTheme="minorHAnsi" w:hAnsiTheme="minorHAnsi"/>
                <w:b/>
                <w:szCs w:val="22"/>
              </w:rPr>
              <w:footnoteReference w:id="1"/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BD9BB" w14:textId="77777777" w:rsidR="00C87BC7" w:rsidRPr="000C25E1" w:rsidRDefault="00471E1A" w:rsidP="00F65F3C">
            <w:pPr>
              <w:spacing w:before="120" w:after="120"/>
              <w:jc w:val="center"/>
              <w:rPr>
                <w:rFonts w:asciiTheme="minorHAnsi" w:hAnsiTheme="minorHAnsi"/>
                <w:b/>
                <w:szCs w:val="22"/>
              </w:rPr>
            </w:pPr>
            <w:r w:rsidRPr="008440D6">
              <w:rPr>
                <w:rFonts w:asciiTheme="minorHAnsi" w:hAnsiTheme="minorHAnsi"/>
                <w:szCs w:val="22"/>
              </w:rPr>
              <w:t>22 586 309,20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C9F7E" w14:textId="77777777" w:rsidR="00C87BC7" w:rsidRPr="000C25E1" w:rsidRDefault="00471E1A" w:rsidP="00F65F3C">
            <w:pPr>
              <w:spacing w:before="120" w:after="120"/>
              <w:jc w:val="center"/>
              <w:rPr>
                <w:rFonts w:asciiTheme="minorHAnsi" w:hAnsiTheme="minorHAnsi"/>
                <w:b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70,00</w:t>
            </w:r>
          </w:p>
        </w:tc>
      </w:tr>
      <w:tr w:rsidR="00107CA4" w14:paraId="6C7B1F49" w14:textId="77777777" w:rsidTr="00F65F3C">
        <w:trPr>
          <w:cantSplit/>
          <w:trHeight w:val="460"/>
          <w:jc w:val="center"/>
        </w:trPr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1318A" w14:textId="77777777" w:rsidR="00C87BC7" w:rsidRDefault="00471E1A" w:rsidP="00F65F3C">
            <w:pPr>
              <w:spacing w:before="120" w:after="120"/>
              <w:jc w:val="both"/>
              <w:rPr>
                <w:rFonts w:asciiTheme="minorHAnsi" w:hAnsiTheme="minorHAnsi"/>
                <w:b/>
                <w:szCs w:val="22"/>
              </w:rPr>
            </w:pPr>
            <w:r>
              <w:rPr>
                <w:rFonts w:asciiTheme="minorHAnsi" w:hAnsiTheme="minorHAnsi"/>
                <w:b/>
                <w:szCs w:val="22"/>
              </w:rPr>
              <w:t>z toho de minimis maximálně</w:t>
            </w:r>
            <w:r>
              <w:rPr>
                <w:rStyle w:val="Znakapoznpodarou"/>
                <w:rFonts w:asciiTheme="minorHAnsi" w:hAnsiTheme="minorHAnsi"/>
                <w:b/>
                <w:szCs w:val="22"/>
              </w:rPr>
              <w:footnoteReference w:id="2"/>
            </w:r>
            <w:r>
              <w:rPr>
                <w:rFonts w:asciiTheme="minorHAnsi" w:hAnsiTheme="minorHAnsi"/>
                <w:b/>
                <w:szCs w:val="22"/>
              </w:rPr>
              <w:t xml:space="preserve"> 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639A1" w14:textId="77777777" w:rsidR="00C87BC7" w:rsidRPr="000C25E1" w:rsidRDefault="00C87BC7" w:rsidP="00F65F3C">
            <w:pPr>
              <w:spacing w:before="120" w:after="120"/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D7555" w14:textId="77777777" w:rsidR="00C87BC7" w:rsidRPr="000C25E1" w:rsidRDefault="00471E1A" w:rsidP="00F65F3C">
            <w:pPr>
              <w:spacing w:before="120" w:after="120"/>
              <w:jc w:val="center"/>
              <w:rPr>
                <w:rFonts w:asciiTheme="minorHAnsi" w:hAnsiTheme="minorHAnsi"/>
                <w:b/>
                <w:szCs w:val="22"/>
              </w:rPr>
            </w:pPr>
            <w:r>
              <w:rPr>
                <w:rFonts w:asciiTheme="minorHAnsi" w:hAnsiTheme="minorHAnsi"/>
                <w:b/>
                <w:szCs w:val="22"/>
              </w:rPr>
              <w:t>x</w:t>
            </w:r>
          </w:p>
        </w:tc>
      </w:tr>
    </w:tbl>
    <w:p w14:paraId="4A6C203D" w14:textId="77777777" w:rsidR="00C87BC7" w:rsidRDefault="00C87BC7" w:rsidP="00C87BC7">
      <w:pPr>
        <w:spacing w:before="120" w:after="120"/>
      </w:pPr>
    </w:p>
    <w:p w14:paraId="311DB394" w14:textId="77777777" w:rsidR="00C87BC7" w:rsidRDefault="00471E1A" w:rsidP="00B518E2">
      <w:pPr>
        <w:pStyle w:val="Odstavecseseznamem"/>
        <w:numPr>
          <w:ilvl w:val="1"/>
          <w:numId w:val="4"/>
        </w:numPr>
        <w:spacing w:before="120" w:after="120"/>
        <w:contextualSpacing w:val="0"/>
        <w:jc w:val="both"/>
      </w:pPr>
      <w:r>
        <w:t xml:space="preserve">Dotace je stanovena </w:t>
      </w:r>
      <w:r w:rsidR="00584BED">
        <w:t>jako maximální a bude vypla</w:t>
      </w:r>
      <w:r w:rsidRPr="00C87BC7">
        <w:t>cena pouze na základě skutečně vynaložených, odůvodněných a řádně prokázaných způsobilých výdajů Projektu.</w:t>
      </w:r>
    </w:p>
    <w:p w14:paraId="5B7F126D" w14:textId="77777777" w:rsidR="00C87BC7" w:rsidRDefault="00C87BC7" w:rsidP="00C87BC7">
      <w:pPr>
        <w:pStyle w:val="Odstavecseseznamem"/>
        <w:spacing w:before="120" w:after="120"/>
        <w:ind w:left="567"/>
      </w:pPr>
    </w:p>
    <w:p w14:paraId="34F2BB63" w14:textId="77777777" w:rsidR="00005E43" w:rsidRPr="00DB47EC" w:rsidRDefault="00471E1A" w:rsidP="00D87A31">
      <w:pPr>
        <w:pStyle w:val="Odstavecseseznamem"/>
        <w:numPr>
          <w:ilvl w:val="0"/>
          <w:numId w:val="4"/>
        </w:numPr>
        <w:spacing w:before="240" w:after="240"/>
        <w:contextualSpacing w:val="0"/>
        <w:jc w:val="center"/>
        <w:rPr>
          <w:b/>
          <w:sz w:val="24"/>
        </w:rPr>
      </w:pPr>
      <w:r w:rsidRPr="00DB47EC">
        <w:rPr>
          <w:b/>
          <w:sz w:val="24"/>
        </w:rPr>
        <w:t>Článek</w:t>
      </w:r>
      <w:r w:rsidRPr="00DB47EC">
        <w:rPr>
          <w:b/>
          <w:sz w:val="24"/>
        </w:rPr>
        <w:br/>
        <w:t>Účel dotace a lhůta, v níž má být účelu dotace dosaženo</w:t>
      </w:r>
    </w:p>
    <w:p w14:paraId="5F0B8BFF" w14:textId="77777777" w:rsidR="00C87BC7" w:rsidRDefault="00471E1A" w:rsidP="00B518E2">
      <w:pPr>
        <w:pStyle w:val="Odstavecseseznamem"/>
        <w:numPr>
          <w:ilvl w:val="1"/>
          <w:numId w:val="4"/>
        </w:numPr>
        <w:spacing w:before="120" w:after="120"/>
        <w:contextualSpacing w:val="0"/>
        <w:jc w:val="both"/>
      </w:pPr>
      <w:bookmarkStart w:id="2" w:name="_Ref39652035"/>
      <w:r w:rsidRPr="00DB47EC">
        <w:t xml:space="preserve">Příjemce je povinen prokazatelně splnit účel, na který mu byla poskytnuta dotace. Tímto účelem se rozumí </w:t>
      </w:r>
      <w:r w:rsidR="007D3538" w:rsidRPr="003F5F77">
        <w:t>získávání nových znalostí potřebných pro vývoj nových produktů, materiálů, technologií a služeb prostřednictvím realizace projektů průmyslového výzkumu a experimentálního vývoje.</w:t>
      </w:r>
      <w:bookmarkEnd w:id="2"/>
    </w:p>
    <w:p w14:paraId="590696F8" w14:textId="77777777" w:rsidR="00C87BC7" w:rsidRDefault="00471E1A" w:rsidP="00B518E2">
      <w:pPr>
        <w:pStyle w:val="Odstavecseseznamem"/>
        <w:numPr>
          <w:ilvl w:val="1"/>
          <w:numId w:val="4"/>
        </w:numPr>
        <w:spacing w:before="120" w:after="120"/>
        <w:contextualSpacing w:val="0"/>
        <w:jc w:val="both"/>
      </w:pPr>
      <w:r>
        <w:t>Účel dotace nelze změnit.</w:t>
      </w:r>
    </w:p>
    <w:p w14:paraId="6CDA800F" w14:textId="77777777" w:rsidR="00DB47EC" w:rsidRDefault="00471E1A" w:rsidP="00B518E2">
      <w:pPr>
        <w:pStyle w:val="Odstavecseseznamem"/>
        <w:numPr>
          <w:ilvl w:val="1"/>
          <w:numId w:val="4"/>
        </w:numPr>
        <w:spacing w:before="120" w:after="120"/>
        <w:contextualSpacing w:val="0"/>
        <w:jc w:val="both"/>
      </w:pPr>
      <w:r>
        <w:t>Datum zahájení Projektu</w:t>
      </w:r>
      <w:r w:rsidR="00A13E15">
        <w:t xml:space="preserve">: </w:t>
      </w:r>
      <w:r w:rsidR="009812E7" w:rsidRPr="0057205C">
        <w:rPr>
          <w:rFonts w:asciiTheme="minorHAnsi" w:hAnsiTheme="minorHAnsi" w:cs="Calibri"/>
          <w:bCs/>
          <w:szCs w:val="22"/>
        </w:rPr>
        <w:t>1.4.2021</w:t>
      </w:r>
      <w:r>
        <w:t xml:space="preserve">  Datum zahájení Projektu je pouze orientační.</w:t>
      </w:r>
    </w:p>
    <w:p w14:paraId="156FA2BB" w14:textId="77777777" w:rsidR="00DB47EC" w:rsidRDefault="00471E1A" w:rsidP="00B518E2">
      <w:pPr>
        <w:pStyle w:val="Odstavecseseznamem"/>
        <w:numPr>
          <w:ilvl w:val="1"/>
          <w:numId w:val="4"/>
        </w:numPr>
        <w:spacing w:before="120" w:after="120"/>
        <w:contextualSpacing w:val="0"/>
      </w:pPr>
      <w:bookmarkStart w:id="3" w:name="_Ref39651667"/>
      <w:r>
        <w:t>Realizace Projektu musí být ukončena nejpozději v následující lhůtě:</w:t>
      </w:r>
      <w:bookmarkEnd w:id="3"/>
      <w:r>
        <w:br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0"/>
      </w:tblGrid>
      <w:tr w:rsidR="00107CA4" w14:paraId="4EF0ED7C" w14:textId="77777777" w:rsidTr="00F65F3C">
        <w:trPr>
          <w:cantSplit/>
        </w:trPr>
        <w:tc>
          <w:tcPr>
            <w:tcW w:w="4531" w:type="dxa"/>
          </w:tcPr>
          <w:p w14:paraId="76C2AD55" w14:textId="77777777" w:rsidR="00DB47EC" w:rsidRDefault="00471E1A" w:rsidP="00F65F3C">
            <w:pPr>
              <w:jc w:val="both"/>
            </w:pPr>
            <w:r>
              <w:t xml:space="preserve">Plánované datum ukončení Projektu: </w:t>
            </w:r>
          </w:p>
        </w:tc>
        <w:tc>
          <w:tcPr>
            <w:tcW w:w="4531" w:type="dxa"/>
          </w:tcPr>
          <w:p w14:paraId="25808812" w14:textId="77777777" w:rsidR="00DB47EC" w:rsidRDefault="00471E1A" w:rsidP="00A13E15">
            <w:pPr>
              <w:jc w:val="both"/>
            </w:pPr>
            <w:r w:rsidRPr="0057205C">
              <w:rPr>
                <w:rFonts w:asciiTheme="minorHAnsi" w:hAnsiTheme="minorHAnsi" w:cs="Calibri"/>
                <w:bCs/>
                <w:szCs w:val="22"/>
              </w:rPr>
              <w:t>31.3.2023</w:t>
            </w:r>
          </w:p>
        </w:tc>
      </w:tr>
    </w:tbl>
    <w:p w14:paraId="0BD38AD0" w14:textId="77777777" w:rsidR="00DB47EC" w:rsidRDefault="00471E1A" w:rsidP="00B518E2">
      <w:pPr>
        <w:spacing w:before="120" w:after="120"/>
        <w:jc w:val="both"/>
      </w:pPr>
      <w:r>
        <w:br/>
      </w:r>
      <w:r w:rsidRPr="00DB47EC">
        <w:t>Plánované datum ukončení Projektu může b</w:t>
      </w:r>
      <w:r w:rsidR="006A2F1E">
        <w:t>ýt změněno postupem dle čl.</w:t>
      </w:r>
      <w:r w:rsidRPr="00DB47EC">
        <w:t xml:space="preserve"> </w:t>
      </w:r>
      <w:r w:rsidR="00705076">
        <w:t>5.1</w:t>
      </w:r>
      <w:r w:rsidR="00B518E2">
        <w:t xml:space="preserve"> </w:t>
      </w:r>
      <w:r w:rsidRPr="00DB47EC">
        <w:t>tohoto Rozhodnutí. Lhůta, ve které má být dosaženo účelu dotace, je shodná s plánovaným datem ukončení Projekt</w:t>
      </w:r>
      <w:r w:rsidR="006A2F1E">
        <w:t>u, nestanoví-li čl.</w:t>
      </w:r>
      <w:r w:rsidRPr="00DB47EC">
        <w:t xml:space="preserve"> </w:t>
      </w:r>
      <w:r w:rsidR="00705076">
        <w:t>6.10.1</w:t>
      </w:r>
      <w:r w:rsidR="006A2F1E">
        <w:t xml:space="preserve"> </w:t>
      </w:r>
      <w:r w:rsidRPr="00DB47EC">
        <w:t>tohoto Rozhodnutí jinou lhůtu pro splnění indikátorů. Pak je za lhůtu, ve které má být dosaženo účelu dotace, považována lhůta pro splnění pos</w:t>
      </w:r>
      <w:r w:rsidR="006A2F1E">
        <w:t xml:space="preserve">ledního indikátoru dle čl. </w:t>
      </w:r>
      <w:r w:rsidR="00705076">
        <w:t>6.10.1</w:t>
      </w:r>
      <w:r w:rsidRPr="00DB47EC">
        <w:t xml:space="preserve"> tohoto Rozhodnutí. Pokud jsou dále v tomto Rozhodnutí povinnosti příjemce vázány na datum </w:t>
      </w:r>
      <w:r w:rsidRPr="00DB47EC">
        <w:lastRenderedPageBreak/>
        <w:t>ukončení Projektu, je tímto datem skutečné ukončení Projektu stanovené dle Pravidel způsobilosti a</w:t>
      </w:r>
      <w:r w:rsidR="00AA5794">
        <w:t> </w:t>
      </w:r>
      <w:r w:rsidRPr="00DB47EC">
        <w:t>publicity – obecná část, která tvoří přílohu tohoto Rozhodnutí, nestanoví-li toto Rozhodnutí dále jinak.</w:t>
      </w:r>
    </w:p>
    <w:p w14:paraId="4D80FC18" w14:textId="77777777" w:rsidR="00DB47EC" w:rsidRDefault="00DB47EC" w:rsidP="00DB47EC">
      <w:pPr>
        <w:spacing w:before="120" w:after="120"/>
      </w:pPr>
    </w:p>
    <w:p w14:paraId="6853F6D7" w14:textId="77777777" w:rsidR="00DB47EC" w:rsidRDefault="00471E1A" w:rsidP="00D87A31">
      <w:pPr>
        <w:pStyle w:val="Nadpis3"/>
        <w:numPr>
          <w:ilvl w:val="0"/>
          <w:numId w:val="3"/>
        </w:numPr>
        <w:rPr>
          <w:i w:val="0"/>
        </w:rPr>
      </w:pPr>
      <w:r>
        <w:rPr>
          <w:i w:val="0"/>
        </w:rPr>
        <w:t>– POVINNOSTI PŘÍJEMCE</w:t>
      </w:r>
    </w:p>
    <w:p w14:paraId="783172F0" w14:textId="77777777" w:rsidR="00C87BC7" w:rsidRPr="00DB47EC" w:rsidRDefault="00471E1A" w:rsidP="00D87A31">
      <w:pPr>
        <w:pStyle w:val="Odstavecseseznamem"/>
        <w:numPr>
          <w:ilvl w:val="0"/>
          <w:numId w:val="4"/>
        </w:numPr>
        <w:spacing w:before="240" w:after="240"/>
        <w:ind w:left="357" w:hanging="357"/>
        <w:contextualSpacing w:val="0"/>
        <w:jc w:val="center"/>
        <w:rPr>
          <w:b/>
          <w:sz w:val="24"/>
        </w:rPr>
      </w:pPr>
      <w:r w:rsidRPr="00DB47EC">
        <w:rPr>
          <w:b/>
          <w:sz w:val="24"/>
        </w:rPr>
        <w:t>Článek</w:t>
      </w:r>
      <w:r w:rsidRPr="00DB47EC">
        <w:rPr>
          <w:b/>
          <w:sz w:val="24"/>
        </w:rPr>
        <w:br/>
        <w:t>Obecná ustanovení</w:t>
      </w:r>
    </w:p>
    <w:p w14:paraId="1C13636A" w14:textId="77777777" w:rsidR="00DB47EC" w:rsidRDefault="00471E1A" w:rsidP="00B518E2">
      <w:pPr>
        <w:pStyle w:val="Odstavecseseznamem"/>
        <w:numPr>
          <w:ilvl w:val="1"/>
          <w:numId w:val="4"/>
        </w:numPr>
        <w:spacing w:before="120" w:after="120"/>
        <w:contextualSpacing w:val="0"/>
        <w:jc w:val="both"/>
      </w:pPr>
      <w:r w:rsidRPr="009E752F">
        <w:t xml:space="preserve">Běh všech lhůt </w:t>
      </w:r>
      <w:r>
        <w:t>stanovených tímto Rozhodnutím začíná</w:t>
      </w:r>
      <w:r w:rsidRPr="009E752F">
        <w:t xml:space="preserve"> vydáním </w:t>
      </w:r>
      <w:r>
        <w:t xml:space="preserve">tohoto </w:t>
      </w:r>
      <w:r w:rsidRPr="009E752F">
        <w:t>Rozhodnutí</w:t>
      </w:r>
      <w:r>
        <w:t>, nestanoví-li toto Rozhodnutí nebo jeho přílohy jako počátek lhůty datum pozdější</w:t>
      </w:r>
      <w:r w:rsidRPr="009E752F">
        <w:t>. Lhůty jsou uvedeny v kalendářních dnech, pokud není uvedeno jinak</w:t>
      </w:r>
      <w:r>
        <w:t>.</w:t>
      </w:r>
    </w:p>
    <w:p w14:paraId="2ED9A7A9" w14:textId="77777777" w:rsidR="00DB47EC" w:rsidRDefault="00471E1A" w:rsidP="00B518E2">
      <w:pPr>
        <w:pStyle w:val="Odstavecseseznamem"/>
        <w:numPr>
          <w:ilvl w:val="1"/>
          <w:numId w:val="4"/>
        </w:numPr>
        <w:spacing w:before="120" w:after="120"/>
        <w:contextualSpacing w:val="0"/>
        <w:jc w:val="both"/>
      </w:pPr>
      <w:r>
        <w:t>Stanoví-li toto Rozhodnutí něco jiného než jeho přílohy, použije se ustanovení tohoto Rozhodnutí, není-li dále uvedeno jinak.</w:t>
      </w:r>
    </w:p>
    <w:p w14:paraId="6F01C32D" w14:textId="77777777" w:rsidR="00DB47EC" w:rsidRDefault="00471E1A" w:rsidP="00B518E2">
      <w:pPr>
        <w:pStyle w:val="Odstavecseseznamem"/>
        <w:numPr>
          <w:ilvl w:val="1"/>
          <w:numId w:val="4"/>
        </w:numPr>
        <w:spacing w:before="120" w:after="120"/>
        <w:contextualSpacing w:val="0"/>
        <w:jc w:val="both"/>
      </w:pPr>
      <w:r>
        <w:t>Příjemce a poskytovatel dotace budou ke komunikaci využívat přednostně informační systém MS2014+ (dále jen „informační systém“ nebo „MS2014+“). Příjemce je povinen pravidelně kontrolovat stav svého účtu v informačním systému. Příjemce může být ze strany poskytovatele dotace prostřednictvím informačního systému např. vyzván k doložení dokumentů, objasnění podaných žádostí o změnu, dopracován</w:t>
      </w:r>
      <w:r w:rsidR="006A2F1E">
        <w:t>í či doplnění podaných zpráv apod</w:t>
      </w:r>
      <w:r>
        <w:t>.</w:t>
      </w:r>
    </w:p>
    <w:p w14:paraId="31A98BCF" w14:textId="77777777" w:rsidR="00DB47EC" w:rsidRDefault="00471E1A" w:rsidP="00B518E2">
      <w:pPr>
        <w:pStyle w:val="Odstavecseseznamem"/>
        <w:numPr>
          <w:ilvl w:val="1"/>
          <w:numId w:val="4"/>
        </w:numPr>
        <w:spacing w:before="120" w:after="120"/>
        <w:contextualSpacing w:val="0"/>
        <w:jc w:val="both"/>
      </w:pPr>
      <w:r>
        <w:t xml:space="preserve">Pro účely tohoto Rozhodnutí se zprostředkujícím subjektem </w:t>
      </w:r>
      <w:r w:rsidR="00811E15">
        <w:t>rozumí Agentura pro podnikání a </w:t>
      </w:r>
      <w:r>
        <w:t>inovace.</w:t>
      </w:r>
    </w:p>
    <w:p w14:paraId="506564C8" w14:textId="77777777" w:rsidR="00DB47EC" w:rsidRDefault="00471E1A" w:rsidP="00B518E2">
      <w:pPr>
        <w:pStyle w:val="Odstavecseseznamem"/>
        <w:numPr>
          <w:ilvl w:val="1"/>
          <w:numId w:val="4"/>
        </w:numPr>
        <w:spacing w:before="120" w:after="120"/>
        <w:contextualSpacing w:val="0"/>
        <w:jc w:val="both"/>
      </w:pPr>
      <w:bookmarkStart w:id="4" w:name="_Ref40103480"/>
      <w:r>
        <w:t xml:space="preserve">Je-li příjemce tímto Rozhodnutím zavázán plnit dále uvedené povinnosti „po dobu realizace a udržitelnosti“, rozumí se tímto období od vydání tohoto Rozhodnutí do uplynutí </w:t>
      </w:r>
      <w:r w:rsidR="007D3538">
        <w:t>3</w:t>
      </w:r>
      <w:r>
        <w:t xml:space="preserve"> let od </w:t>
      </w:r>
      <w:r>
        <w:rPr>
          <w:rFonts w:asciiTheme="minorHAnsi" w:hAnsiTheme="minorHAnsi"/>
          <w:szCs w:val="22"/>
        </w:rPr>
        <w:t>přechodu P</w:t>
      </w:r>
      <w:r w:rsidRPr="00A645B7">
        <w:rPr>
          <w:rFonts w:asciiTheme="minorHAnsi" w:hAnsiTheme="minorHAnsi"/>
          <w:szCs w:val="22"/>
        </w:rPr>
        <w:t>rojektu do centrálního stavu v MS2014+ „Projekt finančně ukončen ze strany ŘO“</w:t>
      </w:r>
      <w:r>
        <w:rPr>
          <w:rFonts w:asciiTheme="minorHAnsi" w:hAnsiTheme="minorHAnsi"/>
          <w:szCs w:val="22"/>
        </w:rPr>
        <w:t>, pokud příslušná Výzva nestanovila povinnost plnit dané povinnosti i před vydáním tohoto Rozhodnutí.</w:t>
      </w:r>
      <w:bookmarkEnd w:id="4"/>
    </w:p>
    <w:p w14:paraId="5CD82BAA" w14:textId="77777777" w:rsidR="00C87BC7" w:rsidRPr="00DB47EC" w:rsidRDefault="00471E1A" w:rsidP="00D87A31">
      <w:pPr>
        <w:pStyle w:val="Odstavecseseznamem"/>
        <w:numPr>
          <w:ilvl w:val="0"/>
          <w:numId w:val="4"/>
        </w:numPr>
        <w:spacing w:before="240" w:after="240"/>
        <w:ind w:left="357" w:hanging="357"/>
        <w:contextualSpacing w:val="0"/>
        <w:jc w:val="center"/>
        <w:rPr>
          <w:b/>
          <w:sz w:val="24"/>
        </w:rPr>
      </w:pPr>
      <w:r w:rsidRPr="00DB47EC">
        <w:rPr>
          <w:b/>
          <w:sz w:val="24"/>
        </w:rPr>
        <w:t>Článek</w:t>
      </w:r>
      <w:r w:rsidRPr="00DB47EC">
        <w:rPr>
          <w:b/>
          <w:sz w:val="24"/>
        </w:rPr>
        <w:br/>
        <w:t>Změny Projektu a příjemce</w:t>
      </w:r>
    </w:p>
    <w:p w14:paraId="6C0FFEE2" w14:textId="77777777" w:rsidR="00DB47EC" w:rsidRDefault="00471E1A" w:rsidP="00B518E2">
      <w:pPr>
        <w:pStyle w:val="Odstavecseseznamem"/>
        <w:numPr>
          <w:ilvl w:val="1"/>
          <w:numId w:val="4"/>
        </w:numPr>
        <w:spacing w:before="120" w:after="120"/>
        <w:contextualSpacing w:val="0"/>
        <w:jc w:val="both"/>
      </w:pPr>
      <w:bookmarkStart w:id="5" w:name="_Ref39649594"/>
      <w:r>
        <w:t>Příjemce je povinen realizovat Projekt dle</w:t>
      </w:r>
      <w:r w:rsidRPr="00BA749D">
        <w:t xml:space="preserve"> tohoto Rozhodnutí</w:t>
      </w:r>
      <w:r>
        <w:t xml:space="preserve"> a jeho případných dodatků (dále jen „Rozhodnutí“) a v rámci aktivit podporovaných Výzvou</w:t>
      </w:r>
      <w:r w:rsidRPr="00BA749D">
        <w:t xml:space="preserve">. </w:t>
      </w:r>
      <w:r>
        <w:t>Při jakékoliv změně Projektu je příjemce povinen postupovat dle Kategorizace typu změn projektu, která je přílohou tohoto Rozhodnutí a dle případně dále stanovených podmínek. Příjemce je oprávněn požádat v souladu s ust. §</w:t>
      </w:r>
      <w:r w:rsidR="006A2F1E">
        <w:t xml:space="preserve"> </w:t>
      </w:r>
      <w:r>
        <w:t>14o rozpočtových pravidel i o změn</w:t>
      </w:r>
      <w:r w:rsidR="006A2F1E">
        <w:t xml:space="preserve">u tohoto Rozhodnutí. Žádost o změnu </w:t>
      </w:r>
      <w:r>
        <w:t xml:space="preserve">v takovém případě </w:t>
      </w:r>
      <w:r w:rsidR="006A2F1E">
        <w:t xml:space="preserve">příjemce </w:t>
      </w:r>
      <w:r>
        <w:t>podává nejpozději 14. den před uplynutím lhůty, ve které má být daná povinnost stanovená tímto Rozhodnutím příjemcem splněna. Pokud se žádost o změnu Rozhodnutí týká povinnosti, která nemá stanovenu konkrétní lhůtu ke svému splnění, je příjemce povinen požádat o změnu bez zbytečného odkladu poté, co se o rozhodné skutečnosti dozvěděl, nejpozději však před tím, než k porušení nebo nesplnění podmínky dojde. V případě podání žádosti o změnu v souladu s tímto čl</w:t>
      </w:r>
      <w:r w:rsidR="00811E15">
        <w:t>ánkem Rozhodnutí se lhůta pro </w:t>
      </w:r>
      <w:r>
        <w:t xml:space="preserve">splnění dotčené povinnosti pozastavuje do okamžiku vydání rozhodnutí o žádosti o změně (Dodatku k Rozhodnutí) v případech, kdy se žádosti o změnu vyhoví. Poskytovatel dotace může vyhovět i žádosti o změnu tohoto Rozhodnutí podané po uplynutí výše uvedené lhůty 14 denní lhůty, </w:t>
      </w:r>
      <w:r>
        <w:lastRenderedPageBreak/>
        <w:t>pokud byla žádost o změnu podána před uplynutím lhůty, ve které měla být dotčená povinnost splněna.</w:t>
      </w:r>
      <w:bookmarkEnd w:id="5"/>
    </w:p>
    <w:p w14:paraId="3CB2140C" w14:textId="77777777" w:rsidR="00DB47EC" w:rsidRDefault="00471E1A" w:rsidP="00B518E2">
      <w:pPr>
        <w:pStyle w:val="Odstavecseseznamem"/>
        <w:numPr>
          <w:ilvl w:val="1"/>
          <w:numId w:val="4"/>
        </w:numPr>
        <w:spacing w:before="120" w:after="120"/>
        <w:contextualSpacing w:val="0"/>
        <w:jc w:val="both"/>
      </w:pPr>
      <w:r>
        <w:t>Příjemce není oprávněn převést práva a povinnosti vyplývající z Rozhodnutí na jiný subjekt bez předchozího písemného souhlasu poskytovatele dotace. Příjemce i poskytovatel dotace mají povinnost postupovat dle ust. § 14a a násl. rozpočtových pravidel. V případě, že byla tímto Rozhodnutím poskytnuta podpora de minimis, má příjemce</w:t>
      </w:r>
      <w:r w:rsidR="00D40862">
        <w:t>, na něhož byla převedena práva</w:t>
      </w:r>
      <w:r w:rsidR="00811E15">
        <w:t xml:space="preserve"> a </w:t>
      </w:r>
      <w:r w:rsidR="00D40862">
        <w:t xml:space="preserve">povinnosti vyplývající z tohoto Rozhodnutí, </w:t>
      </w:r>
      <w:r>
        <w:t>povinnost poskytnout údaje nezbytné pro úpravu záznamu podpory de minimis v Centrálním registru podpor malého rozsahu.</w:t>
      </w:r>
    </w:p>
    <w:p w14:paraId="16B7D239" w14:textId="77777777" w:rsidR="00C87BC7" w:rsidRPr="00DB47EC" w:rsidRDefault="00471E1A" w:rsidP="00D87A31">
      <w:pPr>
        <w:pStyle w:val="Odstavecseseznamem"/>
        <w:numPr>
          <w:ilvl w:val="0"/>
          <w:numId w:val="4"/>
        </w:numPr>
        <w:spacing w:before="240" w:after="240"/>
        <w:ind w:left="357" w:hanging="357"/>
        <w:contextualSpacing w:val="0"/>
        <w:jc w:val="center"/>
        <w:rPr>
          <w:b/>
          <w:sz w:val="24"/>
        </w:rPr>
      </w:pPr>
      <w:r>
        <w:rPr>
          <w:b/>
          <w:sz w:val="24"/>
        </w:rPr>
        <w:t>Článek</w:t>
      </w:r>
      <w:r>
        <w:rPr>
          <w:b/>
          <w:sz w:val="24"/>
        </w:rPr>
        <w:br/>
        <w:t>Povinnosti příjemce</w:t>
      </w:r>
    </w:p>
    <w:p w14:paraId="2508A196" w14:textId="77777777" w:rsidR="00DB47EC" w:rsidRPr="00DB47EC" w:rsidRDefault="00471E1A" w:rsidP="00D87A31">
      <w:pPr>
        <w:pStyle w:val="Odstavecseseznamem"/>
        <w:numPr>
          <w:ilvl w:val="1"/>
          <w:numId w:val="4"/>
        </w:numPr>
        <w:spacing w:before="120" w:after="120"/>
        <w:contextualSpacing w:val="0"/>
        <w:rPr>
          <w:b/>
        </w:rPr>
      </w:pPr>
      <w:r w:rsidRPr="00DB47EC">
        <w:rPr>
          <w:b/>
        </w:rPr>
        <w:t>Obecná ustanovení</w:t>
      </w:r>
    </w:p>
    <w:p w14:paraId="572BB8E7" w14:textId="77777777" w:rsidR="00DB47EC" w:rsidRPr="00DB47EC" w:rsidRDefault="00471E1A" w:rsidP="00B518E2">
      <w:pPr>
        <w:pStyle w:val="Odstavecseseznamem"/>
        <w:numPr>
          <w:ilvl w:val="2"/>
          <w:numId w:val="4"/>
        </w:numPr>
        <w:spacing w:before="120" w:after="120"/>
        <w:contextualSpacing w:val="0"/>
        <w:jc w:val="both"/>
      </w:pPr>
      <w:r w:rsidRPr="00F24E01">
        <w:rPr>
          <w:rFonts w:asciiTheme="minorHAnsi" w:hAnsiTheme="minorHAnsi"/>
          <w:szCs w:val="22"/>
        </w:rPr>
        <w:t>Není-li dále uvedeno jinak, jsou podmínky stan</w:t>
      </w:r>
      <w:r w:rsidR="006A2F1E">
        <w:rPr>
          <w:rFonts w:asciiTheme="minorHAnsi" w:hAnsiTheme="minorHAnsi"/>
          <w:szCs w:val="22"/>
        </w:rPr>
        <w:t>ovené tímto Rozhodnutím podmínkami</w:t>
      </w:r>
      <w:r w:rsidR="00811E15">
        <w:rPr>
          <w:rFonts w:asciiTheme="minorHAnsi" w:hAnsiTheme="minorHAnsi"/>
          <w:szCs w:val="22"/>
        </w:rPr>
        <w:t xml:space="preserve"> ve </w:t>
      </w:r>
      <w:r w:rsidRPr="00F24E01">
        <w:rPr>
          <w:rFonts w:asciiTheme="minorHAnsi" w:hAnsiTheme="minorHAnsi"/>
          <w:szCs w:val="22"/>
        </w:rPr>
        <w:t>smyslu ust. § 14 odst. 4 písm. g) rozpočtových pravidel</w:t>
      </w:r>
      <w:r>
        <w:rPr>
          <w:rFonts w:asciiTheme="minorHAnsi" w:hAnsiTheme="minorHAnsi"/>
          <w:szCs w:val="22"/>
        </w:rPr>
        <w:t>.</w:t>
      </w:r>
    </w:p>
    <w:p w14:paraId="436165B6" w14:textId="77777777" w:rsidR="00DB47EC" w:rsidRPr="00CC5FB5" w:rsidRDefault="00471E1A" w:rsidP="00B518E2">
      <w:pPr>
        <w:pStyle w:val="Odstavecseseznamem"/>
        <w:numPr>
          <w:ilvl w:val="2"/>
          <w:numId w:val="4"/>
        </w:numPr>
        <w:spacing w:before="120" w:after="120"/>
        <w:contextualSpacing w:val="0"/>
        <w:jc w:val="both"/>
      </w:pPr>
      <w:r w:rsidRPr="00F24E01">
        <w:rPr>
          <w:rFonts w:asciiTheme="minorHAnsi" w:hAnsiTheme="minorHAnsi"/>
          <w:szCs w:val="22"/>
        </w:rPr>
        <w:t>Pokud bude před vyplacením dotace nebo její části zjištěno, že příjemce porušil povinnosti stanovené právním předpisem, nedodržel účel dotace nebo podmínky toho</w:t>
      </w:r>
      <w:r w:rsidR="00811E15">
        <w:rPr>
          <w:rFonts w:asciiTheme="minorHAnsi" w:hAnsiTheme="minorHAnsi"/>
          <w:szCs w:val="22"/>
        </w:rPr>
        <w:t>to Rozhodnutí a </w:t>
      </w:r>
      <w:r w:rsidRPr="00F24E01">
        <w:rPr>
          <w:rFonts w:asciiTheme="minorHAnsi" w:hAnsiTheme="minorHAnsi"/>
          <w:szCs w:val="22"/>
        </w:rPr>
        <w:t>jeho příloh, má poskytovatel dotace právo dotaci nebo její část dle ust. § 14e rozpočtových pravidel nevyplatit. Poskytovatel dotace přitom musí, je-li stanoven nižší odvod za porušení rozpočtové kázně dle ust. § 14 odst. 5 rozpočtových pravidel, stanovit výši nevyplacené dotace dle ust. §14e rozpočtových pravidel v rámci částek vypočítaných podle ust. § 14 odst. 5 rozpočtových pravidel. Za tímto účelem ve všech případech, kdy toto Rozhodnutí stanoví, jaká část poskytnuté dotace nebude příjemci vyplacena, jedná se o stanovení nižšího odvodu za porušení rozpočtové kázně ve smyslu ust. § 14 odst. 5 rozpočtových pravidel. V případech, kdy toto rozhodnutí stanoví, že příjemci nebude vyplaceno 100 % poskytnuté dotace, bude tak učiněno postupem dle ust. § 14e rozpo</w:t>
      </w:r>
      <w:r w:rsidR="00811E15">
        <w:rPr>
          <w:rFonts w:asciiTheme="minorHAnsi" w:hAnsiTheme="minorHAnsi"/>
          <w:szCs w:val="22"/>
        </w:rPr>
        <w:t>čtových pravidel, přičemž jde o </w:t>
      </w:r>
      <w:r w:rsidRPr="00F24E01">
        <w:rPr>
          <w:rFonts w:asciiTheme="minorHAnsi" w:hAnsiTheme="minorHAnsi"/>
          <w:szCs w:val="22"/>
        </w:rPr>
        <w:t>povinnost, pro kterou poskytovatel dotace nestanovil nižší odvod za porušení rozpočtové kázně ve smyslu ust. § 14 odst. 5 rozpočtových pravidel</w:t>
      </w:r>
      <w:r w:rsidR="00CC5FB5">
        <w:rPr>
          <w:rFonts w:asciiTheme="minorHAnsi" w:hAnsiTheme="minorHAnsi"/>
          <w:szCs w:val="22"/>
        </w:rPr>
        <w:t>.</w:t>
      </w:r>
    </w:p>
    <w:p w14:paraId="0A87D142" w14:textId="77777777" w:rsidR="00CC5FB5" w:rsidRPr="006A2F1E" w:rsidRDefault="00471E1A" w:rsidP="00B518E2">
      <w:pPr>
        <w:pStyle w:val="Odstavecseseznamem"/>
        <w:numPr>
          <w:ilvl w:val="2"/>
          <w:numId w:val="4"/>
        </w:numPr>
        <w:spacing w:before="120" w:after="120"/>
        <w:contextualSpacing w:val="0"/>
        <w:jc w:val="both"/>
      </w:pPr>
      <w:r w:rsidRPr="00F24E01">
        <w:rPr>
          <w:rFonts w:asciiTheme="minorHAnsi" w:hAnsiTheme="minorHAnsi"/>
          <w:szCs w:val="22"/>
        </w:rPr>
        <w:t xml:space="preserve">Ve všech případech, kde toto Rozhodnutí stanoví, jaká část poskytnuté </w:t>
      </w:r>
      <w:r w:rsidR="006A2F1E">
        <w:rPr>
          <w:rFonts w:asciiTheme="minorHAnsi" w:hAnsiTheme="minorHAnsi"/>
          <w:szCs w:val="22"/>
        </w:rPr>
        <w:t>dotace (případně celá poskytnutá</w:t>
      </w:r>
      <w:r w:rsidRPr="00F24E01">
        <w:rPr>
          <w:rFonts w:asciiTheme="minorHAnsi" w:hAnsiTheme="minorHAnsi"/>
          <w:szCs w:val="22"/>
        </w:rPr>
        <w:t xml:space="preserve"> dotace) nebude příjemci vyplacena, platí, že pokud již k (částečnému) vyplacení došlo a následně je zjištěno pochybení příjemce, následkem kterého by dotace nebo její část neměla být vyplacena, uplatní poskytovatel dotace na již vyplacenou část dotace postup dle ust. §</w:t>
      </w:r>
      <w:r w:rsidR="00040B8F">
        <w:rPr>
          <w:rFonts w:asciiTheme="minorHAnsi" w:hAnsiTheme="minorHAnsi"/>
          <w:szCs w:val="22"/>
        </w:rPr>
        <w:t xml:space="preserve"> </w:t>
      </w:r>
      <w:r w:rsidRPr="00F24E01">
        <w:rPr>
          <w:rFonts w:asciiTheme="minorHAnsi" w:hAnsiTheme="minorHAnsi"/>
          <w:szCs w:val="22"/>
        </w:rPr>
        <w:t>14f rozpočtových pravidel ve stejném rozsahu</w:t>
      </w:r>
      <w:r>
        <w:rPr>
          <w:rFonts w:asciiTheme="minorHAnsi" w:hAnsiTheme="minorHAnsi"/>
          <w:szCs w:val="22"/>
        </w:rPr>
        <w:t>.</w:t>
      </w:r>
    </w:p>
    <w:p w14:paraId="17739829" w14:textId="77777777" w:rsidR="006A2F1E" w:rsidRDefault="006A2F1E" w:rsidP="006A2F1E">
      <w:pPr>
        <w:pStyle w:val="Odstavecseseznamem"/>
        <w:spacing w:before="120" w:after="120"/>
        <w:ind w:left="794"/>
        <w:contextualSpacing w:val="0"/>
        <w:jc w:val="both"/>
      </w:pPr>
    </w:p>
    <w:p w14:paraId="48A125CD" w14:textId="77777777" w:rsidR="00DB47EC" w:rsidRPr="00CC5FB5" w:rsidRDefault="00471E1A" w:rsidP="00D87A31">
      <w:pPr>
        <w:pStyle w:val="Odstavecseseznamem"/>
        <w:numPr>
          <w:ilvl w:val="1"/>
          <w:numId w:val="4"/>
        </w:numPr>
        <w:spacing w:before="120" w:after="120"/>
        <w:contextualSpacing w:val="0"/>
        <w:rPr>
          <w:b/>
        </w:rPr>
      </w:pPr>
      <w:r w:rsidRPr="00CC5FB5">
        <w:rPr>
          <w:b/>
        </w:rPr>
        <w:t>Informační povinnosti příjemce</w:t>
      </w:r>
    </w:p>
    <w:p w14:paraId="6933F932" w14:textId="77777777" w:rsidR="00CC5FB5" w:rsidRPr="00CC5FB5" w:rsidRDefault="00471E1A" w:rsidP="00391092">
      <w:pPr>
        <w:pStyle w:val="Odstavecseseznamem"/>
        <w:numPr>
          <w:ilvl w:val="2"/>
          <w:numId w:val="4"/>
        </w:numPr>
        <w:spacing w:before="120" w:after="120"/>
        <w:contextualSpacing w:val="0"/>
        <w:jc w:val="both"/>
      </w:pPr>
      <w:bookmarkStart w:id="6" w:name="_Ref39649746"/>
      <w:r w:rsidRPr="00A645B7">
        <w:rPr>
          <w:rFonts w:asciiTheme="minorHAnsi" w:hAnsiTheme="minorHAnsi"/>
          <w:szCs w:val="22"/>
        </w:rPr>
        <w:t xml:space="preserve">Příjemce je povinen vést průběžně evidenci o své vlastnické struktuře a jejích změnách. Příjemce je povinen na vyžádání zejména poskytovatele dotace, Platebního a certifikačního orgánu, Auditního orgánu, Evropské komise nebo Evropského účetního dvora </w:t>
      </w:r>
      <w:r>
        <w:rPr>
          <w:rFonts w:asciiTheme="minorHAnsi" w:hAnsiTheme="minorHAnsi"/>
          <w:szCs w:val="22"/>
        </w:rPr>
        <w:t>v požadované lhůtě</w:t>
      </w:r>
      <w:r w:rsidRPr="00A645B7">
        <w:rPr>
          <w:rFonts w:asciiTheme="minorHAnsi" w:hAnsiTheme="minorHAnsi"/>
          <w:szCs w:val="22"/>
        </w:rPr>
        <w:t xml:space="preserve"> poskytnout průkazné dokumenty a inform</w:t>
      </w:r>
      <w:r>
        <w:rPr>
          <w:rFonts w:asciiTheme="minorHAnsi" w:hAnsiTheme="minorHAnsi"/>
          <w:szCs w:val="22"/>
        </w:rPr>
        <w:t xml:space="preserve">ace o své </w:t>
      </w:r>
      <w:r w:rsidR="00811E15">
        <w:rPr>
          <w:rFonts w:asciiTheme="minorHAnsi" w:hAnsiTheme="minorHAnsi"/>
          <w:szCs w:val="22"/>
        </w:rPr>
        <w:t>vlastnické struktuře a to až do </w:t>
      </w:r>
      <w:r w:rsidRPr="00A645B7">
        <w:rPr>
          <w:rFonts w:asciiTheme="minorHAnsi" w:hAnsiTheme="minorHAnsi"/>
          <w:szCs w:val="22"/>
        </w:rPr>
        <w:t xml:space="preserve">úrovně skutečného </w:t>
      </w:r>
      <w:r w:rsidR="006A2F1E">
        <w:rPr>
          <w:rFonts w:asciiTheme="minorHAnsi" w:hAnsiTheme="minorHAnsi"/>
          <w:szCs w:val="22"/>
        </w:rPr>
        <w:t>majitele/skutečných majitelů ve smyslu</w:t>
      </w:r>
      <w:r w:rsidR="00811E15">
        <w:rPr>
          <w:rFonts w:asciiTheme="minorHAnsi" w:hAnsiTheme="minorHAnsi"/>
          <w:szCs w:val="22"/>
        </w:rPr>
        <w:t xml:space="preserve"> ust. § 4 odst. 4 zákona č. </w:t>
      </w:r>
      <w:r w:rsidRPr="00A645B7">
        <w:rPr>
          <w:rFonts w:asciiTheme="minorHAnsi" w:hAnsiTheme="minorHAnsi"/>
          <w:szCs w:val="22"/>
        </w:rPr>
        <w:t>253/2008 Sb., o některých opatřeních proti legaliz</w:t>
      </w:r>
      <w:r w:rsidR="00811E15">
        <w:rPr>
          <w:rFonts w:asciiTheme="minorHAnsi" w:hAnsiTheme="minorHAnsi"/>
          <w:szCs w:val="22"/>
        </w:rPr>
        <w:t>aci výnosů z trestné činnosti a </w:t>
      </w:r>
      <w:r w:rsidRPr="00A645B7">
        <w:rPr>
          <w:rFonts w:asciiTheme="minorHAnsi" w:hAnsiTheme="minorHAnsi"/>
          <w:szCs w:val="22"/>
        </w:rPr>
        <w:t>financování terorismu (dále jen „AML zákon“), ve znění pozdějších předpisů</w:t>
      </w:r>
      <w:r>
        <w:rPr>
          <w:rFonts w:asciiTheme="minorHAnsi" w:hAnsiTheme="minorHAnsi"/>
          <w:szCs w:val="22"/>
        </w:rPr>
        <w:t>.</w:t>
      </w:r>
      <w:bookmarkEnd w:id="6"/>
    </w:p>
    <w:p w14:paraId="09EBD732" w14:textId="77777777" w:rsidR="00CC5FB5" w:rsidRPr="00CC5FB5" w:rsidRDefault="00471E1A" w:rsidP="00391092">
      <w:pPr>
        <w:pStyle w:val="Odstavecseseznamem"/>
        <w:numPr>
          <w:ilvl w:val="2"/>
          <w:numId w:val="4"/>
        </w:numPr>
        <w:spacing w:before="120" w:after="120"/>
        <w:contextualSpacing w:val="0"/>
        <w:jc w:val="both"/>
      </w:pPr>
      <w:r>
        <w:rPr>
          <w:rFonts w:asciiTheme="minorHAnsi" w:hAnsiTheme="minorHAnsi"/>
          <w:szCs w:val="22"/>
        </w:rPr>
        <w:t>Povinnost dle čl.</w:t>
      </w:r>
      <w:r w:rsidRPr="00A645B7">
        <w:rPr>
          <w:rFonts w:asciiTheme="minorHAnsi" w:hAnsiTheme="minorHAnsi"/>
          <w:szCs w:val="22"/>
        </w:rPr>
        <w:t xml:space="preserve"> </w:t>
      </w:r>
      <w:r w:rsidR="00705076">
        <w:rPr>
          <w:rFonts w:asciiTheme="minorHAnsi" w:hAnsiTheme="minorHAnsi"/>
          <w:szCs w:val="22"/>
        </w:rPr>
        <w:t>6.2.1</w:t>
      </w:r>
      <w:r w:rsidRPr="00A645B7">
        <w:rPr>
          <w:rFonts w:asciiTheme="minorHAnsi" w:hAnsiTheme="minorHAnsi"/>
          <w:szCs w:val="22"/>
        </w:rPr>
        <w:t xml:space="preserve"> věty první je povinností ve smyslu ust. § 14 </w:t>
      </w:r>
      <w:r>
        <w:rPr>
          <w:rFonts w:asciiTheme="minorHAnsi" w:hAnsiTheme="minorHAnsi"/>
          <w:szCs w:val="22"/>
        </w:rPr>
        <w:t xml:space="preserve">odst. 4 </w:t>
      </w:r>
      <w:r w:rsidRPr="00A645B7">
        <w:rPr>
          <w:rFonts w:asciiTheme="minorHAnsi" w:hAnsiTheme="minorHAnsi"/>
          <w:szCs w:val="22"/>
        </w:rPr>
        <w:t>písm. j) rozpočtových pravid</w:t>
      </w:r>
      <w:r>
        <w:rPr>
          <w:rFonts w:asciiTheme="minorHAnsi" w:hAnsiTheme="minorHAnsi"/>
          <w:szCs w:val="22"/>
        </w:rPr>
        <w:t>el. Porušení povinnosti dle čl.</w:t>
      </w:r>
      <w:r w:rsidRPr="00A645B7">
        <w:rPr>
          <w:rFonts w:asciiTheme="minorHAnsi" w:hAnsiTheme="minorHAnsi"/>
          <w:szCs w:val="22"/>
        </w:rPr>
        <w:t xml:space="preserve"> </w:t>
      </w:r>
      <w:r w:rsidR="002667E1">
        <w:rPr>
          <w:rFonts w:asciiTheme="minorHAnsi" w:hAnsiTheme="minorHAnsi"/>
          <w:szCs w:val="22"/>
        </w:rPr>
        <w:t>6.2.1</w:t>
      </w:r>
      <w:r w:rsidRPr="00A645B7">
        <w:rPr>
          <w:rFonts w:asciiTheme="minorHAnsi" w:hAnsiTheme="minorHAnsi"/>
          <w:szCs w:val="22"/>
        </w:rPr>
        <w:t xml:space="preserve"> věty druhé bude mít za následek nevyplacení 100 % poskytnuté dotace</w:t>
      </w:r>
      <w:r>
        <w:rPr>
          <w:rFonts w:asciiTheme="minorHAnsi" w:hAnsiTheme="minorHAnsi"/>
          <w:szCs w:val="22"/>
        </w:rPr>
        <w:t>.</w:t>
      </w:r>
    </w:p>
    <w:p w14:paraId="37AB5F73" w14:textId="77777777" w:rsidR="00CC5FB5" w:rsidRPr="00CC5FB5" w:rsidRDefault="00471E1A" w:rsidP="00391092">
      <w:pPr>
        <w:pStyle w:val="Odstavecseseznamem"/>
        <w:numPr>
          <w:ilvl w:val="2"/>
          <w:numId w:val="4"/>
        </w:numPr>
        <w:spacing w:before="120" w:after="120"/>
        <w:contextualSpacing w:val="0"/>
        <w:jc w:val="both"/>
      </w:pPr>
      <w:r w:rsidRPr="00A645B7">
        <w:rPr>
          <w:rFonts w:asciiTheme="minorHAnsi" w:hAnsiTheme="minorHAnsi"/>
          <w:szCs w:val="22"/>
        </w:rPr>
        <w:t xml:space="preserve">Příjemce je povinen informovat poskytovatele dotace </w:t>
      </w:r>
      <w:r>
        <w:rPr>
          <w:rFonts w:asciiTheme="minorHAnsi" w:hAnsiTheme="minorHAnsi"/>
          <w:szCs w:val="22"/>
        </w:rPr>
        <w:t>po dobu realizace a udržitelnosti</w:t>
      </w:r>
      <w:r w:rsidR="00811E15">
        <w:rPr>
          <w:rFonts w:asciiTheme="minorHAnsi" w:hAnsiTheme="minorHAnsi"/>
          <w:szCs w:val="22"/>
        </w:rPr>
        <w:t xml:space="preserve"> o </w:t>
      </w:r>
      <w:r w:rsidRPr="00A645B7">
        <w:rPr>
          <w:rFonts w:asciiTheme="minorHAnsi" w:hAnsiTheme="minorHAnsi"/>
          <w:szCs w:val="22"/>
        </w:rPr>
        <w:t xml:space="preserve">změnách svého skutečného majitele/skutečných majitelů ve smyslu ust. § 4 odst. 4 AML zákona, a to do 10 dnů ode dne, kdy ke změně došlo. Jedná </w:t>
      </w:r>
      <w:r w:rsidR="00811E15">
        <w:rPr>
          <w:rFonts w:asciiTheme="minorHAnsi" w:hAnsiTheme="minorHAnsi"/>
          <w:szCs w:val="22"/>
        </w:rPr>
        <w:t>se o povinnost ve smyslu ust. § </w:t>
      </w:r>
      <w:r w:rsidRPr="00A645B7">
        <w:rPr>
          <w:rFonts w:asciiTheme="minorHAnsi" w:hAnsiTheme="minorHAnsi"/>
          <w:szCs w:val="22"/>
        </w:rPr>
        <w:t>14 odst. 4 písm. j) rozpočtových pravidel</w:t>
      </w:r>
      <w:r>
        <w:rPr>
          <w:rFonts w:asciiTheme="minorHAnsi" w:hAnsiTheme="minorHAnsi"/>
          <w:szCs w:val="22"/>
        </w:rPr>
        <w:t>.</w:t>
      </w:r>
    </w:p>
    <w:p w14:paraId="447980CA" w14:textId="77777777" w:rsidR="000D4903" w:rsidRPr="00CC5FB5" w:rsidRDefault="00471E1A" w:rsidP="00391092">
      <w:pPr>
        <w:pStyle w:val="Odstavecseseznamem"/>
        <w:numPr>
          <w:ilvl w:val="2"/>
          <w:numId w:val="4"/>
        </w:numPr>
        <w:spacing w:before="120" w:after="120"/>
        <w:contextualSpacing w:val="0"/>
        <w:jc w:val="both"/>
      </w:pPr>
      <w:r w:rsidRPr="00A645B7">
        <w:rPr>
          <w:rFonts w:asciiTheme="minorHAnsi" w:hAnsiTheme="minorHAnsi"/>
          <w:szCs w:val="22"/>
        </w:rPr>
        <w:t>Příjemce je povinen informovat poskytovatele dotace</w:t>
      </w:r>
      <w:r w:rsidR="00391092">
        <w:rPr>
          <w:rFonts w:asciiTheme="minorHAnsi" w:hAnsiTheme="minorHAnsi"/>
          <w:szCs w:val="22"/>
        </w:rPr>
        <w:t xml:space="preserve"> po dobu realizace a udržitelnosti</w:t>
      </w:r>
      <w:r w:rsidR="00811E15">
        <w:rPr>
          <w:rFonts w:asciiTheme="minorHAnsi" w:hAnsiTheme="minorHAnsi"/>
          <w:szCs w:val="22"/>
        </w:rPr>
        <w:t xml:space="preserve"> o </w:t>
      </w:r>
      <w:r w:rsidRPr="00A645B7">
        <w:rPr>
          <w:rFonts w:asciiTheme="minorHAnsi" w:hAnsiTheme="minorHAnsi"/>
          <w:szCs w:val="22"/>
        </w:rPr>
        <w:t>změnách ve své vlastnické struktuře, které by mohly mít v</w:t>
      </w:r>
      <w:r w:rsidR="00811E15">
        <w:rPr>
          <w:rFonts w:asciiTheme="minorHAnsi" w:hAnsiTheme="minorHAnsi"/>
          <w:szCs w:val="22"/>
        </w:rPr>
        <w:t>liv na velikost jeho podniku ve</w:t>
      </w:r>
      <w:r w:rsidR="00811E15">
        <w:t> </w:t>
      </w:r>
      <w:r w:rsidRPr="00A645B7">
        <w:rPr>
          <w:rFonts w:asciiTheme="minorHAnsi" w:hAnsiTheme="minorHAnsi"/>
          <w:szCs w:val="22"/>
        </w:rPr>
        <w:t>smyslu Přílohy č. 1 Nařízení Komise (EU) č. 651/2014 ze dne 17. června 2014</w:t>
      </w:r>
      <w:r>
        <w:rPr>
          <w:rFonts w:asciiTheme="minorHAnsi" w:hAnsiTheme="minorHAnsi"/>
          <w:szCs w:val="22"/>
        </w:rPr>
        <w:t xml:space="preserve"> </w:t>
      </w:r>
      <w:r>
        <w:t xml:space="preserve">kterým se </w:t>
      </w:r>
      <w:r w:rsidR="00811E15">
        <w:t> </w:t>
      </w:r>
      <w:r>
        <w:t>v souladu s články 107 a 108 Smlouvy prohlašují určité kategorie podpory za slučitelné s vnitřním trhem</w:t>
      </w:r>
      <w:r w:rsidRPr="00A645B7">
        <w:rPr>
          <w:rFonts w:asciiTheme="minorHAnsi" w:hAnsiTheme="minorHAnsi"/>
          <w:szCs w:val="22"/>
        </w:rPr>
        <w:t xml:space="preserve">, </w:t>
      </w:r>
      <w:r>
        <w:rPr>
          <w:rFonts w:asciiTheme="minorHAnsi" w:hAnsiTheme="minorHAnsi"/>
          <w:szCs w:val="22"/>
        </w:rPr>
        <w:t xml:space="preserve">ve znění pozdějších předpisů (dále jen „Nařízení GBER“) </w:t>
      </w:r>
      <w:r w:rsidRPr="00A645B7">
        <w:rPr>
          <w:rFonts w:asciiTheme="minorHAnsi" w:hAnsiTheme="minorHAnsi"/>
          <w:szCs w:val="22"/>
        </w:rPr>
        <w:t>a to nejpozději s podáním nejbližší žádosti o platbu. Jedná se o povinnost ve sm</w:t>
      </w:r>
      <w:r w:rsidR="00811E15">
        <w:rPr>
          <w:rFonts w:asciiTheme="minorHAnsi" w:hAnsiTheme="minorHAnsi"/>
          <w:szCs w:val="22"/>
        </w:rPr>
        <w:t>yslu ust. § 14 odst. 4 písm. j) </w:t>
      </w:r>
      <w:r w:rsidRPr="00A645B7">
        <w:rPr>
          <w:rFonts w:asciiTheme="minorHAnsi" w:hAnsiTheme="minorHAnsi"/>
          <w:szCs w:val="22"/>
        </w:rPr>
        <w:t>rozpočtových pravidel</w:t>
      </w:r>
      <w:r>
        <w:rPr>
          <w:rFonts w:asciiTheme="minorHAnsi" w:hAnsiTheme="minorHAnsi"/>
          <w:szCs w:val="22"/>
        </w:rPr>
        <w:t>.</w:t>
      </w:r>
    </w:p>
    <w:p w14:paraId="044EA033" w14:textId="77777777" w:rsidR="00CC5FB5" w:rsidRPr="00CC5FB5" w:rsidRDefault="00471E1A" w:rsidP="00391092">
      <w:pPr>
        <w:pStyle w:val="Odstavecseseznamem"/>
        <w:numPr>
          <w:ilvl w:val="2"/>
          <w:numId w:val="4"/>
        </w:numPr>
        <w:spacing w:before="120" w:after="120"/>
        <w:contextualSpacing w:val="0"/>
        <w:jc w:val="both"/>
      </w:pPr>
      <w:bookmarkStart w:id="7" w:name="_Ref39649778"/>
      <w:r w:rsidRPr="00A645B7">
        <w:rPr>
          <w:rFonts w:asciiTheme="minorHAnsi" w:hAnsiTheme="minorHAnsi"/>
          <w:szCs w:val="22"/>
        </w:rPr>
        <w:t xml:space="preserve">Příjemce je povinen poskytovatele dotace informovat </w:t>
      </w:r>
      <w:r>
        <w:rPr>
          <w:rFonts w:asciiTheme="minorHAnsi" w:hAnsiTheme="minorHAnsi"/>
          <w:szCs w:val="22"/>
        </w:rPr>
        <w:t>po dobu realizace a udržitelnosti</w:t>
      </w:r>
      <w:r w:rsidR="00811E15">
        <w:rPr>
          <w:rFonts w:asciiTheme="minorHAnsi" w:hAnsiTheme="minorHAnsi"/>
          <w:szCs w:val="22"/>
        </w:rPr>
        <w:t xml:space="preserve"> o</w:t>
      </w:r>
      <w:r w:rsidR="00811E15">
        <w:t> </w:t>
      </w:r>
      <w:r w:rsidRPr="00A645B7">
        <w:rPr>
          <w:rFonts w:asciiTheme="minorHAnsi" w:hAnsiTheme="minorHAnsi"/>
          <w:szCs w:val="22"/>
        </w:rPr>
        <w:t xml:space="preserve">zahájeném insolvenčním řízení, a to do 5 dnů od uveřejnění vyhlášky o insolvenčním návrhu na portálu </w:t>
      </w:r>
      <w:hyperlink r:id="rId8" w:history="1">
        <w:r w:rsidRPr="00A645B7">
          <w:rPr>
            <w:rStyle w:val="Hypertextovodkaz"/>
            <w:rFonts w:asciiTheme="minorHAnsi" w:hAnsiTheme="minorHAnsi"/>
            <w:szCs w:val="22"/>
          </w:rPr>
          <w:t>https://isir.justice.cz</w:t>
        </w:r>
      </w:hyperlink>
      <w:r w:rsidRPr="00A645B7">
        <w:rPr>
          <w:rFonts w:asciiTheme="minorHAnsi" w:hAnsiTheme="minorHAnsi"/>
          <w:szCs w:val="22"/>
        </w:rPr>
        <w:t xml:space="preserve">. Příjemce je povinen informovat </w:t>
      </w:r>
      <w:r>
        <w:rPr>
          <w:rFonts w:asciiTheme="minorHAnsi" w:hAnsiTheme="minorHAnsi"/>
          <w:szCs w:val="22"/>
        </w:rPr>
        <w:t>poskytovatele dotace po dobu realizace a udržitelnosti</w:t>
      </w:r>
      <w:r w:rsidRPr="00A645B7">
        <w:rPr>
          <w:rFonts w:asciiTheme="minorHAnsi" w:hAnsiTheme="minorHAnsi"/>
          <w:szCs w:val="22"/>
        </w:rPr>
        <w:t xml:space="preserve"> o vstupu příjemce</w:t>
      </w:r>
      <w:r w:rsidR="00811E15">
        <w:rPr>
          <w:rFonts w:asciiTheme="minorHAnsi" w:hAnsiTheme="minorHAnsi"/>
          <w:szCs w:val="22"/>
        </w:rPr>
        <w:t xml:space="preserve"> do likvidace, a to do 5 dnů od </w:t>
      </w:r>
      <w:r w:rsidRPr="00A645B7">
        <w:rPr>
          <w:rFonts w:asciiTheme="minorHAnsi" w:hAnsiTheme="minorHAnsi"/>
          <w:szCs w:val="22"/>
        </w:rPr>
        <w:t xml:space="preserve">uveřejnění výzvy likvidátora k přihlášení pohledávek uveřejněných na portálu </w:t>
      </w:r>
      <w:hyperlink r:id="rId9" w:history="1">
        <w:r w:rsidRPr="00A645B7">
          <w:rPr>
            <w:rStyle w:val="Hypertextovodkaz"/>
            <w:rFonts w:asciiTheme="minorHAnsi" w:hAnsiTheme="minorHAnsi"/>
            <w:szCs w:val="22"/>
          </w:rPr>
          <w:t>https://ov.gov.cz</w:t>
        </w:r>
      </w:hyperlink>
      <w:r w:rsidRPr="00A645B7">
        <w:rPr>
          <w:rFonts w:asciiTheme="minorHAnsi" w:hAnsiTheme="minorHAnsi"/>
          <w:szCs w:val="22"/>
        </w:rPr>
        <w:t>. Příjemce rovněž musí průběžně informovat poskytovatele dotace o vývoji insolvenčního řízení, zejména o vydání rozhodnutí o úpadku a o vývoji likvidačního řízení</w:t>
      </w:r>
      <w:r>
        <w:rPr>
          <w:rFonts w:asciiTheme="minorHAnsi" w:hAnsiTheme="minorHAnsi"/>
          <w:szCs w:val="22"/>
        </w:rPr>
        <w:t>.</w:t>
      </w:r>
      <w:bookmarkEnd w:id="7"/>
    </w:p>
    <w:p w14:paraId="57647DB2" w14:textId="77777777" w:rsidR="00CC5FB5" w:rsidRPr="00CC5FB5" w:rsidRDefault="00471E1A" w:rsidP="00391092">
      <w:pPr>
        <w:pStyle w:val="Odstavecseseznamem"/>
        <w:numPr>
          <w:ilvl w:val="2"/>
          <w:numId w:val="4"/>
        </w:numPr>
        <w:spacing w:before="120" w:after="120"/>
        <w:contextualSpacing w:val="0"/>
        <w:jc w:val="both"/>
      </w:pPr>
      <w:r w:rsidRPr="00A645B7">
        <w:rPr>
          <w:rFonts w:asciiTheme="minorHAnsi" w:hAnsiTheme="minorHAnsi"/>
          <w:szCs w:val="22"/>
        </w:rPr>
        <w:t>Porušení informační po</w:t>
      </w:r>
      <w:r>
        <w:rPr>
          <w:rFonts w:asciiTheme="minorHAnsi" w:hAnsiTheme="minorHAnsi"/>
          <w:szCs w:val="22"/>
        </w:rPr>
        <w:t xml:space="preserve">vinnosti dle čl. </w:t>
      </w:r>
      <w:r w:rsidR="002667E1">
        <w:rPr>
          <w:rFonts w:asciiTheme="minorHAnsi" w:hAnsiTheme="minorHAnsi"/>
          <w:szCs w:val="22"/>
        </w:rPr>
        <w:t>6.2.5</w:t>
      </w:r>
      <w:r w:rsidRPr="00A645B7">
        <w:rPr>
          <w:rFonts w:asciiTheme="minorHAnsi" w:hAnsiTheme="minorHAnsi"/>
          <w:szCs w:val="22"/>
        </w:rPr>
        <w:t xml:space="preserve"> bude mít za následek nevyplacení části dotace </w:t>
      </w:r>
      <w:r w:rsidR="00330974">
        <w:rPr>
          <w:rFonts w:asciiTheme="minorHAnsi" w:hAnsiTheme="minorHAnsi"/>
          <w:szCs w:val="22"/>
        </w:rPr>
        <w:t>odpovídající</w:t>
      </w:r>
      <w:r>
        <w:rPr>
          <w:rFonts w:asciiTheme="minorHAnsi" w:hAnsiTheme="minorHAnsi"/>
          <w:szCs w:val="22"/>
        </w:rPr>
        <w:t xml:space="preserve"> 2</w:t>
      </w:r>
      <w:r w:rsidRPr="00A645B7">
        <w:rPr>
          <w:rFonts w:asciiTheme="minorHAnsi" w:hAnsiTheme="minorHAnsi"/>
          <w:szCs w:val="22"/>
        </w:rPr>
        <w:t xml:space="preserve"> % poskytnuté dotace</w:t>
      </w:r>
      <w:r>
        <w:rPr>
          <w:rFonts w:asciiTheme="minorHAnsi" w:hAnsiTheme="minorHAnsi"/>
          <w:szCs w:val="22"/>
        </w:rPr>
        <w:t>.</w:t>
      </w:r>
    </w:p>
    <w:p w14:paraId="45370635" w14:textId="77777777" w:rsidR="00CC5FB5" w:rsidRPr="00CC5FB5" w:rsidRDefault="00471E1A" w:rsidP="00391092">
      <w:pPr>
        <w:pStyle w:val="Odstavecseseznamem"/>
        <w:numPr>
          <w:ilvl w:val="2"/>
          <w:numId w:val="4"/>
        </w:numPr>
        <w:spacing w:before="120" w:after="120"/>
        <w:contextualSpacing w:val="0"/>
        <w:jc w:val="both"/>
      </w:pPr>
      <w:bookmarkStart w:id="8" w:name="_Ref39649818"/>
      <w:r w:rsidRPr="006761DC">
        <w:rPr>
          <w:rFonts w:asciiTheme="minorHAnsi" w:hAnsiTheme="minorHAnsi"/>
          <w:szCs w:val="22"/>
        </w:rPr>
        <w:t xml:space="preserve">Příjemce je povinen na základě žádosti poskytovatele dotace </w:t>
      </w:r>
      <w:r w:rsidR="00811E15">
        <w:rPr>
          <w:rFonts w:asciiTheme="minorHAnsi" w:hAnsiTheme="minorHAnsi"/>
          <w:szCs w:val="22"/>
        </w:rPr>
        <w:t>po dobu realizace a </w:t>
      </w:r>
      <w:r w:rsidR="00391092">
        <w:rPr>
          <w:rFonts w:asciiTheme="minorHAnsi" w:hAnsiTheme="minorHAnsi"/>
          <w:szCs w:val="22"/>
        </w:rPr>
        <w:t xml:space="preserve">udržitelnosti </w:t>
      </w:r>
      <w:r w:rsidRPr="006761DC">
        <w:rPr>
          <w:rFonts w:asciiTheme="minorHAnsi" w:hAnsiTheme="minorHAnsi"/>
          <w:szCs w:val="22"/>
        </w:rPr>
        <w:t>předložit doplňující informace</w:t>
      </w:r>
      <w:r>
        <w:rPr>
          <w:rFonts w:asciiTheme="minorHAnsi" w:hAnsiTheme="minorHAnsi"/>
          <w:szCs w:val="22"/>
        </w:rPr>
        <w:t xml:space="preserve"> související s realizací Projektu a poskytnout případně potřebnou součinnost pro účely vedení statistick</w:t>
      </w:r>
      <w:r w:rsidR="00811E15">
        <w:rPr>
          <w:rFonts w:asciiTheme="minorHAnsi" w:hAnsiTheme="minorHAnsi"/>
          <w:szCs w:val="22"/>
        </w:rPr>
        <w:t>ých přehledů a předávání dat do </w:t>
      </w:r>
      <w:r>
        <w:rPr>
          <w:rFonts w:asciiTheme="minorHAnsi" w:hAnsiTheme="minorHAnsi"/>
          <w:szCs w:val="22"/>
        </w:rPr>
        <w:t>informačních systémů veřejné správy.</w:t>
      </w:r>
      <w:bookmarkEnd w:id="8"/>
    </w:p>
    <w:p w14:paraId="6AF5F259" w14:textId="77777777" w:rsidR="00CC5FB5" w:rsidRPr="001C5827" w:rsidRDefault="00471E1A" w:rsidP="001C5827">
      <w:pPr>
        <w:pStyle w:val="Odstavecseseznamem"/>
        <w:numPr>
          <w:ilvl w:val="2"/>
          <w:numId w:val="4"/>
        </w:numPr>
        <w:spacing w:before="120" w:after="120"/>
        <w:contextualSpacing w:val="0"/>
        <w:jc w:val="both"/>
      </w:pPr>
      <w:r>
        <w:rPr>
          <w:rFonts w:asciiTheme="minorHAnsi" w:hAnsiTheme="minorHAnsi"/>
          <w:szCs w:val="22"/>
        </w:rPr>
        <w:t xml:space="preserve">Porušení povinnosti dle čl. </w:t>
      </w:r>
      <w:r w:rsidR="002667E1">
        <w:rPr>
          <w:rFonts w:asciiTheme="minorHAnsi" w:hAnsiTheme="minorHAnsi"/>
          <w:szCs w:val="22"/>
        </w:rPr>
        <w:t>6.2.7</w:t>
      </w:r>
      <w:r>
        <w:rPr>
          <w:rFonts w:asciiTheme="minorHAnsi" w:hAnsiTheme="minorHAnsi"/>
          <w:szCs w:val="22"/>
        </w:rPr>
        <w:t xml:space="preserve"> </w:t>
      </w:r>
      <w:r w:rsidR="00B26721" w:rsidRPr="00B26721">
        <w:rPr>
          <w:rFonts w:asciiTheme="minorHAnsi" w:hAnsiTheme="minorHAnsi"/>
          <w:szCs w:val="22"/>
        </w:rPr>
        <w:t xml:space="preserve">bude mít za následek nevyplacení 100 % </w:t>
      </w:r>
      <w:r w:rsidRPr="0061661F">
        <w:rPr>
          <w:rFonts w:asciiTheme="minorHAnsi" w:hAnsiTheme="minorHAnsi"/>
          <w:szCs w:val="22"/>
        </w:rPr>
        <w:t>poskytnuté dotace</w:t>
      </w:r>
      <w:r>
        <w:rPr>
          <w:rFonts w:asciiTheme="minorHAnsi" w:hAnsiTheme="minorHAnsi"/>
          <w:szCs w:val="22"/>
        </w:rPr>
        <w:t>.</w:t>
      </w:r>
    </w:p>
    <w:p w14:paraId="785F2B07" w14:textId="77777777" w:rsidR="001C5827" w:rsidRPr="00CC5FB5" w:rsidRDefault="001C5827" w:rsidP="001C5827">
      <w:pPr>
        <w:pStyle w:val="Odstavecseseznamem"/>
        <w:spacing w:before="120" w:after="120"/>
        <w:ind w:left="794"/>
        <w:contextualSpacing w:val="0"/>
      </w:pPr>
    </w:p>
    <w:p w14:paraId="76029E8E" w14:textId="77777777" w:rsidR="00CC5FB5" w:rsidRPr="00BC553D" w:rsidRDefault="00471E1A" w:rsidP="00BC553D">
      <w:pPr>
        <w:pStyle w:val="Odstavecseseznamem"/>
        <w:numPr>
          <w:ilvl w:val="1"/>
          <w:numId w:val="4"/>
        </w:numPr>
        <w:spacing w:before="120" w:after="120"/>
        <w:contextualSpacing w:val="0"/>
        <w:rPr>
          <w:b/>
        </w:rPr>
      </w:pPr>
      <w:r w:rsidRPr="00CC5FB5">
        <w:rPr>
          <w:rFonts w:asciiTheme="minorHAnsi" w:hAnsiTheme="minorHAnsi"/>
          <w:b/>
          <w:szCs w:val="22"/>
        </w:rPr>
        <w:t>Realizace Projektu</w:t>
      </w:r>
    </w:p>
    <w:p w14:paraId="5D89A6E5" w14:textId="77777777" w:rsidR="00CC5FB5" w:rsidRPr="00CC5FB5" w:rsidRDefault="00471E1A" w:rsidP="00BC553D">
      <w:pPr>
        <w:pStyle w:val="Odstavecseseznamem"/>
        <w:numPr>
          <w:ilvl w:val="2"/>
          <w:numId w:val="4"/>
        </w:numPr>
        <w:spacing w:before="120" w:after="120"/>
        <w:contextualSpacing w:val="0"/>
        <w:jc w:val="both"/>
      </w:pPr>
      <w:bookmarkStart w:id="9" w:name="_Ref39649839"/>
      <w:r>
        <w:rPr>
          <w:rFonts w:asciiTheme="minorHAnsi" w:hAnsiTheme="minorHAnsi"/>
          <w:szCs w:val="22"/>
        </w:rPr>
        <w:t>Výstupy Projektu se musí projevit v oborech činností vymezených V</w:t>
      </w:r>
      <w:r w:rsidRPr="005739F0">
        <w:rPr>
          <w:rFonts w:asciiTheme="minorHAnsi" w:hAnsiTheme="minorHAnsi"/>
          <w:szCs w:val="22"/>
        </w:rPr>
        <w:t>ýzvou v seznamu odvětvové klasifikace ekonomických činností (CZ-NACE) a zároveň v oborech, které příjemce uvedl v Žádosti o podporu</w:t>
      </w:r>
      <w:r>
        <w:rPr>
          <w:rFonts w:asciiTheme="minorHAnsi" w:hAnsiTheme="minorHAnsi"/>
          <w:szCs w:val="22"/>
        </w:rPr>
        <w:t>.</w:t>
      </w:r>
      <w:bookmarkEnd w:id="9"/>
    </w:p>
    <w:p w14:paraId="04D47C08" w14:textId="77777777" w:rsidR="00CC5FB5" w:rsidRPr="00CC5FB5" w:rsidRDefault="00471E1A" w:rsidP="00D87A31">
      <w:pPr>
        <w:pStyle w:val="Odstavecseseznamem"/>
        <w:numPr>
          <w:ilvl w:val="2"/>
          <w:numId w:val="4"/>
        </w:numPr>
        <w:spacing w:before="120" w:after="120"/>
        <w:contextualSpacing w:val="0"/>
      </w:pPr>
      <w:r w:rsidRPr="005739F0">
        <w:rPr>
          <w:rFonts w:asciiTheme="minorHAnsi" w:hAnsiTheme="minorHAnsi"/>
          <w:szCs w:val="22"/>
        </w:rPr>
        <w:t>Porušení</w:t>
      </w:r>
      <w:r>
        <w:rPr>
          <w:rFonts w:asciiTheme="minorHAnsi" w:hAnsiTheme="minorHAnsi"/>
          <w:szCs w:val="22"/>
        </w:rPr>
        <w:t xml:space="preserve"> povinnosti dle čl.</w:t>
      </w:r>
      <w:r w:rsidR="00D35C7A">
        <w:rPr>
          <w:rFonts w:asciiTheme="minorHAnsi" w:hAnsiTheme="minorHAnsi"/>
          <w:szCs w:val="22"/>
        </w:rPr>
        <w:t xml:space="preserve"> </w:t>
      </w:r>
      <w:r w:rsidR="002667E1">
        <w:rPr>
          <w:rFonts w:asciiTheme="minorHAnsi" w:hAnsiTheme="minorHAnsi"/>
          <w:szCs w:val="22"/>
        </w:rPr>
        <w:t>6.3.1</w:t>
      </w:r>
      <w:r>
        <w:rPr>
          <w:rFonts w:asciiTheme="minorHAnsi" w:hAnsiTheme="minorHAnsi"/>
          <w:szCs w:val="22"/>
        </w:rPr>
        <w:t xml:space="preserve"> </w:t>
      </w:r>
      <w:r w:rsidRPr="005739F0">
        <w:rPr>
          <w:rFonts w:asciiTheme="minorHAnsi" w:hAnsiTheme="minorHAnsi"/>
          <w:szCs w:val="22"/>
        </w:rPr>
        <w:t>bude mít za následek nevyplacení 100 % poskytnuté dotace</w:t>
      </w:r>
      <w:r>
        <w:rPr>
          <w:rFonts w:asciiTheme="minorHAnsi" w:hAnsiTheme="minorHAnsi"/>
          <w:szCs w:val="22"/>
        </w:rPr>
        <w:t>.</w:t>
      </w:r>
    </w:p>
    <w:p w14:paraId="66A6F467" w14:textId="77777777" w:rsidR="00CC5FB5" w:rsidRPr="00CC5FB5" w:rsidRDefault="00471E1A" w:rsidP="00BC553D">
      <w:pPr>
        <w:pStyle w:val="Odstavecseseznamem"/>
        <w:numPr>
          <w:ilvl w:val="2"/>
          <w:numId w:val="4"/>
        </w:numPr>
        <w:spacing w:before="120" w:after="120"/>
        <w:contextualSpacing w:val="0"/>
        <w:jc w:val="both"/>
      </w:pPr>
      <w:bookmarkStart w:id="10" w:name="_Ref39649857"/>
      <w:r w:rsidRPr="005739F0">
        <w:rPr>
          <w:rFonts w:asciiTheme="minorHAnsi" w:hAnsiTheme="minorHAnsi"/>
          <w:szCs w:val="22"/>
        </w:rPr>
        <w:t xml:space="preserve">Příjemce nesmí </w:t>
      </w:r>
      <w:r>
        <w:rPr>
          <w:rFonts w:asciiTheme="minorHAnsi" w:hAnsiTheme="minorHAnsi"/>
          <w:szCs w:val="22"/>
        </w:rPr>
        <w:t xml:space="preserve">po dobu realizace a udržitelnosti Projektu </w:t>
      </w:r>
      <w:r w:rsidRPr="005739F0">
        <w:rPr>
          <w:rFonts w:asciiTheme="minorHAnsi" w:hAnsiTheme="minorHAnsi"/>
          <w:szCs w:val="22"/>
        </w:rPr>
        <w:t xml:space="preserve">ukončit svou podnikatelskou činnost. </w:t>
      </w:r>
      <w:bookmarkEnd w:id="10"/>
    </w:p>
    <w:p w14:paraId="2DFB07C8" w14:textId="77777777" w:rsidR="00CC5FB5" w:rsidRPr="00CC5FB5" w:rsidRDefault="00471E1A" w:rsidP="00BC553D">
      <w:pPr>
        <w:pStyle w:val="Odstavecseseznamem"/>
        <w:numPr>
          <w:ilvl w:val="2"/>
          <w:numId w:val="4"/>
        </w:numPr>
        <w:spacing w:before="120" w:after="120"/>
        <w:contextualSpacing w:val="0"/>
        <w:jc w:val="both"/>
      </w:pPr>
      <w:r w:rsidRPr="002B3409">
        <w:rPr>
          <w:rFonts w:asciiTheme="minorHAnsi" w:hAnsiTheme="minorHAnsi"/>
          <w:szCs w:val="22"/>
        </w:rPr>
        <w:t xml:space="preserve">Porušení povinnosti </w:t>
      </w:r>
      <w:r>
        <w:rPr>
          <w:rFonts w:asciiTheme="minorHAnsi" w:hAnsiTheme="minorHAnsi"/>
          <w:szCs w:val="22"/>
        </w:rPr>
        <w:t>dle čl.</w:t>
      </w:r>
      <w:r w:rsidR="00D35C7A">
        <w:rPr>
          <w:rFonts w:asciiTheme="minorHAnsi" w:hAnsiTheme="minorHAnsi"/>
          <w:szCs w:val="22"/>
        </w:rPr>
        <w:t xml:space="preserve"> </w:t>
      </w:r>
      <w:r w:rsidR="002667E1">
        <w:rPr>
          <w:rFonts w:asciiTheme="minorHAnsi" w:hAnsiTheme="minorHAnsi"/>
          <w:szCs w:val="22"/>
        </w:rPr>
        <w:t>6.3.3</w:t>
      </w:r>
      <w:r>
        <w:rPr>
          <w:rFonts w:asciiTheme="minorHAnsi" w:hAnsiTheme="minorHAnsi"/>
          <w:szCs w:val="22"/>
        </w:rPr>
        <w:t xml:space="preserve"> </w:t>
      </w:r>
      <w:r w:rsidRPr="002B3409">
        <w:rPr>
          <w:rFonts w:asciiTheme="minorHAnsi" w:hAnsiTheme="minorHAnsi"/>
          <w:szCs w:val="22"/>
        </w:rPr>
        <w:t xml:space="preserve">bude mít za následek nevyplacení </w:t>
      </w:r>
      <w:r>
        <w:rPr>
          <w:rFonts w:asciiTheme="minorHAnsi" w:hAnsiTheme="minorHAnsi"/>
          <w:szCs w:val="22"/>
        </w:rPr>
        <w:t>části</w:t>
      </w:r>
      <w:r w:rsidRPr="002B3409">
        <w:rPr>
          <w:rFonts w:asciiTheme="minorHAnsi" w:hAnsiTheme="minorHAnsi"/>
          <w:szCs w:val="22"/>
        </w:rPr>
        <w:t xml:space="preserve"> poskytnuté dotace</w:t>
      </w:r>
      <w:r>
        <w:rPr>
          <w:rFonts w:asciiTheme="minorHAnsi" w:hAnsiTheme="minorHAnsi"/>
          <w:szCs w:val="22"/>
        </w:rPr>
        <w:t xml:space="preserve"> odpovídající poměrné části vzhledem k době, po kterou byla podmínka plněna</w:t>
      </w:r>
      <w:r w:rsidRPr="002B3409">
        <w:rPr>
          <w:rFonts w:asciiTheme="minorHAnsi" w:hAnsiTheme="minorHAnsi"/>
          <w:szCs w:val="22"/>
        </w:rPr>
        <w:t xml:space="preserve">. </w:t>
      </w:r>
    </w:p>
    <w:p w14:paraId="126660DF" w14:textId="77777777" w:rsidR="00CC5FB5" w:rsidRPr="00CC5FB5" w:rsidRDefault="00471E1A" w:rsidP="00D87A31">
      <w:pPr>
        <w:pStyle w:val="Odstavecseseznamem"/>
        <w:numPr>
          <w:ilvl w:val="1"/>
          <w:numId w:val="4"/>
        </w:numPr>
        <w:spacing w:before="120" w:after="120"/>
        <w:contextualSpacing w:val="0"/>
        <w:rPr>
          <w:b/>
        </w:rPr>
      </w:pPr>
      <w:r w:rsidRPr="00CC5FB5">
        <w:rPr>
          <w:b/>
        </w:rPr>
        <w:t>Místo realizace Projektu a pořízený majetek</w:t>
      </w:r>
    </w:p>
    <w:p w14:paraId="7C9EFCFC" w14:textId="77777777" w:rsidR="00CC5FB5" w:rsidRPr="00CC5FB5" w:rsidRDefault="00471E1A" w:rsidP="008E4944">
      <w:pPr>
        <w:pStyle w:val="Odstavecseseznamem"/>
        <w:numPr>
          <w:ilvl w:val="2"/>
          <w:numId w:val="4"/>
        </w:numPr>
        <w:spacing w:before="120" w:after="120"/>
        <w:contextualSpacing w:val="0"/>
        <w:jc w:val="both"/>
      </w:pPr>
      <w:bookmarkStart w:id="11" w:name="_Ref39649943"/>
      <w:r w:rsidRPr="009925BA">
        <w:rPr>
          <w:rFonts w:asciiTheme="minorHAnsi" w:hAnsiTheme="minorHAnsi"/>
          <w:szCs w:val="22"/>
        </w:rPr>
        <w:t xml:space="preserve">Příjemce je povinen po celou dobu realizace </w:t>
      </w:r>
      <w:r>
        <w:rPr>
          <w:rFonts w:asciiTheme="minorHAnsi" w:hAnsiTheme="minorHAnsi"/>
          <w:szCs w:val="22"/>
        </w:rPr>
        <w:t>a udržitelnosti</w:t>
      </w:r>
      <w:r w:rsidRPr="009925BA">
        <w:rPr>
          <w:rFonts w:asciiTheme="minorHAnsi" w:hAnsiTheme="minorHAnsi"/>
          <w:szCs w:val="22"/>
        </w:rPr>
        <w:t xml:space="preserve"> být vlastníkem nebo ná</w:t>
      </w:r>
      <w:r>
        <w:rPr>
          <w:rFonts w:asciiTheme="minorHAnsi" w:hAnsiTheme="minorHAnsi"/>
          <w:szCs w:val="22"/>
        </w:rPr>
        <w:t>jemcem nemovitých věcí, kde je P</w:t>
      </w:r>
      <w:r w:rsidRPr="009925BA">
        <w:rPr>
          <w:rFonts w:asciiTheme="minorHAnsi" w:hAnsiTheme="minorHAnsi"/>
          <w:szCs w:val="22"/>
        </w:rPr>
        <w:t>rojekt realizován. Poskytovatel dotace může povolit i jinou formu zajištění m</w:t>
      </w:r>
      <w:r>
        <w:rPr>
          <w:rFonts w:asciiTheme="minorHAnsi" w:hAnsiTheme="minorHAnsi"/>
          <w:szCs w:val="22"/>
        </w:rPr>
        <w:t>ísta realizace a udržitelnosti P</w:t>
      </w:r>
      <w:r w:rsidRPr="009925BA">
        <w:rPr>
          <w:rFonts w:asciiTheme="minorHAnsi" w:hAnsiTheme="minorHAnsi"/>
          <w:szCs w:val="22"/>
        </w:rPr>
        <w:t>rojektu</w:t>
      </w:r>
      <w:r>
        <w:rPr>
          <w:rFonts w:asciiTheme="minorHAnsi" w:hAnsiTheme="minorHAnsi"/>
          <w:szCs w:val="22"/>
        </w:rPr>
        <w:t>, a to postupem dle ust. § 14o rozpočtových pravidel</w:t>
      </w:r>
      <w:r w:rsidRPr="009925BA">
        <w:rPr>
          <w:rFonts w:asciiTheme="minorHAnsi" w:hAnsiTheme="minorHAnsi"/>
          <w:szCs w:val="22"/>
        </w:rPr>
        <w:t>.</w:t>
      </w:r>
      <w:r>
        <w:rPr>
          <w:rFonts w:asciiTheme="minorHAnsi" w:hAnsiTheme="minorHAnsi"/>
          <w:szCs w:val="22"/>
        </w:rPr>
        <w:t xml:space="preserve"> </w:t>
      </w:r>
      <w:r w:rsidRPr="009925BA">
        <w:rPr>
          <w:rFonts w:asciiTheme="minorHAnsi" w:hAnsiTheme="minorHAnsi"/>
          <w:szCs w:val="22"/>
        </w:rPr>
        <w:t xml:space="preserve">Pokud </w:t>
      </w:r>
      <w:r>
        <w:rPr>
          <w:rFonts w:asciiTheme="minorHAnsi" w:hAnsiTheme="minorHAnsi"/>
          <w:szCs w:val="22"/>
        </w:rPr>
        <w:t>Pravidla pro žadatele a příjemce dotace z</w:t>
      </w:r>
      <w:r w:rsidR="00040B8F">
        <w:rPr>
          <w:rFonts w:asciiTheme="minorHAnsi" w:hAnsiTheme="minorHAnsi"/>
          <w:szCs w:val="22"/>
        </w:rPr>
        <w:t> </w:t>
      </w:r>
      <w:r>
        <w:rPr>
          <w:rFonts w:asciiTheme="minorHAnsi" w:hAnsiTheme="minorHAnsi"/>
          <w:szCs w:val="22"/>
        </w:rPr>
        <w:t>OP</w:t>
      </w:r>
      <w:r w:rsidR="00040B8F">
        <w:rPr>
          <w:rFonts w:asciiTheme="minorHAnsi" w:hAnsiTheme="minorHAnsi"/>
          <w:szCs w:val="22"/>
        </w:rPr>
        <w:t xml:space="preserve"> </w:t>
      </w:r>
      <w:r>
        <w:rPr>
          <w:rFonts w:asciiTheme="minorHAnsi" w:hAnsiTheme="minorHAnsi"/>
          <w:szCs w:val="22"/>
        </w:rPr>
        <w:t>PIK – zvláštní část, která tvoří přílohu tohoto Rozhodnutí,</w:t>
      </w:r>
      <w:r w:rsidRPr="009925BA">
        <w:rPr>
          <w:rFonts w:asciiTheme="minorHAnsi" w:hAnsiTheme="minorHAnsi"/>
          <w:szCs w:val="22"/>
        </w:rPr>
        <w:t xml:space="preserve"> stanoví jinak, použije se v tomto konkrétním případě </w:t>
      </w:r>
      <w:r w:rsidR="00330974">
        <w:rPr>
          <w:rFonts w:asciiTheme="minorHAnsi" w:hAnsiTheme="minorHAnsi"/>
          <w:szCs w:val="22"/>
        </w:rPr>
        <w:t>ustanovení této p</w:t>
      </w:r>
      <w:r>
        <w:rPr>
          <w:rFonts w:asciiTheme="minorHAnsi" w:hAnsiTheme="minorHAnsi"/>
          <w:szCs w:val="22"/>
        </w:rPr>
        <w:t>řílohy.</w:t>
      </w:r>
      <w:bookmarkEnd w:id="11"/>
    </w:p>
    <w:p w14:paraId="7A5C55AA" w14:textId="77777777" w:rsidR="00CC5FB5" w:rsidRPr="00CC5FB5" w:rsidRDefault="00471E1A" w:rsidP="001C5827">
      <w:pPr>
        <w:pStyle w:val="Odstavecseseznamem"/>
        <w:numPr>
          <w:ilvl w:val="2"/>
          <w:numId w:val="4"/>
        </w:numPr>
        <w:spacing w:before="120" w:after="120"/>
        <w:contextualSpacing w:val="0"/>
        <w:jc w:val="both"/>
      </w:pPr>
      <w:r>
        <w:rPr>
          <w:rFonts w:asciiTheme="minorHAnsi" w:hAnsiTheme="minorHAnsi"/>
          <w:szCs w:val="22"/>
        </w:rPr>
        <w:t>Porušení povinnosti dle čl.</w:t>
      </w:r>
      <w:r w:rsidRPr="009925BA">
        <w:rPr>
          <w:rFonts w:asciiTheme="minorHAnsi" w:hAnsiTheme="minorHAnsi"/>
          <w:szCs w:val="22"/>
        </w:rPr>
        <w:t xml:space="preserve"> </w:t>
      </w:r>
      <w:r w:rsidR="002667E1">
        <w:rPr>
          <w:rFonts w:asciiTheme="minorHAnsi" w:hAnsiTheme="minorHAnsi"/>
          <w:szCs w:val="22"/>
        </w:rPr>
        <w:t>6.4.1</w:t>
      </w:r>
      <w:r w:rsidRPr="009925BA">
        <w:rPr>
          <w:rFonts w:asciiTheme="minorHAnsi" w:hAnsiTheme="minorHAnsi"/>
          <w:szCs w:val="22"/>
        </w:rPr>
        <w:t xml:space="preserve"> bude mít za následek nevyplacení 100 % poskytnuté dotace</w:t>
      </w:r>
      <w:r>
        <w:rPr>
          <w:rFonts w:asciiTheme="minorHAnsi" w:hAnsiTheme="minorHAnsi"/>
          <w:szCs w:val="22"/>
        </w:rPr>
        <w:t>.</w:t>
      </w:r>
    </w:p>
    <w:p w14:paraId="434F605B" w14:textId="77777777" w:rsidR="00CC5FB5" w:rsidRPr="00CC5FB5" w:rsidRDefault="00471E1A" w:rsidP="008E4944">
      <w:pPr>
        <w:pStyle w:val="Odstavecseseznamem"/>
        <w:numPr>
          <w:ilvl w:val="2"/>
          <w:numId w:val="4"/>
        </w:numPr>
        <w:spacing w:before="120" w:after="120"/>
        <w:contextualSpacing w:val="0"/>
        <w:jc w:val="both"/>
      </w:pPr>
      <w:bookmarkStart w:id="12" w:name="_Ref39649967"/>
      <w:r w:rsidRPr="009925BA">
        <w:rPr>
          <w:rFonts w:asciiTheme="minorHAnsi" w:hAnsiTheme="minorHAnsi"/>
          <w:szCs w:val="22"/>
        </w:rPr>
        <w:t xml:space="preserve">Hmotný a nehmotný majetek, jehož pořizovací cena byla zahrnuta do způsobilých výdajů Projektu, </w:t>
      </w:r>
      <w:r>
        <w:rPr>
          <w:rFonts w:asciiTheme="minorHAnsi" w:hAnsiTheme="minorHAnsi"/>
          <w:szCs w:val="22"/>
        </w:rPr>
        <w:t>musí mít příjemce ve svém vlastn</w:t>
      </w:r>
      <w:r w:rsidRPr="00951BC2">
        <w:rPr>
          <w:rFonts w:asciiTheme="minorHAnsi" w:hAnsiTheme="minorHAnsi"/>
          <w:szCs w:val="22"/>
        </w:rPr>
        <w:t>ic</w:t>
      </w:r>
      <w:r>
        <w:rPr>
          <w:rFonts w:asciiTheme="minorHAnsi" w:hAnsiTheme="minorHAnsi"/>
          <w:szCs w:val="22"/>
        </w:rPr>
        <w:t>t</w:t>
      </w:r>
      <w:r w:rsidRPr="00951BC2">
        <w:rPr>
          <w:rFonts w:asciiTheme="minorHAnsi" w:hAnsiTheme="minorHAnsi"/>
          <w:szCs w:val="22"/>
        </w:rPr>
        <w:t xml:space="preserve">ví a nesmí tento majetek </w:t>
      </w:r>
      <w:r>
        <w:rPr>
          <w:rFonts w:asciiTheme="minorHAnsi" w:hAnsiTheme="minorHAnsi"/>
          <w:szCs w:val="22"/>
        </w:rPr>
        <w:t xml:space="preserve">od okamžiku jeho pořízení a </w:t>
      </w:r>
      <w:r w:rsidRPr="00951BC2">
        <w:rPr>
          <w:rFonts w:asciiTheme="minorHAnsi" w:hAnsiTheme="minorHAnsi"/>
          <w:szCs w:val="22"/>
        </w:rPr>
        <w:t xml:space="preserve">po dobu realizace a </w:t>
      </w:r>
      <w:r>
        <w:rPr>
          <w:rFonts w:asciiTheme="minorHAnsi" w:hAnsiTheme="minorHAnsi"/>
          <w:szCs w:val="22"/>
        </w:rPr>
        <w:t xml:space="preserve">udržitelnosti </w:t>
      </w:r>
      <w:r w:rsidRPr="00951BC2">
        <w:rPr>
          <w:rFonts w:asciiTheme="minorHAnsi" w:hAnsiTheme="minorHAnsi"/>
          <w:szCs w:val="22"/>
        </w:rPr>
        <w:t>prodat ani jinak zcizit. Tato podmínka je zachována, pokud dojde k obměně (obnově) uvedeného majetku minimálně ve stejném rozsahu a příjemce o této skutečnosti bez zbytečné</w:t>
      </w:r>
      <w:r w:rsidR="00811E15">
        <w:rPr>
          <w:rFonts w:asciiTheme="minorHAnsi" w:hAnsiTheme="minorHAnsi"/>
          <w:szCs w:val="22"/>
        </w:rPr>
        <w:t>ho odkladu, nejpozději však při </w:t>
      </w:r>
      <w:r w:rsidRPr="00951BC2">
        <w:rPr>
          <w:rFonts w:asciiTheme="minorHAnsi" w:hAnsiTheme="minorHAnsi"/>
          <w:szCs w:val="22"/>
        </w:rPr>
        <w:t xml:space="preserve">předložení nejbližší zprávy o realizaci/udržitelnosti, informoval poskytovatele dotace prostřednictvím MS2014+. Příjemce dále nesmí uvedený majetek </w:t>
      </w:r>
      <w:r w:rsidR="00811E15">
        <w:rPr>
          <w:rFonts w:asciiTheme="minorHAnsi" w:hAnsiTheme="minorHAnsi"/>
          <w:szCs w:val="22"/>
        </w:rPr>
        <w:t>po dobu realizace a </w:t>
      </w:r>
      <w:r w:rsidR="004C7FFD">
        <w:rPr>
          <w:rFonts w:asciiTheme="minorHAnsi" w:hAnsiTheme="minorHAnsi"/>
          <w:szCs w:val="22"/>
        </w:rPr>
        <w:t xml:space="preserve">udržitelnosti </w:t>
      </w:r>
      <w:r w:rsidRPr="00951BC2">
        <w:rPr>
          <w:rFonts w:asciiTheme="minorHAnsi" w:hAnsiTheme="minorHAnsi"/>
          <w:szCs w:val="22"/>
        </w:rPr>
        <w:t xml:space="preserve">přemístit mimo podporovaný region. Mimo podporovaný region rovněž nesmí být </w:t>
      </w:r>
      <w:r w:rsidR="004C7FFD">
        <w:rPr>
          <w:rFonts w:asciiTheme="minorHAnsi" w:hAnsiTheme="minorHAnsi"/>
          <w:szCs w:val="22"/>
        </w:rPr>
        <w:t xml:space="preserve">po dobu realizace a udržitelnosti </w:t>
      </w:r>
      <w:r w:rsidRPr="00951BC2">
        <w:rPr>
          <w:rFonts w:asciiTheme="minorHAnsi" w:hAnsiTheme="minorHAnsi"/>
          <w:szCs w:val="22"/>
        </w:rPr>
        <w:t xml:space="preserve">přemístěno místo realizace Projektu. Podporovaným regionem se rozumí </w:t>
      </w:r>
      <w:r w:rsidR="00330974">
        <w:rPr>
          <w:rFonts w:asciiTheme="minorHAnsi" w:hAnsiTheme="minorHAnsi"/>
          <w:szCs w:val="22"/>
        </w:rPr>
        <w:t xml:space="preserve">region </w:t>
      </w:r>
      <w:r w:rsidRPr="00951BC2">
        <w:rPr>
          <w:rFonts w:asciiTheme="minorHAnsi" w:hAnsiTheme="minorHAnsi"/>
          <w:szCs w:val="22"/>
        </w:rPr>
        <w:t>NUTS II dle Sdělení Českého statistického úřadu č. 201/2007 o aktualizaci Klasifikace úze</w:t>
      </w:r>
      <w:r w:rsidR="00D35C7A">
        <w:rPr>
          <w:rFonts w:asciiTheme="minorHAnsi" w:hAnsiTheme="minorHAnsi"/>
          <w:szCs w:val="22"/>
        </w:rPr>
        <w:t>mních statistických jednotek. U </w:t>
      </w:r>
      <w:r w:rsidR="00811E15">
        <w:rPr>
          <w:rFonts w:asciiTheme="minorHAnsi" w:hAnsiTheme="minorHAnsi"/>
          <w:szCs w:val="22"/>
        </w:rPr>
        <w:t>mobilních a </w:t>
      </w:r>
      <w:r w:rsidRPr="00951BC2">
        <w:rPr>
          <w:rFonts w:asciiTheme="minorHAnsi" w:hAnsiTheme="minorHAnsi"/>
          <w:szCs w:val="22"/>
        </w:rPr>
        <w:t xml:space="preserve">přenosných </w:t>
      </w:r>
      <w:r>
        <w:rPr>
          <w:rFonts w:asciiTheme="minorHAnsi" w:hAnsiTheme="minorHAnsi"/>
          <w:szCs w:val="22"/>
        </w:rPr>
        <w:t>předmětů</w:t>
      </w:r>
      <w:r w:rsidRPr="00951BC2">
        <w:rPr>
          <w:rFonts w:asciiTheme="minorHAnsi" w:hAnsiTheme="minorHAnsi"/>
          <w:szCs w:val="22"/>
        </w:rPr>
        <w:t xml:space="preserve"> se použije ustanovení b</w:t>
      </w:r>
      <w:r w:rsidR="00D35C7A">
        <w:rPr>
          <w:rFonts w:asciiTheme="minorHAnsi" w:hAnsiTheme="minorHAnsi"/>
          <w:szCs w:val="22"/>
        </w:rPr>
        <w:t>odu 1.5 Pravidel způsobilosti a </w:t>
      </w:r>
      <w:r w:rsidRPr="00951BC2">
        <w:rPr>
          <w:rFonts w:asciiTheme="minorHAnsi" w:hAnsiTheme="minorHAnsi"/>
          <w:szCs w:val="22"/>
        </w:rPr>
        <w:t>publicity – obecná čá</w:t>
      </w:r>
      <w:r>
        <w:rPr>
          <w:rFonts w:asciiTheme="minorHAnsi" w:hAnsiTheme="minorHAnsi"/>
          <w:szCs w:val="22"/>
        </w:rPr>
        <w:t>st, které jsou přílohou tohoto R</w:t>
      </w:r>
      <w:r w:rsidRPr="00951BC2">
        <w:rPr>
          <w:rFonts w:asciiTheme="minorHAnsi" w:hAnsiTheme="minorHAnsi"/>
          <w:szCs w:val="22"/>
        </w:rPr>
        <w:t>ozhodnutí</w:t>
      </w:r>
      <w:r>
        <w:rPr>
          <w:rFonts w:asciiTheme="minorHAnsi" w:hAnsiTheme="minorHAnsi"/>
          <w:szCs w:val="22"/>
        </w:rPr>
        <w:t>.</w:t>
      </w:r>
      <w:bookmarkEnd w:id="12"/>
    </w:p>
    <w:p w14:paraId="573057CD" w14:textId="77777777" w:rsidR="00CC5FB5" w:rsidRPr="00CC5FB5" w:rsidRDefault="00471E1A" w:rsidP="008E4944">
      <w:pPr>
        <w:pStyle w:val="Odstavecseseznamem"/>
        <w:numPr>
          <w:ilvl w:val="2"/>
          <w:numId w:val="4"/>
        </w:numPr>
        <w:spacing w:before="120" w:after="120"/>
        <w:contextualSpacing w:val="0"/>
        <w:jc w:val="both"/>
      </w:pPr>
      <w:r w:rsidRPr="009925BA">
        <w:rPr>
          <w:rFonts w:asciiTheme="minorHAnsi" w:hAnsiTheme="minorHAnsi"/>
          <w:szCs w:val="22"/>
        </w:rPr>
        <w:t xml:space="preserve">Porušení povinnosti dle čl. </w:t>
      </w:r>
      <w:r w:rsidR="002667E1">
        <w:rPr>
          <w:rFonts w:asciiTheme="minorHAnsi" w:hAnsiTheme="minorHAnsi"/>
          <w:szCs w:val="22"/>
        </w:rPr>
        <w:t>6.4.3</w:t>
      </w:r>
      <w:r w:rsidRPr="009925BA">
        <w:rPr>
          <w:rFonts w:asciiTheme="minorHAnsi" w:hAnsiTheme="minorHAnsi"/>
          <w:szCs w:val="22"/>
        </w:rPr>
        <w:t xml:space="preserve"> věty první bude mít za následek nevyplacení 100 % poskytnuté dotace na majetek, u kterého nebyla povinnost splněna. Porušení povinnosti </w:t>
      </w:r>
      <w:r>
        <w:rPr>
          <w:rFonts w:asciiTheme="minorHAnsi" w:hAnsiTheme="minorHAnsi"/>
          <w:szCs w:val="22"/>
        </w:rPr>
        <w:t xml:space="preserve">odpovídající obměny </w:t>
      </w:r>
      <w:r w:rsidRPr="009925BA">
        <w:rPr>
          <w:rFonts w:asciiTheme="minorHAnsi" w:hAnsiTheme="minorHAnsi"/>
          <w:szCs w:val="22"/>
        </w:rPr>
        <w:t xml:space="preserve">dle čl. </w:t>
      </w:r>
      <w:r w:rsidR="002667E1">
        <w:rPr>
          <w:rFonts w:asciiTheme="minorHAnsi" w:hAnsiTheme="minorHAnsi"/>
          <w:szCs w:val="22"/>
        </w:rPr>
        <w:t>6.4.3</w:t>
      </w:r>
      <w:r w:rsidRPr="009925BA">
        <w:rPr>
          <w:rFonts w:asciiTheme="minorHAnsi" w:hAnsiTheme="minorHAnsi"/>
          <w:szCs w:val="22"/>
        </w:rPr>
        <w:t xml:space="preserve"> věty druhé bude mít za následek nevyplacení 100 % poskytnuté dotace na majetek, u kterého nebyla povinnost splněna v případě pr</w:t>
      </w:r>
      <w:r w:rsidR="00330974">
        <w:rPr>
          <w:rFonts w:asciiTheme="minorHAnsi" w:hAnsiTheme="minorHAnsi"/>
          <w:szCs w:val="22"/>
        </w:rPr>
        <w:t>ovedení obměny v nižším rozsahu,</w:t>
      </w:r>
      <w:r w:rsidRPr="009925BA">
        <w:rPr>
          <w:rFonts w:asciiTheme="minorHAnsi" w:hAnsiTheme="minorHAnsi"/>
          <w:szCs w:val="22"/>
        </w:rPr>
        <w:t xml:space="preserve"> v případě neinformování poskytovatele dotace bude následkem nevyplacení </w:t>
      </w:r>
      <w:r>
        <w:rPr>
          <w:rFonts w:asciiTheme="minorHAnsi" w:hAnsiTheme="minorHAnsi"/>
          <w:szCs w:val="22"/>
        </w:rPr>
        <w:t xml:space="preserve">části dotace odpovídající </w:t>
      </w:r>
      <w:r w:rsidRPr="009925BA">
        <w:rPr>
          <w:rFonts w:asciiTheme="minorHAnsi" w:hAnsiTheme="minorHAnsi"/>
          <w:szCs w:val="22"/>
        </w:rPr>
        <w:t xml:space="preserve">0,1 % poskytnuté dotace na majetek, u kterého nebyla povinnost splněna. </w:t>
      </w:r>
      <w:r>
        <w:rPr>
          <w:rFonts w:asciiTheme="minorHAnsi" w:hAnsiTheme="minorHAnsi"/>
          <w:szCs w:val="22"/>
        </w:rPr>
        <w:t>P</w:t>
      </w:r>
      <w:r w:rsidRPr="009925BA">
        <w:rPr>
          <w:rFonts w:asciiTheme="minorHAnsi" w:hAnsiTheme="minorHAnsi"/>
          <w:szCs w:val="22"/>
        </w:rPr>
        <w:t xml:space="preserve">ovinnosti dle čl. </w:t>
      </w:r>
      <w:r w:rsidR="00CB48C0">
        <w:rPr>
          <w:rFonts w:asciiTheme="minorHAnsi" w:hAnsiTheme="minorHAnsi"/>
          <w:szCs w:val="22"/>
        </w:rPr>
        <w:t>6.4.3</w:t>
      </w:r>
      <w:r w:rsidRPr="009925BA">
        <w:rPr>
          <w:rFonts w:asciiTheme="minorHAnsi" w:hAnsiTheme="minorHAnsi"/>
          <w:szCs w:val="22"/>
        </w:rPr>
        <w:t xml:space="preserve"> věty třetí </w:t>
      </w:r>
      <w:r>
        <w:rPr>
          <w:rFonts w:asciiTheme="minorHAnsi" w:hAnsiTheme="minorHAnsi"/>
          <w:szCs w:val="22"/>
        </w:rPr>
        <w:t>je povinností dle ust. § 14 odst. 4 písm. j)</w:t>
      </w:r>
      <w:r w:rsidR="00330974">
        <w:rPr>
          <w:rFonts w:asciiTheme="minorHAnsi" w:hAnsiTheme="minorHAnsi"/>
          <w:szCs w:val="22"/>
        </w:rPr>
        <w:t xml:space="preserve"> rozpočtových pravidel</w:t>
      </w:r>
      <w:r w:rsidRPr="009925BA">
        <w:rPr>
          <w:rFonts w:asciiTheme="minorHAnsi" w:hAnsiTheme="minorHAnsi"/>
          <w:szCs w:val="22"/>
        </w:rPr>
        <w:t>, pokud přemístění bylo provedeno do jiného podporovaného regionu</w:t>
      </w:r>
      <w:r>
        <w:rPr>
          <w:rFonts w:asciiTheme="minorHAnsi" w:hAnsiTheme="minorHAnsi"/>
          <w:szCs w:val="22"/>
        </w:rPr>
        <w:t xml:space="preserve"> a nemělo by vliv na schválení</w:t>
      </w:r>
      <w:r w:rsidRPr="009925BA">
        <w:rPr>
          <w:rFonts w:asciiTheme="minorHAnsi" w:hAnsiTheme="minorHAnsi"/>
          <w:szCs w:val="22"/>
        </w:rPr>
        <w:t xml:space="preserve"> Projektu</w:t>
      </w:r>
      <w:r>
        <w:rPr>
          <w:rFonts w:asciiTheme="minorHAnsi" w:hAnsiTheme="minorHAnsi"/>
          <w:szCs w:val="22"/>
        </w:rPr>
        <w:t xml:space="preserve"> k poskytnutí dotace</w:t>
      </w:r>
      <w:r w:rsidRPr="009925BA">
        <w:rPr>
          <w:rFonts w:asciiTheme="minorHAnsi" w:hAnsiTheme="minorHAnsi"/>
          <w:szCs w:val="22"/>
        </w:rPr>
        <w:t xml:space="preserve">, </w:t>
      </w:r>
      <w:r w:rsidR="00811E15">
        <w:rPr>
          <w:rFonts w:asciiTheme="minorHAnsi" w:hAnsiTheme="minorHAnsi"/>
          <w:szCs w:val="22"/>
        </w:rPr>
        <w:t>jinak se jedná o </w:t>
      </w:r>
      <w:r>
        <w:rPr>
          <w:rFonts w:asciiTheme="minorHAnsi" w:hAnsiTheme="minorHAnsi"/>
          <w:szCs w:val="22"/>
        </w:rPr>
        <w:t>povinnost dle ust. § 14 odst. 4 písm. g)</w:t>
      </w:r>
      <w:r w:rsidR="00330974">
        <w:rPr>
          <w:rFonts w:asciiTheme="minorHAnsi" w:hAnsiTheme="minorHAnsi"/>
          <w:szCs w:val="22"/>
        </w:rPr>
        <w:t xml:space="preserve"> rozpočtových pravidel</w:t>
      </w:r>
      <w:r>
        <w:rPr>
          <w:rFonts w:asciiTheme="minorHAnsi" w:hAnsiTheme="minorHAnsi"/>
          <w:szCs w:val="22"/>
        </w:rPr>
        <w:t>. P</w:t>
      </w:r>
      <w:r w:rsidRPr="009925BA">
        <w:rPr>
          <w:rFonts w:asciiTheme="minorHAnsi" w:hAnsiTheme="minorHAnsi"/>
          <w:szCs w:val="22"/>
        </w:rPr>
        <w:t>okud by přemístění bylo provedeno zcela mimo podporované regiony</w:t>
      </w:r>
      <w:r>
        <w:rPr>
          <w:rFonts w:asciiTheme="minorHAnsi" w:hAnsiTheme="minorHAnsi"/>
          <w:szCs w:val="22"/>
        </w:rPr>
        <w:t xml:space="preserve"> nebo by mělo vliv na schválení </w:t>
      </w:r>
      <w:r w:rsidRPr="009925BA">
        <w:rPr>
          <w:rFonts w:asciiTheme="minorHAnsi" w:hAnsiTheme="minorHAnsi"/>
          <w:szCs w:val="22"/>
        </w:rPr>
        <w:t>Projektu</w:t>
      </w:r>
      <w:r>
        <w:rPr>
          <w:rFonts w:asciiTheme="minorHAnsi" w:hAnsiTheme="minorHAnsi"/>
          <w:szCs w:val="22"/>
        </w:rPr>
        <w:t xml:space="preserve"> k poskytnutí dotace</w:t>
      </w:r>
      <w:r w:rsidRPr="009925BA">
        <w:rPr>
          <w:rFonts w:asciiTheme="minorHAnsi" w:hAnsiTheme="minorHAnsi"/>
          <w:szCs w:val="22"/>
        </w:rPr>
        <w:t xml:space="preserve"> tak</w:t>
      </w:r>
      <w:r>
        <w:rPr>
          <w:rFonts w:asciiTheme="minorHAnsi" w:hAnsiTheme="minorHAnsi"/>
          <w:szCs w:val="22"/>
        </w:rPr>
        <w:t>,</w:t>
      </w:r>
      <w:r w:rsidRPr="009925BA">
        <w:rPr>
          <w:rFonts w:asciiTheme="minorHAnsi" w:hAnsiTheme="minorHAnsi"/>
          <w:szCs w:val="22"/>
        </w:rPr>
        <w:t xml:space="preserve"> že by tento nebyl schválen k poskytnutí dotace, </w:t>
      </w:r>
      <w:r>
        <w:rPr>
          <w:rFonts w:asciiTheme="minorHAnsi" w:hAnsiTheme="minorHAnsi"/>
          <w:szCs w:val="22"/>
        </w:rPr>
        <w:t xml:space="preserve">bude mít uvedené za následek </w:t>
      </w:r>
      <w:r w:rsidRPr="009925BA">
        <w:rPr>
          <w:rFonts w:asciiTheme="minorHAnsi" w:hAnsiTheme="minorHAnsi"/>
          <w:szCs w:val="22"/>
        </w:rPr>
        <w:t xml:space="preserve">nevyplacení 100 % poskytnuté dotace na majetek, u kterého nebyla povinnost splněna. </w:t>
      </w:r>
      <w:r>
        <w:rPr>
          <w:rFonts w:asciiTheme="minorHAnsi" w:hAnsiTheme="minorHAnsi"/>
          <w:szCs w:val="22"/>
        </w:rPr>
        <w:t>P</w:t>
      </w:r>
      <w:r w:rsidRPr="009925BA">
        <w:rPr>
          <w:rFonts w:asciiTheme="minorHAnsi" w:hAnsiTheme="minorHAnsi"/>
          <w:szCs w:val="22"/>
        </w:rPr>
        <w:t xml:space="preserve">ovinnosti dle čl. </w:t>
      </w:r>
      <w:r w:rsidR="00CB48C0">
        <w:rPr>
          <w:rFonts w:asciiTheme="minorHAnsi" w:hAnsiTheme="minorHAnsi"/>
          <w:szCs w:val="22"/>
        </w:rPr>
        <w:t>6.4.3</w:t>
      </w:r>
      <w:r w:rsidRPr="009925BA">
        <w:rPr>
          <w:rFonts w:asciiTheme="minorHAnsi" w:hAnsiTheme="minorHAnsi"/>
          <w:szCs w:val="22"/>
        </w:rPr>
        <w:t xml:space="preserve"> věty čtvrté </w:t>
      </w:r>
      <w:r>
        <w:rPr>
          <w:rFonts w:asciiTheme="minorHAnsi" w:hAnsiTheme="minorHAnsi"/>
          <w:szCs w:val="22"/>
        </w:rPr>
        <w:t>jsou povinnostmi dle ust. § 14 odst. 4 písm. j)</w:t>
      </w:r>
      <w:r w:rsidR="00330974">
        <w:rPr>
          <w:rFonts w:asciiTheme="minorHAnsi" w:hAnsiTheme="minorHAnsi"/>
          <w:szCs w:val="22"/>
        </w:rPr>
        <w:t xml:space="preserve"> rozpočtových pravidel</w:t>
      </w:r>
      <w:r w:rsidRPr="009925BA">
        <w:rPr>
          <w:rFonts w:asciiTheme="minorHAnsi" w:hAnsiTheme="minorHAnsi"/>
          <w:szCs w:val="22"/>
        </w:rPr>
        <w:t>, pokud přemístění bylo provedeno do jiného podporovaného region</w:t>
      </w:r>
      <w:r>
        <w:rPr>
          <w:rFonts w:asciiTheme="minorHAnsi" w:hAnsiTheme="minorHAnsi"/>
          <w:szCs w:val="22"/>
        </w:rPr>
        <w:t xml:space="preserve">u a nemělo by vliv na schválení </w:t>
      </w:r>
      <w:r w:rsidRPr="009925BA">
        <w:rPr>
          <w:rFonts w:asciiTheme="minorHAnsi" w:hAnsiTheme="minorHAnsi"/>
          <w:szCs w:val="22"/>
        </w:rPr>
        <w:t>Projektu</w:t>
      </w:r>
      <w:r>
        <w:rPr>
          <w:rFonts w:asciiTheme="minorHAnsi" w:hAnsiTheme="minorHAnsi"/>
          <w:szCs w:val="22"/>
        </w:rPr>
        <w:t xml:space="preserve"> k poskytnutí dotace</w:t>
      </w:r>
      <w:r w:rsidRPr="009925BA">
        <w:rPr>
          <w:rFonts w:asciiTheme="minorHAnsi" w:hAnsiTheme="minorHAnsi"/>
          <w:szCs w:val="22"/>
        </w:rPr>
        <w:t xml:space="preserve">, </w:t>
      </w:r>
      <w:r>
        <w:rPr>
          <w:rFonts w:asciiTheme="minorHAnsi" w:hAnsiTheme="minorHAnsi"/>
          <w:szCs w:val="22"/>
        </w:rPr>
        <w:t>jinak se jedná o povinnost dle</w:t>
      </w:r>
      <w:r w:rsidR="00811E15">
        <w:rPr>
          <w:rFonts w:asciiTheme="minorHAnsi" w:hAnsiTheme="minorHAnsi"/>
          <w:szCs w:val="22"/>
        </w:rPr>
        <w:t> </w:t>
      </w:r>
      <w:r>
        <w:rPr>
          <w:rFonts w:asciiTheme="minorHAnsi" w:hAnsiTheme="minorHAnsi"/>
          <w:szCs w:val="22"/>
        </w:rPr>
        <w:t>ust. § 14 odst. 4 písm. g)</w:t>
      </w:r>
      <w:r w:rsidR="00330974">
        <w:rPr>
          <w:rFonts w:asciiTheme="minorHAnsi" w:hAnsiTheme="minorHAnsi"/>
          <w:szCs w:val="22"/>
        </w:rPr>
        <w:t xml:space="preserve"> rozpočtových pravidel</w:t>
      </w:r>
      <w:r>
        <w:rPr>
          <w:rFonts w:asciiTheme="minorHAnsi" w:hAnsiTheme="minorHAnsi"/>
          <w:szCs w:val="22"/>
        </w:rPr>
        <w:t>. P</w:t>
      </w:r>
      <w:r w:rsidRPr="009925BA">
        <w:rPr>
          <w:rFonts w:asciiTheme="minorHAnsi" w:hAnsiTheme="minorHAnsi"/>
          <w:szCs w:val="22"/>
        </w:rPr>
        <w:t xml:space="preserve">okud by přemístění bylo provedeno zcela mimo podporované regiony nebo by mělo vliv na hodnocení Projektu, tak že by tento nebyl schválen k poskytnutí dotace, </w:t>
      </w:r>
      <w:r>
        <w:rPr>
          <w:rFonts w:asciiTheme="minorHAnsi" w:hAnsiTheme="minorHAnsi"/>
          <w:szCs w:val="22"/>
        </w:rPr>
        <w:t>bude mít uvedené za následek</w:t>
      </w:r>
      <w:r w:rsidRPr="009925BA">
        <w:rPr>
          <w:rFonts w:asciiTheme="minorHAnsi" w:hAnsiTheme="minorHAnsi"/>
          <w:szCs w:val="22"/>
        </w:rPr>
        <w:t xml:space="preserve"> nevyplacení 100 % poskytnuté dotace</w:t>
      </w:r>
      <w:r>
        <w:rPr>
          <w:rFonts w:asciiTheme="minorHAnsi" w:hAnsiTheme="minorHAnsi"/>
          <w:szCs w:val="22"/>
        </w:rPr>
        <w:t>.</w:t>
      </w:r>
    </w:p>
    <w:p w14:paraId="74A53E05" w14:textId="77777777" w:rsidR="00CC5FB5" w:rsidRPr="00CC5FB5" w:rsidRDefault="00471E1A" w:rsidP="008E4944">
      <w:pPr>
        <w:pStyle w:val="Odstavecseseznamem"/>
        <w:numPr>
          <w:ilvl w:val="2"/>
          <w:numId w:val="4"/>
        </w:numPr>
        <w:spacing w:before="120" w:after="120"/>
        <w:contextualSpacing w:val="0"/>
        <w:jc w:val="both"/>
      </w:pPr>
      <w:bookmarkStart w:id="13" w:name="_Ref39650050"/>
      <w:r w:rsidRPr="009925BA">
        <w:rPr>
          <w:rFonts w:asciiTheme="minorHAnsi" w:hAnsiTheme="minorHAnsi"/>
          <w:szCs w:val="22"/>
        </w:rPr>
        <w:t>Příjemce je povinen zacházet s majetkem, jehož p</w:t>
      </w:r>
      <w:r w:rsidR="00811E15">
        <w:rPr>
          <w:rFonts w:asciiTheme="minorHAnsi" w:hAnsiTheme="minorHAnsi"/>
          <w:szCs w:val="22"/>
        </w:rPr>
        <w:t>ořizovací cena byla zahrnuta do </w:t>
      </w:r>
      <w:r w:rsidRPr="009925BA">
        <w:rPr>
          <w:rFonts w:asciiTheme="minorHAnsi" w:hAnsiTheme="minorHAnsi"/>
          <w:szCs w:val="22"/>
        </w:rPr>
        <w:t>způsobilých výdajů Projektu,</w:t>
      </w:r>
      <w:r>
        <w:rPr>
          <w:rFonts w:asciiTheme="minorHAnsi" w:hAnsiTheme="minorHAnsi"/>
          <w:szCs w:val="22"/>
        </w:rPr>
        <w:t xml:space="preserve"> </w:t>
      </w:r>
      <w:r w:rsidRPr="009925BA">
        <w:rPr>
          <w:rFonts w:asciiTheme="minorHAnsi" w:hAnsiTheme="minorHAnsi"/>
          <w:szCs w:val="22"/>
        </w:rPr>
        <w:t xml:space="preserve">od okamžiku jeho pořízení </w:t>
      </w:r>
      <w:r>
        <w:rPr>
          <w:rFonts w:asciiTheme="minorHAnsi" w:hAnsiTheme="minorHAnsi"/>
          <w:szCs w:val="22"/>
        </w:rPr>
        <w:t xml:space="preserve">a </w:t>
      </w:r>
      <w:r w:rsidR="00811E15">
        <w:rPr>
          <w:rFonts w:asciiTheme="minorHAnsi" w:hAnsiTheme="minorHAnsi"/>
          <w:szCs w:val="22"/>
        </w:rPr>
        <w:t>po dobu realizace a </w:t>
      </w:r>
      <w:r>
        <w:rPr>
          <w:rFonts w:asciiTheme="minorHAnsi" w:hAnsiTheme="minorHAnsi"/>
          <w:szCs w:val="22"/>
        </w:rPr>
        <w:t>udržitelnosti</w:t>
      </w:r>
      <w:r w:rsidRPr="009925BA">
        <w:rPr>
          <w:rFonts w:asciiTheme="minorHAnsi" w:hAnsiTheme="minorHAnsi"/>
          <w:szCs w:val="22"/>
        </w:rPr>
        <w:t xml:space="preserve"> s péčí řádného hospodáře, zejména jej zabezpečit proti poškození, ztrátě, zcizení. Jedná se o povinnost dle ust. § 14 odst. 4 písm. j) rozpočtových pravidel. </w:t>
      </w:r>
      <w:r>
        <w:rPr>
          <w:rFonts w:asciiTheme="minorHAnsi" w:hAnsiTheme="minorHAnsi"/>
          <w:szCs w:val="22"/>
        </w:rPr>
        <w:t xml:space="preserve">V případě jeho poškození v důsledku okolností, které příjemce nemohl ovlivnit, nebo v případě jeho odcizení je příjemce povinen daný majetek nahradit postupem dle čl. </w:t>
      </w:r>
      <w:r w:rsidR="00D30009">
        <w:rPr>
          <w:rFonts w:asciiTheme="minorHAnsi" w:hAnsiTheme="minorHAnsi"/>
          <w:szCs w:val="22"/>
        </w:rPr>
        <w:t>6.4.3</w:t>
      </w:r>
      <w:r>
        <w:rPr>
          <w:rFonts w:asciiTheme="minorHAnsi" w:hAnsiTheme="minorHAnsi"/>
          <w:szCs w:val="22"/>
        </w:rPr>
        <w:t>.</w:t>
      </w:r>
      <w:bookmarkEnd w:id="13"/>
    </w:p>
    <w:p w14:paraId="02492AE6" w14:textId="77777777" w:rsidR="00CC5FB5" w:rsidRPr="00CC5FB5" w:rsidRDefault="00471E1A" w:rsidP="008E4944">
      <w:pPr>
        <w:pStyle w:val="Odstavecseseznamem"/>
        <w:numPr>
          <w:ilvl w:val="2"/>
          <w:numId w:val="4"/>
        </w:numPr>
        <w:spacing w:before="120" w:after="120"/>
        <w:contextualSpacing w:val="0"/>
        <w:jc w:val="both"/>
      </w:pPr>
      <w:bookmarkStart w:id="14" w:name="_Ref39653001"/>
      <w:r>
        <w:rPr>
          <w:rFonts w:asciiTheme="minorHAnsi" w:hAnsiTheme="minorHAnsi"/>
          <w:szCs w:val="22"/>
        </w:rPr>
        <w:t xml:space="preserve">Porušení povinnosti dle čl. </w:t>
      </w:r>
      <w:r w:rsidR="00D30009">
        <w:rPr>
          <w:rFonts w:asciiTheme="minorHAnsi" w:hAnsiTheme="minorHAnsi"/>
          <w:szCs w:val="22"/>
        </w:rPr>
        <w:t>6.4.5</w:t>
      </w:r>
      <w:r>
        <w:rPr>
          <w:rFonts w:asciiTheme="minorHAnsi" w:hAnsiTheme="minorHAnsi"/>
          <w:szCs w:val="22"/>
        </w:rPr>
        <w:t xml:space="preserve"> věty třetí bude mít za následek nevyplacení části dotace odpovídající poměrné části vzhledem k době, po kterou byla podmínka plněna.</w:t>
      </w:r>
      <w:bookmarkEnd w:id="14"/>
    </w:p>
    <w:p w14:paraId="4BFF6E61" w14:textId="77777777" w:rsidR="00CC5FB5" w:rsidRPr="00CC5FB5" w:rsidRDefault="00471E1A" w:rsidP="008E4944">
      <w:pPr>
        <w:pStyle w:val="Odstavecseseznamem"/>
        <w:numPr>
          <w:ilvl w:val="2"/>
          <w:numId w:val="4"/>
        </w:numPr>
        <w:spacing w:before="120" w:after="120"/>
        <w:contextualSpacing w:val="0"/>
        <w:jc w:val="both"/>
      </w:pPr>
      <w:bookmarkStart w:id="15" w:name="_Ref39650064"/>
      <w:r w:rsidRPr="009925BA">
        <w:rPr>
          <w:rFonts w:asciiTheme="minorHAnsi" w:hAnsiTheme="minorHAnsi"/>
          <w:szCs w:val="22"/>
        </w:rPr>
        <w:t xml:space="preserve">Příjemce nesmí </w:t>
      </w:r>
      <w:r>
        <w:rPr>
          <w:rFonts w:asciiTheme="minorHAnsi" w:hAnsiTheme="minorHAnsi"/>
          <w:szCs w:val="22"/>
        </w:rPr>
        <w:t xml:space="preserve">od okamžiku jeho pořízení a </w:t>
      </w:r>
      <w:r w:rsidRPr="009925BA">
        <w:rPr>
          <w:rFonts w:asciiTheme="minorHAnsi" w:hAnsiTheme="minorHAnsi"/>
          <w:szCs w:val="22"/>
        </w:rPr>
        <w:t xml:space="preserve">po dobu realizace </w:t>
      </w:r>
      <w:r>
        <w:rPr>
          <w:rFonts w:asciiTheme="minorHAnsi" w:hAnsiTheme="minorHAnsi"/>
          <w:szCs w:val="22"/>
        </w:rPr>
        <w:t>a udržitelnosti</w:t>
      </w:r>
      <w:r w:rsidRPr="009925BA">
        <w:rPr>
          <w:rFonts w:asciiTheme="minorHAnsi" w:hAnsiTheme="minorHAnsi"/>
          <w:szCs w:val="22"/>
        </w:rPr>
        <w:t xml:space="preserve"> majetek pořízený z dotace přenechat k užití jinému</w:t>
      </w:r>
      <w:r>
        <w:rPr>
          <w:rFonts w:asciiTheme="minorHAnsi" w:hAnsiTheme="minorHAnsi"/>
          <w:szCs w:val="22"/>
        </w:rPr>
        <w:t>, není-li dále stanoveno jinak</w:t>
      </w:r>
      <w:r w:rsidRPr="009925BA">
        <w:rPr>
          <w:rFonts w:asciiTheme="minorHAnsi" w:hAnsiTheme="minorHAnsi"/>
          <w:szCs w:val="22"/>
        </w:rPr>
        <w:t>. Pokud Výzva stanoví jinak, použije se v tomto konkrétním případě ustanovení Výzvy</w:t>
      </w:r>
      <w:r>
        <w:rPr>
          <w:rFonts w:asciiTheme="minorHAnsi" w:hAnsiTheme="minorHAnsi"/>
          <w:szCs w:val="22"/>
        </w:rPr>
        <w:t>.</w:t>
      </w:r>
      <w:bookmarkEnd w:id="15"/>
    </w:p>
    <w:p w14:paraId="213A5B41" w14:textId="77777777" w:rsidR="00CC5FB5" w:rsidRPr="00CC5FB5" w:rsidRDefault="00471E1A" w:rsidP="008E4944">
      <w:pPr>
        <w:pStyle w:val="Odstavecseseznamem"/>
        <w:numPr>
          <w:ilvl w:val="2"/>
          <w:numId w:val="4"/>
        </w:numPr>
        <w:spacing w:before="120" w:after="120"/>
        <w:contextualSpacing w:val="0"/>
        <w:jc w:val="both"/>
      </w:pPr>
      <w:r>
        <w:rPr>
          <w:rFonts w:asciiTheme="minorHAnsi" w:hAnsiTheme="minorHAnsi"/>
          <w:szCs w:val="22"/>
        </w:rPr>
        <w:t xml:space="preserve">Porušení povinnosti dle čl. </w:t>
      </w:r>
      <w:r w:rsidR="00D30009">
        <w:rPr>
          <w:rFonts w:asciiTheme="minorHAnsi" w:hAnsiTheme="minorHAnsi"/>
          <w:szCs w:val="22"/>
        </w:rPr>
        <w:t>6.4.7</w:t>
      </w:r>
      <w:r w:rsidRPr="009925BA">
        <w:rPr>
          <w:rFonts w:asciiTheme="minorHAnsi" w:hAnsiTheme="minorHAnsi"/>
          <w:szCs w:val="22"/>
        </w:rPr>
        <w:t xml:space="preserve"> bude mít za následek nevyplacení </w:t>
      </w:r>
      <w:r>
        <w:rPr>
          <w:rFonts w:asciiTheme="minorHAnsi" w:hAnsiTheme="minorHAnsi"/>
          <w:szCs w:val="22"/>
        </w:rPr>
        <w:t xml:space="preserve">části dotace odpovídající </w:t>
      </w:r>
      <w:r w:rsidRPr="009925BA">
        <w:rPr>
          <w:rFonts w:asciiTheme="minorHAnsi" w:hAnsiTheme="minorHAnsi"/>
          <w:szCs w:val="22"/>
        </w:rPr>
        <w:t>100 % poskytnuté dotace na majetek, který byl přenechán k už</w:t>
      </w:r>
      <w:r>
        <w:rPr>
          <w:rFonts w:asciiTheme="minorHAnsi" w:hAnsiTheme="minorHAnsi"/>
          <w:szCs w:val="22"/>
        </w:rPr>
        <w:t xml:space="preserve">ití jinému v rozporu s čl. </w:t>
      </w:r>
      <w:r w:rsidR="00D30009">
        <w:rPr>
          <w:rFonts w:asciiTheme="minorHAnsi" w:hAnsiTheme="minorHAnsi"/>
          <w:szCs w:val="22"/>
        </w:rPr>
        <w:t>6.4.7</w:t>
      </w:r>
      <w:r>
        <w:rPr>
          <w:rFonts w:asciiTheme="minorHAnsi" w:hAnsiTheme="minorHAnsi"/>
          <w:szCs w:val="22"/>
        </w:rPr>
        <w:t>.</w:t>
      </w:r>
    </w:p>
    <w:p w14:paraId="56CB9930" w14:textId="77777777" w:rsidR="00CC5FB5" w:rsidRPr="00CC5FB5" w:rsidRDefault="00471E1A" w:rsidP="008E4944">
      <w:pPr>
        <w:pStyle w:val="Odstavecseseznamem"/>
        <w:numPr>
          <w:ilvl w:val="2"/>
          <w:numId w:val="4"/>
        </w:numPr>
        <w:spacing w:before="120" w:after="120"/>
        <w:contextualSpacing w:val="0"/>
        <w:jc w:val="both"/>
      </w:pPr>
      <w:bookmarkStart w:id="16" w:name="_Ref39650092"/>
      <w:r w:rsidRPr="009925BA">
        <w:rPr>
          <w:rFonts w:asciiTheme="minorHAnsi" w:hAnsiTheme="minorHAnsi"/>
          <w:szCs w:val="22"/>
        </w:rPr>
        <w:t>Příjemce musí užívat majetek pořízený s účastí dotace</w:t>
      </w:r>
      <w:r>
        <w:rPr>
          <w:rFonts w:asciiTheme="minorHAnsi" w:hAnsiTheme="minorHAnsi"/>
          <w:szCs w:val="22"/>
        </w:rPr>
        <w:t xml:space="preserve"> </w:t>
      </w:r>
      <w:r w:rsidRPr="009925BA">
        <w:rPr>
          <w:rFonts w:asciiTheme="minorHAnsi" w:hAnsiTheme="minorHAnsi"/>
          <w:szCs w:val="22"/>
        </w:rPr>
        <w:t xml:space="preserve">od </w:t>
      </w:r>
      <w:r w:rsidRPr="00113359">
        <w:rPr>
          <w:rFonts w:asciiTheme="minorHAnsi" w:hAnsiTheme="minorHAnsi"/>
          <w:szCs w:val="22"/>
        </w:rPr>
        <w:t>okamžiku jeho zařazení do užívání a</w:t>
      </w:r>
      <w:r>
        <w:rPr>
          <w:rFonts w:asciiTheme="minorHAnsi" w:hAnsiTheme="minorHAnsi"/>
          <w:szCs w:val="22"/>
        </w:rPr>
        <w:t xml:space="preserve"> po dobu realizace a udržitelnosti</w:t>
      </w:r>
      <w:r w:rsidRPr="009925BA">
        <w:rPr>
          <w:rFonts w:asciiTheme="minorHAnsi" w:hAnsiTheme="minorHAnsi"/>
          <w:szCs w:val="22"/>
        </w:rPr>
        <w:t xml:space="preserve"> k podporovaným ekon</w:t>
      </w:r>
      <w:r w:rsidR="00811E15">
        <w:rPr>
          <w:rFonts w:asciiTheme="minorHAnsi" w:hAnsiTheme="minorHAnsi"/>
          <w:szCs w:val="22"/>
        </w:rPr>
        <w:t>omickým činnostem dle Žádosti o </w:t>
      </w:r>
      <w:r w:rsidRPr="009925BA">
        <w:rPr>
          <w:rFonts w:asciiTheme="minorHAnsi" w:hAnsiTheme="minorHAnsi"/>
          <w:szCs w:val="22"/>
        </w:rPr>
        <w:t>podporu</w:t>
      </w:r>
      <w:r>
        <w:rPr>
          <w:rFonts w:asciiTheme="minorHAnsi" w:hAnsiTheme="minorHAnsi"/>
          <w:szCs w:val="22"/>
        </w:rPr>
        <w:t>.</w:t>
      </w:r>
      <w:bookmarkEnd w:id="16"/>
    </w:p>
    <w:p w14:paraId="5BC0B8B4" w14:textId="77777777" w:rsidR="00CC5FB5" w:rsidRPr="00CC5FB5" w:rsidRDefault="00471E1A" w:rsidP="008E4944">
      <w:pPr>
        <w:pStyle w:val="Odstavecseseznamem"/>
        <w:numPr>
          <w:ilvl w:val="2"/>
          <w:numId w:val="4"/>
        </w:numPr>
        <w:spacing w:before="120" w:after="120"/>
        <w:contextualSpacing w:val="0"/>
        <w:jc w:val="both"/>
      </w:pPr>
      <w:r w:rsidRPr="009925BA">
        <w:rPr>
          <w:rFonts w:asciiTheme="minorHAnsi" w:hAnsiTheme="minorHAnsi"/>
          <w:szCs w:val="22"/>
        </w:rPr>
        <w:t>P</w:t>
      </w:r>
      <w:r>
        <w:rPr>
          <w:rFonts w:asciiTheme="minorHAnsi" w:hAnsiTheme="minorHAnsi"/>
          <w:szCs w:val="22"/>
        </w:rPr>
        <w:t xml:space="preserve">orušení povinnosti dle čl. </w:t>
      </w:r>
      <w:r w:rsidR="00C43D76">
        <w:rPr>
          <w:rFonts w:asciiTheme="minorHAnsi" w:hAnsiTheme="minorHAnsi"/>
          <w:szCs w:val="22"/>
        </w:rPr>
        <w:t>6.4.9</w:t>
      </w:r>
      <w:r w:rsidRPr="009925BA">
        <w:rPr>
          <w:rFonts w:asciiTheme="minorHAnsi" w:hAnsiTheme="minorHAnsi"/>
          <w:szCs w:val="22"/>
        </w:rPr>
        <w:t xml:space="preserve"> bude mít za následek nevyplacení </w:t>
      </w:r>
      <w:r>
        <w:rPr>
          <w:rFonts w:asciiTheme="minorHAnsi" w:hAnsiTheme="minorHAnsi"/>
          <w:szCs w:val="22"/>
        </w:rPr>
        <w:t xml:space="preserve">části dotace odpovídající </w:t>
      </w:r>
      <w:r w:rsidRPr="009925BA">
        <w:rPr>
          <w:rFonts w:asciiTheme="minorHAnsi" w:hAnsiTheme="minorHAnsi"/>
          <w:szCs w:val="22"/>
        </w:rPr>
        <w:t>100 % poskytnuté dotace na majetek, který nen</w:t>
      </w:r>
      <w:r>
        <w:rPr>
          <w:rFonts w:asciiTheme="minorHAnsi" w:hAnsiTheme="minorHAnsi"/>
          <w:szCs w:val="22"/>
        </w:rPr>
        <w:t xml:space="preserve">í využíván v souladu s čl. </w:t>
      </w:r>
      <w:r w:rsidR="00C43D76">
        <w:rPr>
          <w:rFonts w:asciiTheme="minorHAnsi" w:hAnsiTheme="minorHAnsi"/>
          <w:szCs w:val="22"/>
        </w:rPr>
        <w:t>6.4.9</w:t>
      </w:r>
      <w:r>
        <w:rPr>
          <w:rFonts w:asciiTheme="minorHAnsi" w:hAnsiTheme="minorHAnsi"/>
          <w:szCs w:val="22"/>
        </w:rPr>
        <w:t>.</w:t>
      </w:r>
    </w:p>
    <w:p w14:paraId="0B7AAB4F" w14:textId="77777777" w:rsidR="00CC5FB5" w:rsidRPr="00CC5FB5" w:rsidRDefault="00471E1A" w:rsidP="008E4944">
      <w:pPr>
        <w:pStyle w:val="Odstavecseseznamem"/>
        <w:numPr>
          <w:ilvl w:val="2"/>
          <w:numId w:val="4"/>
        </w:numPr>
        <w:spacing w:before="120" w:after="120"/>
        <w:contextualSpacing w:val="0"/>
        <w:jc w:val="both"/>
      </w:pPr>
      <w:bookmarkStart w:id="17" w:name="_Ref39650134"/>
      <w:r w:rsidRPr="009925BA">
        <w:rPr>
          <w:rFonts w:asciiTheme="minorHAnsi" w:hAnsiTheme="minorHAnsi"/>
          <w:szCs w:val="22"/>
        </w:rPr>
        <w:t xml:space="preserve">K majetku pořízenému s účastí dotace nesmí </w:t>
      </w:r>
      <w:r w:rsidRPr="00113359">
        <w:rPr>
          <w:rFonts w:asciiTheme="minorHAnsi" w:hAnsiTheme="minorHAnsi"/>
          <w:szCs w:val="22"/>
        </w:rPr>
        <w:t>být od okamžiku jeho zaúčtování a po dobu realizace a udržitelnosti zřízen zajišťovací převod práva</w:t>
      </w:r>
      <w:r>
        <w:rPr>
          <w:rFonts w:asciiTheme="minorHAnsi" w:hAnsiTheme="minorHAnsi"/>
          <w:szCs w:val="22"/>
        </w:rPr>
        <w:t xml:space="preserve"> s výjimkou zajišťovacího převodu práva s odkládací podmínkou, pokud bude současně dodržen čl. </w:t>
      </w:r>
      <w:r w:rsidR="00C43D76">
        <w:rPr>
          <w:rFonts w:asciiTheme="minorHAnsi" w:hAnsiTheme="minorHAnsi"/>
          <w:szCs w:val="22"/>
        </w:rPr>
        <w:t>6.4.3</w:t>
      </w:r>
      <w:r>
        <w:rPr>
          <w:rFonts w:asciiTheme="minorHAnsi" w:hAnsiTheme="minorHAnsi"/>
          <w:szCs w:val="22"/>
        </w:rPr>
        <w:t>.</w:t>
      </w:r>
      <w:bookmarkEnd w:id="17"/>
    </w:p>
    <w:p w14:paraId="7C0AA7F9" w14:textId="77777777" w:rsidR="00CC5FB5" w:rsidRPr="001C5827" w:rsidRDefault="00471E1A" w:rsidP="008E4944">
      <w:pPr>
        <w:pStyle w:val="Odstavecseseznamem"/>
        <w:numPr>
          <w:ilvl w:val="2"/>
          <w:numId w:val="4"/>
        </w:numPr>
        <w:spacing w:before="120" w:after="120"/>
        <w:contextualSpacing w:val="0"/>
        <w:jc w:val="both"/>
      </w:pPr>
      <w:r w:rsidRPr="009925BA">
        <w:rPr>
          <w:rFonts w:asciiTheme="minorHAnsi" w:hAnsiTheme="minorHAnsi"/>
          <w:szCs w:val="22"/>
        </w:rPr>
        <w:t>Po</w:t>
      </w:r>
      <w:r>
        <w:rPr>
          <w:rFonts w:asciiTheme="minorHAnsi" w:hAnsiTheme="minorHAnsi"/>
          <w:szCs w:val="22"/>
        </w:rPr>
        <w:t xml:space="preserve">rušení povinnosti dle čl. </w:t>
      </w:r>
      <w:r w:rsidR="00C43D76">
        <w:rPr>
          <w:rFonts w:asciiTheme="minorHAnsi" w:hAnsiTheme="minorHAnsi"/>
          <w:szCs w:val="22"/>
        </w:rPr>
        <w:t>6.4.11</w:t>
      </w:r>
      <w:r w:rsidRPr="009925BA">
        <w:rPr>
          <w:rFonts w:asciiTheme="minorHAnsi" w:hAnsiTheme="minorHAnsi"/>
          <w:szCs w:val="22"/>
        </w:rPr>
        <w:t xml:space="preserve"> bude mít za následek nevyplacení </w:t>
      </w:r>
      <w:r>
        <w:rPr>
          <w:rFonts w:asciiTheme="minorHAnsi" w:hAnsiTheme="minorHAnsi"/>
          <w:szCs w:val="22"/>
        </w:rPr>
        <w:t xml:space="preserve">části dotace odpovídající </w:t>
      </w:r>
      <w:r w:rsidRPr="009925BA">
        <w:rPr>
          <w:rFonts w:asciiTheme="minorHAnsi" w:hAnsiTheme="minorHAnsi"/>
          <w:szCs w:val="22"/>
        </w:rPr>
        <w:t>100 % posk</w:t>
      </w:r>
      <w:r w:rsidR="007F4CAD">
        <w:rPr>
          <w:rFonts w:asciiTheme="minorHAnsi" w:hAnsiTheme="minorHAnsi"/>
          <w:szCs w:val="22"/>
        </w:rPr>
        <w:t xml:space="preserve">ytnuté dotace na majetek, </w:t>
      </w:r>
      <w:r w:rsidRPr="009925BA">
        <w:rPr>
          <w:rFonts w:asciiTheme="minorHAnsi" w:hAnsiTheme="minorHAnsi"/>
          <w:szCs w:val="22"/>
        </w:rPr>
        <w:t>u kterého byla p</w:t>
      </w:r>
      <w:r>
        <w:rPr>
          <w:rFonts w:asciiTheme="minorHAnsi" w:hAnsiTheme="minorHAnsi"/>
          <w:szCs w:val="22"/>
        </w:rPr>
        <w:t xml:space="preserve">orušena povinnost dle čl. </w:t>
      </w:r>
      <w:r w:rsidR="00C43D76">
        <w:rPr>
          <w:rFonts w:asciiTheme="minorHAnsi" w:hAnsiTheme="minorHAnsi"/>
          <w:szCs w:val="22"/>
        </w:rPr>
        <w:t>6.4.11</w:t>
      </w:r>
      <w:r>
        <w:rPr>
          <w:rFonts w:asciiTheme="minorHAnsi" w:hAnsiTheme="minorHAnsi"/>
          <w:szCs w:val="22"/>
        </w:rPr>
        <w:t>.</w:t>
      </w:r>
    </w:p>
    <w:p w14:paraId="3FDAF717" w14:textId="77777777" w:rsidR="001C5827" w:rsidRPr="00CC5FB5" w:rsidRDefault="001C5827" w:rsidP="001C5827">
      <w:pPr>
        <w:pStyle w:val="Odstavecseseznamem"/>
        <w:spacing w:before="120" w:after="120"/>
        <w:ind w:left="794"/>
        <w:contextualSpacing w:val="0"/>
        <w:jc w:val="both"/>
      </w:pPr>
    </w:p>
    <w:p w14:paraId="4E45FC1B" w14:textId="77777777" w:rsidR="00C87BC7" w:rsidRDefault="00471E1A" w:rsidP="00D87A31">
      <w:pPr>
        <w:pStyle w:val="Odstavecseseznamem"/>
        <w:numPr>
          <w:ilvl w:val="1"/>
          <w:numId w:val="4"/>
        </w:numPr>
        <w:spacing w:before="120" w:after="120"/>
        <w:contextualSpacing w:val="0"/>
      </w:pPr>
      <w:r>
        <w:rPr>
          <w:b/>
        </w:rPr>
        <w:t>Veřejné zakázky</w:t>
      </w:r>
    </w:p>
    <w:p w14:paraId="6DE56DF9" w14:textId="77777777" w:rsidR="00CC5FB5" w:rsidRDefault="00471E1A" w:rsidP="008E4944">
      <w:pPr>
        <w:pStyle w:val="Odstavecseseznamem"/>
        <w:numPr>
          <w:ilvl w:val="2"/>
          <w:numId w:val="4"/>
        </w:numPr>
        <w:spacing w:before="120" w:after="120"/>
        <w:contextualSpacing w:val="0"/>
        <w:jc w:val="both"/>
      </w:pPr>
      <w:bookmarkStart w:id="18" w:name="_Ref39650164"/>
      <w:r>
        <w:t>P</w:t>
      </w:r>
      <w:r w:rsidRPr="00B36130">
        <w:t>říjemce je povin</w:t>
      </w:r>
      <w:r w:rsidR="007F4CAD">
        <w:t xml:space="preserve">en </w:t>
      </w:r>
      <w:r w:rsidR="00040B8F">
        <w:t xml:space="preserve">se </w:t>
      </w:r>
      <w:r w:rsidR="007F4CAD">
        <w:t>při</w:t>
      </w:r>
      <w:r w:rsidR="00B30ACE">
        <w:t xml:space="preserve"> výběru dodavatele/</w:t>
      </w:r>
      <w:r w:rsidRPr="00B36130">
        <w:t>rea</w:t>
      </w:r>
      <w:r w:rsidR="00040B8F">
        <w:t xml:space="preserve">lizaci veřejné zakázky řídit </w:t>
      </w:r>
      <w:r w:rsidR="00B30ACE" w:rsidRPr="00B36130">
        <w:t>verzí Pravidel pro výběr dodavatelů/záko</w:t>
      </w:r>
      <w:r w:rsidR="00B30ACE">
        <w:t>nem</w:t>
      </w:r>
      <w:r w:rsidR="00B30ACE" w:rsidRPr="00B36130">
        <w:t xml:space="preserve"> č. 134/2016 Sb., o zadávání veřejných zakázek</w:t>
      </w:r>
      <w:r w:rsidR="00B30ACE">
        <w:t>, které jsou účinné v den</w:t>
      </w:r>
      <w:r w:rsidRPr="00B36130">
        <w:t xml:space="preserve"> zahájení výbě</w:t>
      </w:r>
      <w:r w:rsidR="00040B8F">
        <w:t>rového/zadávacího řízení</w:t>
      </w:r>
      <w:r>
        <w:t>.</w:t>
      </w:r>
      <w:bookmarkEnd w:id="18"/>
    </w:p>
    <w:p w14:paraId="15B8E551" w14:textId="77777777" w:rsidR="00B36130" w:rsidRDefault="00471E1A" w:rsidP="008E4944">
      <w:pPr>
        <w:pStyle w:val="Odstavecseseznamem"/>
        <w:numPr>
          <w:ilvl w:val="2"/>
          <w:numId w:val="4"/>
        </w:numPr>
        <w:spacing w:before="120" w:after="120"/>
        <w:contextualSpacing w:val="0"/>
        <w:jc w:val="both"/>
      </w:pPr>
      <w:bookmarkStart w:id="19" w:name="_Ref39650220"/>
      <w:r w:rsidRPr="008E4944">
        <w:rPr>
          <w:rFonts w:asciiTheme="minorHAnsi" w:hAnsiTheme="minorHAnsi"/>
          <w:szCs w:val="22"/>
        </w:rPr>
        <w:t xml:space="preserve">Porušení povinnosti dle čl. </w:t>
      </w:r>
      <w:r w:rsidR="00C43D76">
        <w:rPr>
          <w:rFonts w:asciiTheme="minorHAnsi" w:hAnsiTheme="minorHAnsi"/>
          <w:szCs w:val="22"/>
        </w:rPr>
        <w:t>6.5.1</w:t>
      </w:r>
      <w:r w:rsidRPr="008E4944">
        <w:rPr>
          <w:rFonts w:asciiTheme="minorHAnsi" w:hAnsiTheme="minorHAnsi"/>
          <w:szCs w:val="22"/>
        </w:rPr>
        <w:t xml:space="preserve"> Pravidel pro výběr dodavatelů/platného a účinného znění zákona č. 134/2016 Sb., o zadávání veřejných zakázek bude mít za následek nevyplacení dotace nebo její části dle </w:t>
      </w:r>
      <w:r>
        <w:t xml:space="preserve">Kategorizace </w:t>
      </w:r>
      <w:r w:rsidR="00B30ACE">
        <w:t>sankcí za porušení postupu zadavatele zakázek</w:t>
      </w:r>
      <w:r>
        <w:t xml:space="preserve"> platné v den zahájení výběrového/zadávacího řízení.</w:t>
      </w:r>
      <w:bookmarkEnd w:id="19"/>
    </w:p>
    <w:p w14:paraId="714211A4" w14:textId="77777777" w:rsidR="001C5827" w:rsidRDefault="001C5827" w:rsidP="001C5827">
      <w:pPr>
        <w:pStyle w:val="Odstavecseseznamem"/>
        <w:spacing w:before="120" w:after="120"/>
        <w:ind w:left="794"/>
        <w:contextualSpacing w:val="0"/>
        <w:jc w:val="both"/>
      </w:pPr>
    </w:p>
    <w:p w14:paraId="0EABA9C8" w14:textId="77777777" w:rsidR="00B36130" w:rsidRDefault="00471E1A" w:rsidP="00D87A31">
      <w:pPr>
        <w:pStyle w:val="Odstavecseseznamem"/>
        <w:numPr>
          <w:ilvl w:val="1"/>
          <w:numId w:val="4"/>
        </w:numPr>
        <w:spacing w:before="120" w:after="120"/>
        <w:contextualSpacing w:val="0"/>
      </w:pPr>
      <w:r>
        <w:rPr>
          <w:b/>
        </w:rPr>
        <w:t>Publicita</w:t>
      </w:r>
    </w:p>
    <w:p w14:paraId="6A9D1207" w14:textId="77777777" w:rsidR="00B36130" w:rsidRDefault="00471E1A" w:rsidP="001C5827">
      <w:pPr>
        <w:pStyle w:val="Odstavecseseznamem"/>
        <w:numPr>
          <w:ilvl w:val="2"/>
          <w:numId w:val="4"/>
        </w:numPr>
        <w:spacing w:before="120" w:after="120"/>
        <w:contextualSpacing w:val="0"/>
        <w:jc w:val="both"/>
      </w:pPr>
      <w:bookmarkStart w:id="20" w:name="_Ref40078993"/>
      <w:r w:rsidRPr="00B36130">
        <w:t>Příjemce má povinnost zajistit publicitu prostředků strukturálních fondů v souladu s Pravidly způsobilosti a publicity – obecná část, které jsou přílohou tohoto Rozhodnutí. Příjemce je povinen respektovat případné výzvy poskytovatele dotace k odstranění nedostatků v oblasti publicity a tyto ve stanoveném termínu provést</w:t>
      </w:r>
      <w:r>
        <w:t>.</w:t>
      </w:r>
      <w:bookmarkEnd w:id="20"/>
    </w:p>
    <w:p w14:paraId="26C99579" w14:textId="77777777" w:rsidR="00B36130" w:rsidRPr="00B36130" w:rsidRDefault="00471E1A" w:rsidP="006E6549">
      <w:pPr>
        <w:pStyle w:val="Odstavecseseznamem"/>
        <w:numPr>
          <w:ilvl w:val="2"/>
          <w:numId w:val="4"/>
        </w:numPr>
        <w:spacing w:before="120" w:after="120"/>
        <w:contextualSpacing w:val="0"/>
        <w:jc w:val="both"/>
      </w:pPr>
      <w:r>
        <w:rPr>
          <w:rFonts w:asciiTheme="minorHAnsi" w:hAnsiTheme="minorHAnsi"/>
          <w:szCs w:val="22"/>
        </w:rPr>
        <w:t xml:space="preserve">Porušení povinnosti dle čl. </w:t>
      </w:r>
      <w:r w:rsidR="00C43D76">
        <w:rPr>
          <w:rFonts w:asciiTheme="minorHAnsi" w:hAnsiTheme="minorHAnsi"/>
          <w:szCs w:val="22"/>
        </w:rPr>
        <w:t>6.6.1</w:t>
      </w:r>
      <w:r>
        <w:rPr>
          <w:rFonts w:asciiTheme="minorHAnsi" w:hAnsiTheme="minorHAnsi"/>
          <w:szCs w:val="22"/>
        </w:rPr>
        <w:t xml:space="preserve"> věty první </w:t>
      </w:r>
      <w:r w:rsidRPr="00EF5368">
        <w:rPr>
          <w:rFonts w:asciiTheme="minorHAnsi" w:hAnsiTheme="minorHAnsi"/>
          <w:szCs w:val="22"/>
        </w:rPr>
        <w:t xml:space="preserve">na některém z povinných nástrojů bude </w:t>
      </w:r>
      <w:r>
        <w:rPr>
          <w:rFonts w:asciiTheme="minorHAnsi" w:hAnsiTheme="minorHAnsi"/>
          <w:szCs w:val="22"/>
        </w:rPr>
        <w:t xml:space="preserve">mít </w:t>
      </w:r>
      <w:r w:rsidR="006E6549">
        <w:rPr>
          <w:rFonts w:asciiTheme="minorHAnsi" w:hAnsiTheme="minorHAnsi"/>
          <w:szCs w:val="22"/>
        </w:rPr>
        <w:t>z</w:t>
      </w:r>
      <w:r w:rsidR="00811E15">
        <w:rPr>
          <w:rFonts w:asciiTheme="minorHAnsi" w:hAnsiTheme="minorHAnsi"/>
          <w:szCs w:val="22"/>
        </w:rPr>
        <w:t>a </w:t>
      </w:r>
      <w:r>
        <w:rPr>
          <w:rFonts w:asciiTheme="minorHAnsi" w:hAnsiTheme="minorHAnsi"/>
          <w:szCs w:val="22"/>
        </w:rPr>
        <w:t>následek nevyplacení části dotace</w:t>
      </w:r>
      <w:r w:rsidR="006E6549">
        <w:rPr>
          <w:rFonts w:asciiTheme="minorHAnsi" w:hAnsiTheme="minorHAnsi"/>
          <w:szCs w:val="22"/>
        </w:rPr>
        <w:t xml:space="preserve"> dle tabulky níže</w:t>
      </w:r>
      <w:r>
        <w:rPr>
          <w:rFonts w:asciiTheme="minorHAnsi" w:hAnsiTheme="minorHAnsi"/>
          <w:szCs w:val="22"/>
        </w:rPr>
        <w:t xml:space="preserve">: 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838"/>
        <w:gridCol w:w="4304"/>
        <w:gridCol w:w="1269"/>
        <w:gridCol w:w="1650"/>
      </w:tblGrid>
      <w:tr w:rsidR="00107CA4" w14:paraId="76BB3649" w14:textId="77777777" w:rsidTr="00F65F3C">
        <w:trPr>
          <w:cantSplit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14:paraId="1E781142" w14:textId="77777777" w:rsidR="00B36130" w:rsidRPr="00F36E99" w:rsidRDefault="00471E1A" w:rsidP="00F65F3C">
            <w:pPr>
              <w:pStyle w:val="Zkladntext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F36E99">
              <w:rPr>
                <w:rFonts w:asciiTheme="minorHAnsi" w:hAnsiTheme="minorHAnsi" w:cs="Calibri"/>
                <w:sz w:val="22"/>
                <w:szCs w:val="22"/>
              </w:rPr>
              <w:t>Nástroj publicity</w:t>
            </w:r>
          </w:p>
        </w:tc>
        <w:tc>
          <w:tcPr>
            <w:tcW w:w="4305" w:type="dxa"/>
            <w:shd w:val="clear" w:color="auto" w:fill="F2F2F2" w:themeFill="background1" w:themeFillShade="F2"/>
            <w:vAlign w:val="center"/>
          </w:tcPr>
          <w:p w14:paraId="7F3AE3B2" w14:textId="77777777" w:rsidR="00B36130" w:rsidRPr="00F36E99" w:rsidRDefault="00471E1A" w:rsidP="00F65F3C">
            <w:pPr>
              <w:pStyle w:val="Zkladntext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F36E99">
              <w:rPr>
                <w:rFonts w:asciiTheme="minorHAnsi" w:hAnsiTheme="minorHAnsi" w:cs="Calibri"/>
                <w:sz w:val="22"/>
                <w:szCs w:val="22"/>
              </w:rPr>
              <w:t>Pochybení</w:t>
            </w:r>
          </w:p>
        </w:tc>
        <w:tc>
          <w:tcPr>
            <w:tcW w:w="1269" w:type="dxa"/>
            <w:shd w:val="clear" w:color="auto" w:fill="F2F2F2" w:themeFill="background1" w:themeFillShade="F2"/>
            <w:vAlign w:val="center"/>
          </w:tcPr>
          <w:p w14:paraId="113E11E3" w14:textId="77777777" w:rsidR="00B36130" w:rsidRPr="00F36E99" w:rsidRDefault="00471E1A" w:rsidP="00F65F3C">
            <w:pPr>
              <w:pStyle w:val="Zkladntext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F36E99">
              <w:rPr>
                <w:rFonts w:asciiTheme="minorHAnsi" w:hAnsiTheme="minorHAnsi" w:cs="Calibri"/>
                <w:sz w:val="22"/>
                <w:szCs w:val="22"/>
              </w:rPr>
              <w:t>Úroveň pochybení</w:t>
            </w:r>
          </w:p>
        </w:tc>
        <w:tc>
          <w:tcPr>
            <w:tcW w:w="1650" w:type="dxa"/>
            <w:shd w:val="clear" w:color="auto" w:fill="F2F2F2" w:themeFill="background1" w:themeFillShade="F2"/>
            <w:vAlign w:val="center"/>
          </w:tcPr>
          <w:p w14:paraId="1540EC70" w14:textId="77777777" w:rsidR="00B36130" w:rsidRPr="00F36E99" w:rsidRDefault="00471E1A" w:rsidP="00F65F3C">
            <w:pPr>
              <w:pStyle w:val="Zkladntext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0968B5">
              <w:rPr>
                <w:rFonts w:asciiTheme="minorHAnsi" w:hAnsiTheme="minorHAnsi" w:cs="Calibri"/>
                <w:sz w:val="22"/>
                <w:szCs w:val="22"/>
              </w:rPr>
              <w:t>Procento poskytnuté dotace, která nebude příjemci vyplacena</w:t>
            </w:r>
          </w:p>
        </w:tc>
      </w:tr>
      <w:tr w:rsidR="00107CA4" w14:paraId="7EC86638" w14:textId="77777777" w:rsidTr="00F65F3C">
        <w:trPr>
          <w:cantSplit/>
        </w:trPr>
        <w:tc>
          <w:tcPr>
            <w:tcW w:w="1838" w:type="dxa"/>
            <w:vMerge w:val="restart"/>
          </w:tcPr>
          <w:p w14:paraId="071E982B" w14:textId="77777777" w:rsidR="00B36130" w:rsidRPr="00F36E99" w:rsidRDefault="00471E1A" w:rsidP="000B55A9">
            <w:pPr>
              <w:pStyle w:val="Zkladntext"/>
              <w:jc w:val="left"/>
              <w:rPr>
                <w:rFonts w:asciiTheme="minorHAnsi" w:hAnsiTheme="minorHAnsi" w:cs="Calibri"/>
                <w:sz w:val="22"/>
                <w:szCs w:val="22"/>
              </w:rPr>
            </w:pPr>
            <w:r w:rsidRPr="00F36E99">
              <w:rPr>
                <w:rFonts w:asciiTheme="minorHAnsi" w:hAnsiTheme="minorHAnsi" w:cs="Calibri"/>
                <w:sz w:val="22"/>
                <w:szCs w:val="22"/>
              </w:rPr>
              <w:t>Povinné nástroje</w:t>
            </w:r>
          </w:p>
          <w:p w14:paraId="3BC050A9" w14:textId="77777777" w:rsidR="00B36130" w:rsidRPr="00F36E99" w:rsidRDefault="00471E1A" w:rsidP="000B55A9">
            <w:pPr>
              <w:pStyle w:val="Zkladntext"/>
              <w:jc w:val="left"/>
              <w:rPr>
                <w:rFonts w:asciiTheme="minorHAnsi" w:hAnsiTheme="minorHAnsi" w:cs="Calibri"/>
                <w:sz w:val="22"/>
                <w:szCs w:val="22"/>
              </w:rPr>
            </w:pPr>
            <w:r w:rsidRPr="00F36E99">
              <w:rPr>
                <w:rFonts w:asciiTheme="minorHAnsi" w:hAnsiTheme="minorHAnsi" w:cs="Calibri"/>
                <w:sz w:val="22"/>
                <w:szCs w:val="22"/>
              </w:rPr>
              <w:t>(dočasný</w:t>
            </w:r>
            <w:r>
              <w:rPr>
                <w:rFonts w:asciiTheme="minorHAnsi" w:hAnsiTheme="minorHAnsi" w:cs="Calibri"/>
                <w:sz w:val="22"/>
                <w:szCs w:val="22"/>
              </w:rPr>
              <w:t xml:space="preserve"> billboard – po dobu realizace P</w:t>
            </w:r>
            <w:r w:rsidRPr="00F36E99">
              <w:rPr>
                <w:rFonts w:asciiTheme="minorHAnsi" w:hAnsiTheme="minorHAnsi" w:cs="Calibri"/>
                <w:sz w:val="22"/>
                <w:szCs w:val="22"/>
              </w:rPr>
              <w:t>rojektu, stálá pamětní deska/billboard, plakát o minimální velikosti A3, informace na internetové stránce, pokud taková existuje)</w:t>
            </w:r>
            <w:r>
              <w:rPr>
                <w:rFonts w:asciiTheme="minorHAnsi" w:hAnsiTheme="minorHAnsi" w:cs="Calibri"/>
                <w:sz w:val="22"/>
                <w:szCs w:val="22"/>
              </w:rPr>
              <w:t>.</w:t>
            </w:r>
          </w:p>
        </w:tc>
        <w:tc>
          <w:tcPr>
            <w:tcW w:w="4305" w:type="dxa"/>
          </w:tcPr>
          <w:p w14:paraId="5BE32F38" w14:textId="77777777" w:rsidR="00B36130" w:rsidRPr="00F36E99" w:rsidRDefault="00471E1A" w:rsidP="00F65F3C">
            <w:pPr>
              <w:pStyle w:val="Zkladntext"/>
              <w:jc w:val="left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L</w:t>
            </w:r>
            <w:r w:rsidRPr="00F36E99">
              <w:rPr>
                <w:rFonts w:asciiTheme="minorHAnsi" w:hAnsiTheme="minorHAnsi" w:cs="Calibri"/>
                <w:sz w:val="22"/>
                <w:szCs w:val="22"/>
              </w:rPr>
              <w:t>ogo EU (znak EU včetně všech povinných odkazů / textů)</w:t>
            </w:r>
          </w:p>
          <w:p w14:paraId="359770A7" w14:textId="77777777" w:rsidR="00B36130" w:rsidRPr="00F36E99" w:rsidRDefault="00471E1A" w:rsidP="00F65F3C">
            <w:pPr>
              <w:pStyle w:val="Zkladntext"/>
              <w:jc w:val="left"/>
              <w:rPr>
                <w:rFonts w:asciiTheme="minorHAnsi" w:hAnsiTheme="minorHAnsi" w:cs="Calibri"/>
                <w:sz w:val="22"/>
                <w:szCs w:val="22"/>
              </w:rPr>
            </w:pPr>
            <w:r w:rsidRPr="00F36E99">
              <w:rPr>
                <w:rFonts w:asciiTheme="minorHAnsi" w:hAnsiTheme="minorHAnsi" w:cs="Calibri"/>
                <w:sz w:val="22"/>
                <w:szCs w:val="22"/>
              </w:rPr>
              <w:t xml:space="preserve">- název, hlavní cíl operace </w:t>
            </w:r>
          </w:p>
          <w:p w14:paraId="0DC9936F" w14:textId="77777777" w:rsidR="00B36130" w:rsidRDefault="00471E1A" w:rsidP="00F65F3C">
            <w:pPr>
              <w:pStyle w:val="Zkladntext"/>
              <w:jc w:val="left"/>
              <w:rPr>
                <w:rFonts w:asciiTheme="minorHAnsi" w:hAnsiTheme="minorHAnsi" w:cs="Calibri"/>
                <w:sz w:val="22"/>
                <w:szCs w:val="22"/>
              </w:rPr>
            </w:pPr>
            <w:r w:rsidRPr="00F36E99">
              <w:rPr>
                <w:rFonts w:asciiTheme="minorHAnsi" w:hAnsiTheme="minorHAnsi" w:cs="Calibri"/>
                <w:sz w:val="22"/>
                <w:szCs w:val="22"/>
              </w:rPr>
              <w:t>- předepsaný rozměr nástroje</w:t>
            </w:r>
            <w:r>
              <w:rPr>
                <w:rFonts w:asciiTheme="minorHAnsi" w:hAnsiTheme="minorHAnsi" w:cs="Calibri"/>
                <w:sz w:val="22"/>
                <w:szCs w:val="22"/>
              </w:rPr>
              <w:t>.</w:t>
            </w:r>
          </w:p>
          <w:p w14:paraId="0929B7DC" w14:textId="77777777" w:rsidR="00B36130" w:rsidRPr="00F36E99" w:rsidRDefault="00471E1A" w:rsidP="00F65F3C">
            <w:pPr>
              <w:pStyle w:val="Zkladntext"/>
              <w:jc w:val="left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V případě internetových stránek</w:t>
            </w:r>
            <w:r w:rsidRPr="00327C18">
              <w:rPr>
                <w:rFonts w:asciiTheme="minorHAnsi" w:hAnsiTheme="minorHAnsi" w:cs="Calibri"/>
                <w:sz w:val="22"/>
                <w:szCs w:val="22"/>
              </w:rPr>
              <w:t xml:space="preserve">, pokud je žadatel/příjemce vlastní, </w:t>
            </w:r>
            <w:r>
              <w:rPr>
                <w:rFonts w:asciiTheme="minorHAnsi" w:hAnsiTheme="minorHAnsi" w:cs="Calibri"/>
                <w:sz w:val="22"/>
                <w:szCs w:val="22"/>
              </w:rPr>
              <w:t xml:space="preserve">zcela chybí </w:t>
            </w:r>
            <w:r w:rsidRPr="00327C18">
              <w:rPr>
                <w:rFonts w:asciiTheme="minorHAnsi" w:hAnsiTheme="minorHAnsi" w:cs="Calibri"/>
                <w:sz w:val="22"/>
                <w:szCs w:val="22"/>
              </w:rPr>
              <w:t>stručný popis operace úměrný míře podpor</w:t>
            </w:r>
            <w:r>
              <w:rPr>
                <w:rFonts w:asciiTheme="minorHAnsi" w:hAnsiTheme="minorHAnsi" w:cs="Calibri"/>
                <w:sz w:val="22"/>
                <w:szCs w:val="22"/>
              </w:rPr>
              <w:t>y, včetně jejích cílů a zdůraznění</w:t>
            </w:r>
            <w:r w:rsidRPr="00327C18">
              <w:rPr>
                <w:rFonts w:asciiTheme="minorHAnsi" w:hAnsiTheme="minorHAnsi" w:cs="Calibri"/>
                <w:sz w:val="22"/>
                <w:szCs w:val="22"/>
              </w:rPr>
              <w:t>, že je na danou operaci poskytována finanční podpora od Unie.</w:t>
            </w:r>
          </w:p>
        </w:tc>
        <w:tc>
          <w:tcPr>
            <w:tcW w:w="1269" w:type="dxa"/>
          </w:tcPr>
          <w:p w14:paraId="207F1EAF" w14:textId="77777777" w:rsidR="00B36130" w:rsidRPr="00F36E99" w:rsidRDefault="00471E1A" w:rsidP="00F65F3C">
            <w:pPr>
              <w:pStyle w:val="Zkladntext"/>
              <w:rPr>
                <w:rFonts w:asciiTheme="minorHAnsi" w:hAnsiTheme="minorHAnsi" w:cs="Calibri"/>
                <w:sz w:val="22"/>
                <w:szCs w:val="22"/>
              </w:rPr>
            </w:pPr>
            <w:r w:rsidRPr="00F36E99">
              <w:rPr>
                <w:rFonts w:asciiTheme="minorHAnsi" w:hAnsiTheme="minorHAnsi" w:cs="Calibri"/>
                <w:sz w:val="22"/>
                <w:szCs w:val="22"/>
              </w:rPr>
              <w:t>Chybí zcela</w:t>
            </w:r>
          </w:p>
        </w:tc>
        <w:tc>
          <w:tcPr>
            <w:tcW w:w="1650" w:type="dxa"/>
          </w:tcPr>
          <w:p w14:paraId="47C8D60C" w14:textId="77777777" w:rsidR="00B36130" w:rsidRPr="00F36E99" w:rsidRDefault="00471E1A" w:rsidP="00F65F3C">
            <w:pPr>
              <w:pStyle w:val="Zkladntext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F36E99">
              <w:rPr>
                <w:rFonts w:asciiTheme="minorHAnsi" w:hAnsiTheme="minorHAnsi" w:cs="Calibri"/>
                <w:sz w:val="22"/>
                <w:szCs w:val="22"/>
              </w:rPr>
              <w:t>1,2 %</w:t>
            </w:r>
          </w:p>
        </w:tc>
      </w:tr>
      <w:tr w:rsidR="00107CA4" w14:paraId="0ED9A26C" w14:textId="77777777" w:rsidTr="00F65F3C">
        <w:trPr>
          <w:cantSplit/>
          <w:trHeight w:val="496"/>
        </w:trPr>
        <w:tc>
          <w:tcPr>
            <w:tcW w:w="1838" w:type="dxa"/>
            <w:vMerge/>
          </w:tcPr>
          <w:p w14:paraId="690666B5" w14:textId="77777777" w:rsidR="00B36130" w:rsidRPr="00F36E99" w:rsidRDefault="00B36130" w:rsidP="00F65F3C">
            <w:pPr>
              <w:pStyle w:val="Zkladntext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305" w:type="dxa"/>
          </w:tcPr>
          <w:p w14:paraId="31775DF1" w14:textId="6B887DC4" w:rsidR="00B36130" w:rsidRPr="00F36E99" w:rsidRDefault="00471E1A" w:rsidP="004E1606">
            <w:pPr>
              <w:pStyle w:val="Zkladntext"/>
              <w:jc w:val="left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L</w:t>
            </w:r>
            <w:r w:rsidRPr="00F36E99">
              <w:rPr>
                <w:rFonts w:asciiTheme="minorHAnsi" w:hAnsiTheme="minorHAnsi" w:cs="Calibri"/>
                <w:sz w:val="22"/>
                <w:szCs w:val="22"/>
              </w:rPr>
              <w:t>ogo EU (znak EU včetně všech povinných odkazů / textů)</w:t>
            </w:r>
            <w:r>
              <w:rPr>
                <w:rFonts w:asciiTheme="minorHAnsi" w:hAnsiTheme="minorHAnsi" w:cs="Calibri"/>
                <w:sz w:val="22"/>
                <w:szCs w:val="22"/>
              </w:rPr>
              <w:t>.</w:t>
            </w:r>
          </w:p>
        </w:tc>
        <w:tc>
          <w:tcPr>
            <w:tcW w:w="1269" w:type="dxa"/>
            <w:vMerge w:val="restart"/>
          </w:tcPr>
          <w:p w14:paraId="1A358AE6" w14:textId="3EDAD0C9" w:rsidR="00B36130" w:rsidRPr="00F36E99" w:rsidRDefault="00471E1A" w:rsidP="004E1606">
            <w:pPr>
              <w:pStyle w:val="Zkladntext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J</w:t>
            </w:r>
            <w:r w:rsidRPr="00F36E99">
              <w:rPr>
                <w:rFonts w:asciiTheme="minorHAnsi" w:hAnsiTheme="minorHAnsi" w:cs="Calibri"/>
                <w:sz w:val="22"/>
                <w:szCs w:val="22"/>
              </w:rPr>
              <w:t>e uveden</w:t>
            </w:r>
            <w:r>
              <w:rPr>
                <w:rFonts w:asciiTheme="minorHAnsi" w:hAnsiTheme="minorHAnsi" w:cs="Calibri"/>
                <w:sz w:val="22"/>
                <w:szCs w:val="22"/>
              </w:rPr>
              <w:t>o</w:t>
            </w:r>
            <w:r w:rsidRPr="00F36E99">
              <w:rPr>
                <w:rFonts w:asciiTheme="minorHAnsi" w:hAnsiTheme="minorHAnsi" w:cs="Calibri"/>
                <w:sz w:val="22"/>
                <w:szCs w:val="22"/>
              </w:rPr>
              <w:t xml:space="preserve"> chybně</w:t>
            </w:r>
          </w:p>
        </w:tc>
        <w:tc>
          <w:tcPr>
            <w:tcW w:w="1650" w:type="dxa"/>
            <w:vMerge w:val="restart"/>
          </w:tcPr>
          <w:p w14:paraId="131E5CC5" w14:textId="77777777" w:rsidR="00B36130" w:rsidRPr="00F36E99" w:rsidRDefault="00471E1A" w:rsidP="00F65F3C">
            <w:pPr>
              <w:pStyle w:val="Zkladntext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0,8</w:t>
            </w:r>
            <w:r w:rsidRPr="00F36E99">
              <w:rPr>
                <w:rFonts w:asciiTheme="minorHAnsi" w:hAnsiTheme="minorHAnsi" w:cs="Calibri"/>
                <w:sz w:val="22"/>
                <w:szCs w:val="22"/>
              </w:rPr>
              <w:t xml:space="preserve"> %</w:t>
            </w:r>
          </w:p>
        </w:tc>
      </w:tr>
      <w:tr w:rsidR="00107CA4" w14:paraId="048F8E56" w14:textId="77777777" w:rsidTr="00F65F3C">
        <w:trPr>
          <w:cantSplit/>
        </w:trPr>
        <w:tc>
          <w:tcPr>
            <w:tcW w:w="1838" w:type="dxa"/>
            <w:vMerge/>
          </w:tcPr>
          <w:p w14:paraId="4E38CD32" w14:textId="77777777" w:rsidR="00B36130" w:rsidRPr="00F36E99" w:rsidRDefault="00B36130" w:rsidP="00F65F3C">
            <w:pPr>
              <w:pStyle w:val="Zkladntext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305" w:type="dxa"/>
          </w:tcPr>
          <w:p w14:paraId="7424C756" w14:textId="77777777" w:rsidR="00B36130" w:rsidRDefault="00471E1A" w:rsidP="00F65F3C">
            <w:pPr>
              <w:pStyle w:val="Zkladntext"/>
              <w:jc w:val="left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V případě internetových stránek</w:t>
            </w:r>
            <w:r w:rsidRPr="00327C18">
              <w:rPr>
                <w:rFonts w:asciiTheme="minorHAnsi" w:hAnsiTheme="minorHAnsi" w:cs="Calibri"/>
                <w:sz w:val="22"/>
                <w:szCs w:val="22"/>
              </w:rPr>
              <w:t xml:space="preserve">, pokud je žadatel/příjemce vlastní, </w:t>
            </w:r>
            <w:r>
              <w:rPr>
                <w:rFonts w:asciiTheme="minorHAnsi" w:hAnsiTheme="minorHAnsi" w:cs="Calibri"/>
                <w:sz w:val="22"/>
                <w:szCs w:val="22"/>
              </w:rPr>
              <w:t>je chybně nastaven</w:t>
            </w:r>
            <w:r w:rsidRPr="00327C18">
              <w:rPr>
                <w:rFonts w:asciiTheme="minorHAnsi" w:hAnsiTheme="minorHAnsi" w:cs="Calibri"/>
                <w:sz w:val="22"/>
                <w:szCs w:val="22"/>
              </w:rPr>
              <w:t xml:space="preserve"> stručný popis operace úměrný míře podpor</w:t>
            </w:r>
            <w:r>
              <w:rPr>
                <w:rFonts w:asciiTheme="minorHAnsi" w:hAnsiTheme="minorHAnsi" w:cs="Calibri"/>
                <w:sz w:val="22"/>
                <w:szCs w:val="22"/>
              </w:rPr>
              <w:t>y, včetně jejích cílů a zdůraznění</w:t>
            </w:r>
            <w:r w:rsidRPr="00327C18">
              <w:rPr>
                <w:rFonts w:asciiTheme="minorHAnsi" w:hAnsiTheme="minorHAnsi" w:cs="Calibri"/>
                <w:sz w:val="22"/>
                <w:szCs w:val="22"/>
              </w:rPr>
              <w:t>, že je na danou operaci poskytována finanční podpora od Unie.</w:t>
            </w:r>
          </w:p>
        </w:tc>
        <w:tc>
          <w:tcPr>
            <w:tcW w:w="1269" w:type="dxa"/>
            <w:vMerge/>
          </w:tcPr>
          <w:p w14:paraId="420015B8" w14:textId="77777777" w:rsidR="00B36130" w:rsidRDefault="00B36130" w:rsidP="00F65F3C">
            <w:pPr>
              <w:pStyle w:val="Zkladntext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1650" w:type="dxa"/>
            <w:vMerge/>
          </w:tcPr>
          <w:p w14:paraId="184E07D7" w14:textId="77777777" w:rsidR="00B36130" w:rsidRPr="00F36E99" w:rsidRDefault="00B36130" w:rsidP="00F65F3C">
            <w:pPr>
              <w:pStyle w:val="Zkladntext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107CA4" w14:paraId="0629024B" w14:textId="77777777" w:rsidTr="00F65F3C">
        <w:trPr>
          <w:cantSplit/>
        </w:trPr>
        <w:tc>
          <w:tcPr>
            <w:tcW w:w="1838" w:type="dxa"/>
            <w:vMerge/>
          </w:tcPr>
          <w:p w14:paraId="12543ACF" w14:textId="77777777" w:rsidR="00B36130" w:rsidRPr="00F36E99" w:rsidRDefault="00B36130" w:rsidP="00F65F3C">
            <w:pPr>
              <w:pStyle w:val="Zkladntext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305" w:type="dxa"/>
          </w:tcPr>
          <w:p w14:paraId="4460C834" w14:textId="77777777" w:rsidR="00B36130" w:rsidRDefault="00471E1A" w:rsidP="00F65F3C">
            <w:pPr>
              <w:pStyle w:val="Zkladntext"/>
              <w:jc w:val="left"/>
              <w:rPr>
                <w:rFonts w:asciiTheme="minorHAnsi" w:hAnsiTheme="minorHAnsi" w:cs="Calibri"/>
                <w:sz w:val="22"/>
                <w:szCs w:val="22"/>
              </w:rPr>
            </w:pPr>
            <w:r w:rsidRPr="00F36E99">
              <w:rPr>
                <w:rFonts w:asciiTheme="minorHAnsi" w:hAnsiTheme="minorHAnsi" w:cs="Calibri"/>
                <w:sz w:val="22"/>
                <w:szCs w:val="22"/>
              </w:rPr>
              <w:t>Je uvedeno nadbytečné logo</w:t>
            </w:r>
            <w:r>
              <w:rPr>
                <w:rFonts w:asciiTheme="minorHAnsi" w:hAnsiTheme="minorHAnsi" w:cs="Calibri"/>
                <w:sz w:val="22"/>
                <w:szCs w:val="22"/>
              </w:rPr>
              <w:t>.</w:t>
            </w:r>
          </w:p>
        </w:tc>
        <w:tc>
          <w:tcPr>
            <w:tcW w:w="1269" w:type="dxa"/>
          </w:tcPr>
          <w:p w14:paraId="4FED44C9" w14:textId="77777777" w:rsidR="00B36130" w:rsidRPr="00F36E99" w:rsidRDefault="00471E1A" w:rsidP="00F65F3C">
            <w:pPr>
              <w:pStyle w:val="Zkladntext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Je uvedeno nadbytečně</w:t>
            </w:r>
          </w:p>
        </w:tc>
        <w:tc>
          <w:tcPr>
            <w:tcW w:w="1650" w:type="dxa"/>
          </w:tcPr>
          <w:p w14:paraId="5C74C150" w14:textId="77777777" w:rsidR="00B36130" w:rsidRPr="00F36E99" w:rsidRDefault="00471E1A" w:rsidP="00F65F3C">
            <w:pPr>
              <w:pStyle w:val="Zkladntext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F36E99">
              <w:rPr>
                <w:rFonts w:asciiTheme="minorHAnsi" w:hAnsiTheme="minorHAnsi" w:cs="Calibri"/>
                <w:sz w:val="22"/>
                <w:szCs w:val="22"/>
              </w:rPr>
              <w:t>0,1 %</w:t>
            </w:r>
          </w:p>
        </w:tc>
      </w:tr>
    </w:tbl>
    <w:p w14:paraId="6E499DC2" w14:textId="77777777" w:rsidR="00B36130" w:rsidRPr="00B36130" w:rsidRDefault="00471E1A" w:rsidP="001C5827">
      <w:pPr>
        <w:spacing w:before="240" w:after="240"/>
        <w:jc w:val="both"/>
      </w:pPr>
      <w:r w:rsidRPr="00072D05">
        <w:rPr>
          <w:rFonts w:asciiTheme="minorHAnsi" w:hAnsiTheme="minorHAnsi"/>
          <w:szCs w:val="22"/>
        </w:rPr>
        <w:t xml:space="preserve">V případě zjištění více pochybení v rámci každého jednotlivého </w:t>
      </w:r>
      <w:r w:rsidR="00811E15">
        <w:rPr>
          <w:rFonts w:asciiTheme="minorHAnsi" w:hAnsiTheme="minorHAnsi"/>
          <w:szCs w:val="22"/>
        </w:rPr>
        <w:t>povinného nástroje nedochází ke </w:t>
      </w:r>
      <w:r w:rsidRPr="00072D05">
        <w:rPr>
          <w:rFonts w:asciiTheme="minorHAnsi" w:hAnsiTheme="minorHAnsi"/>
          <w:szCs w:val="22"/>
        </w:rPr>
        <w:t xml:space="preserve">sčítání </w:t>
      </w:r>
      <w:r>
        <w:rPr>
          <w:rFonts w:asciiTheme="minorHAnsi" w:hAnsiTheme="minorHAnsi"/>
          <w:szCs w:val="22"/>
        </w:rPr>
        <w:t>nevyplácených částí dotace a bude nevyplacena část dotace odpovídající nejzávažnějšímu pochybení</w:t>
      </w:r>
      <w:r w:rsidRPr="00072D05">
        <w:rPr>
          <w:rFonts w:asciiTheme="minorHAnsi" w:hAnsiTheme="minorHAnsi"/>
          <w:szCs w:val="22"/>
        </w:rPr>
        <w:t xml:space="preserve">. </w:t>
      </w:r>
      <w:r>
        <w:rPr>
          <w:rFonts w:asciiTheme="minorHAnsi" w:hAnsiTheme="minorHAnsi"/>
          <w:szCs w:val="22"/>
        </w:rPr>
        <w:t>Maximální výše nevyplacené části poskytnuté dotace činí 1 mil Kč.</w:t>
      </w:r>
    </w:p>
    <w:p w14:paraId="19360341" w14:textId="77777777" w:rsidR="000B55A9" w:rsidRPr="000B55A9" w:rsidRDefault="00471E1A" w:rsidP="00811E15">
      <w:pPr>
        <w:pStyle w:val="Odstavecseseznamem"/>
        <w:numPr>
          <w:ilvl w:val="2"/>
          <w:numId w:val="4"/>
        </w:numPr>
        <w:spacing w:before="120" w:after="120"/>
        <w:contextualSpacing w:val="0"/>
        <w:jc w:val="both"/>
      </w:pPr>
      <w:r>
        <w:rPr>
          <w:rFonts w:asciiTheme="minorHAnsi" w:hAnsiTheme="minorHAnsi"/>
          <w:szCs w:val="22"/>
        </w:rPr>
        <w:t xml:space="preserve">Porušení povinnosti dle čl. </w:t>
      </w:r>
      <w:r w:rsidR="00C43D76">
        <w:rPr>
          <w:rFonts w:asciiTheme="minorHAnsi" w:hAnsiTheme="minorHAnsi"/>
          <w:szCs w:val="22"/>
        </w:rPr>
        <w:t>6.6.1</w:t>
      </w:r>
      <w:r>
        <w:rPr>
          <w:rFonts w:asciiTheme="minorHAnsi" w:hAnsiTheme="minorHAnsi"/>
          <w:szCs w:val="22"/>
        </w:rPr>
        <w:t xml:space="preserve"> věty první </w:t>
      </w:r>
      <w:r w:rsidRPr="00EF5368">
        <w:rPr>
          <w:rFonts w:asciiTheme="minorHAnsi" w:hAnsiTheme="minorHAnsi"/>
          <w:szCs w:val="22"/>
        </w:rPr>
        <w:t>na některém z </w:t>
      </w:r>
      <w:r>
        <w:rPr>
          <w:rFonts w:asciiTheme="minorHAnsi" w:hAnsiTheme="minorHAnsi"/>
          <w:szCs w:val="22"/>
        </w:rPr>
        <w:t>ne</w:t>
      </w:r>
      <w:r w:rsidRPr="00EF5368">
        <w:rPr>
          <w:rFonts w:asciiTheme="minorHAnsi" w:hAnsiTheme="minorHAnsi"/>
          <w:szCs w:val="22"/>
        </w:rPr>
        <w:t xml:space="preserve">povinných nástrojů bude </w:t>
      </w:r>
      <w:r>
        <w:rPr>
          <w:rFonts w:asciiTheme="minorHAnsi" w:hAnsiTheme="minorHAnsi"/>
          <w:szCs w:val="22"/>
        </w:rPr>
        <w:t>mít z</w:t>
      </w:r>
      <w:r w:rsidR="00811E15">
        <w:rPr>
          <w:rFonts w:asciiTheme="minorHAnsi" w:hAnsiTheme="minorHAnsi"/>
          <w:szCs w:val="22"/>
        </w:rPr>
        <w:t>a </w:t>
      </w:r>
      <w:r>
        <w:rPr>
          <w:rFonts w:asciiTheme="minorHAnsi" w:hAnsiTheme="minorHAnsi"/>
          <w:szCs w:val="22"/>
        </w:rPr>
        <w:t>následek nevyplacení části dotace dle tabulky níže: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1"/>
        <w:gridCol w:w="3352"/>
        <w:gridCol w:w="1330"/>
        <w:gridCol w:w="1358"/>
      </w:tblGrid>
      <w:tr w:rsidR="00107CA4" w14:paraId="437300F6" w14:textId="77777777" w:rsidTr="00F65F3C">
        <w:trPr>
          <w:cantSplit/>
        </w:trPr>
        <w:tc>
          <w:tcPr>
            <w:tcW w:w="0" w:type="auto"/>
            <w:shd w:val="clear" w:color="auto" w:fill="F2F2F2" w:themeFill="background1" w:themeFillShade="F2"/>
            <w:vAlign w:val="center"/>
          </w:tcPr>
          <w:p w14:paraId="48279E1E" w14:textId="77777777" w:rsidR="000B55A9" w:rsidRPr="00F36E99" w:rsidRDefault="00471E1A" w:rsidP="00F65F3C">
            <w:pPr>
              <w:pStyle w:val="Zkladntext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F36E99">
              <w:rPr>
                <w:rFonts w:asciiTheme="minorHAnsi" w:hAnsiTheme="minorHAnsi" w:cs="Calibri"/>
                <w:sz w:val="22"/>
                <w:szCs w:val="22"/>
              </w:rPr>
              <w:t>Nástroj publicity</w:t>
            </w:r>
          </w:p>
        </w:tc>
        <w:tc>
          <w:tcPr>
            <w:tcW w:w="3352" w:type="dxa"/>
            <w:shd w:val="clear" w:color="auto" w:fill="F2F2F2" w:themeFill="background1" w:themeFillShade="F2"/>
            <w:vAlign w:val="center"/>
          </w:tcPr>
          <w:p w14:paraId="32E9C602" w14:textId="77777777" w:rsidR="000B55A9" w:rsidRPr="00F36E99" w:rsidRDefault="00471E1A" w:rsidP="00F65F3C">
            <w:pPr>
              <w:pStyle w:val="Zkladntext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F36E99">
              <w:rPr>
                <w:rFonts w:asciiTheme="minorHAnsi" w:hAnsiTheme="minorHAnsi" w:cs="Calibri"/>
                <w:sz w:val="22"/>
                <w:szCs w:val="22"/>
              </w:rPr>
              <w:t>Pochybení</w:t>
            </w:r>
          </w:p>
        </w:tc>
        <w:tc>
          <w:tcPr>
            <w:tcW w:w="1330" w:type="dxa"/>
            <w:shd w:val="clear" w:color="auto" w:fill="F2F2F2" w:themeFill="background1" w:themeFillShade="F2"/>
            <w:vAlign w:val="center"/>
          </w:tcPr>
          <w:p w14:paraId="4D5DFDC9" w14:textId="77777777" w:rsidR="000B55A9" w:rsidRPr="00F36E99" w:rsidRDefault="00471E1A" w:rsidP="00F65F3C">
            <w:pPr>
              <w:pStyle w:val="Zkladntext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F36E99">
              <w:rPr>
                <w:rFonts w:asciiTheme="minorHAnsi" w:hAnsiTheme="minorHAnsi" w:cs="Calibri"/>
                <w:sz w:val="22"/>
                <w:szCs w:val="22"/>
              </w:rPr>
              <w:t>Úroveň pochybení</w:t>
            </w:r>
          </w:p>
        </w:tc>
        <w:tc>
          <w:tcPr>
            <w:tcW w:w="1358" w:type="dxa"/>
            <w:shd w:val="clear" w:color="auto" w:fill="F2F2F2" w:themeFill="background1" w:themeFillShade="F2"/>
            <w:vAlign w:val="center"/>
          </w:tcPr>
          <w:p w14:paraId="29DDF7AA" w14:textId="77777777" w:rsidR="000B55A9" w:rsidRPr="00F36E99" w:rsidRDefault="00471E1A" w:rsidP="00F65F3C">
            <w:pPr>
              <w:pStyle w:val="Zkladntext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F36E99">
              <w:rPr>
                <w:rFonts w:asciiTheme="minorHAnsi" w:hAnsiTheme="minorHAnsi" w:cs="Calibri"/>
                <w:sz w:val="22"/>
                <w:szCs w:val="22"/>
              </w:rPr>
              <w:t>Výše sankce z poskytnuté dotace</w:t>
            </w:r>
          </w:p>
        </w:tc>
      </w:tr>
      <w:tr w:rsidR="00107CA4" w14:paraId="543CA6F3" w14:textId="77777777" w:rsidTr="00F65F3C">
        <w:trPr>
          <w:cantSplit/>
        </w:trPr>
        <w:tc>
          <w:tcPr>
            <w:tcW w:w="0" w:type="auto"/>
            <w:vMerge w:val="restart"/>
          </w:tcPr>
          <w:p w14:paraId="2DF8ACCB" w14:textId="77777777" w:rsidR="000B55A9" w:rsidRPr="00F36E99" w:rsidRDefault="00471E1A" w:rsidP="000B55A9">
            <w:pPr>
              <w:pStyle w:val="Zkladntext"/>
              <w:jc w:val="left"/>
              <w:rPr>
                <w:rFonts w:asciiTheme="minorHAnsi" w:hAnsiTheme="minorHAnsi" w:cs="Calibri"/>
                <w:sz w:val="22"/>
                <w:szCs w:val="22"/>
              </w:rPr>
            </w:pPr>
            <w:r w:rsidRPr="00F36E99">
              <w:rPr>
                <w:rFonts w:asciiTheme="minorHAnsi" w:hAnsiTheme="minorHAnsi" w:cs="Calibri"/>
                <w:sz w:val="22"/>
                <w:szCs w:val="22"/>
              </w:rPr>
              <w:t>Nepovinné nástroje</w:t>
            </w:r>
          </w:p>
          <w:p w14:paraId="3809AFE7" w14:textId="77777777" w:rsidR="000B55A9" w:rsidRPr="00F36E99" w:rsidRDefault="00471E1A" w:rsidP="000B55A9">
            <w:pPr>
              <w:pStyle w:val="Zkladntext"/>
              <w:jc w:val="left"/>
              <w:rPr>
                <w:rFonts w:asciiTheme="minorHAnsi" w:hAnsiTheme="minorHAnsi" w:cs="Calibri"/>
                <w:sz w:val="22"/>
                <w:szCs w:val="22"/>
              </w:rPr>
            </w:pPr>
            <w:r w:rsidRPr="00F36E99">
              <w:rPr>
                <w:rFonts w:asciiTheme="minorHAnsi" w:hAnsiTheme="minorHAnsi" w:cs="Calibri"/>
                <w:sz w:val="22"/>
                <w:szCs w:val="22"/>
              </w:rPr>
              <w:t>(komunikační nástroje a aktivity nespadající do povinných nástrojů)</w:t>
            </w:r>
          </w:p>
        </w:tc>
        <w:tc>
          <w:tcPr>
            <w:tcW w:w="3352" w:type="dxa"/>
          </w:tcPr>
          <w:p w14:paraId="66AE07AF" w14:textId="77777777" w:rsidR="000B55A9" w:rsidRPr="00F36E99" w:rsidRDefault="00471E1A" w:rsidP="00F65F3C">
            <w:pPr>
              <w:pStyle w:val="Zkladntext"/>
              <w:jc w:val="left"/>
              <w:rPr>
                <w:rFonts w:asciiTheme="minorHAnsi" w:hAnsiTheme="minorHAnsi" w:cs="Calibri"/>
                <w:sz w:val="22"/>
                <w:szCs w:val="22"/>
              </w:rPr>
            </w:pPr>
            <w:r w:rsidRPr="00F36E99">
              <w:rPr>
                <w:rFonts w:asciiTheme="minorHAnsi" w:hAnsiTheme="minorHAnsi" w:cs="Calibri"/>
                <w:sz w:val="22"/>
                <w:szCs w:val="22"/>
              </w:rPr>
              <w:t>Logo EU</w:t>
            </w:r>
          </w:p>
          <w:p w14:paraId="3D69AB74" w14:textId="77777777" w:rsidR="000B55A9" w:rsidRPr="00F36E99" w:rsidRDefault="00471E1A" w:rsidP="00F65F3C">
            <w:pPr>
              <w:pStyle w:val="Zkladntext"/>
              <w:jc w:val="left"/>
              <w:rPr>
                <w:rFonts w:asciiTheme="minorHAnsi" w:hAnsiTheme="minorHAnsi" w:cs="Calibri"/>
                <w:sz w:val="22"/>
                <w:szCs w:val="22"/>
              </w:rPr>
            </w:pPr>
            <w:r w:rsidRPr="00F36E99">
              <w:rPr>
                <w:rFonts w:asciiTheme="minorHAnsi" w:hAnsiTheme="minorHAnsi" w:cs="Calibri"/>
                <w:sz w:val="22"/>
                <w:szCs w:val="22"/>
              </w:rPr>
              <w:t>(znak EU včetně všech povinných odkazů / textů)</w:t>
            </w:r>
            <w:r>
              <w:rPr>
                <w:rFonts w:asciiTheme="minorHAnsi" w:hAnsiTheme="minorHAnsi" w:cs="Calibri"/>
                <w:sz w:val="22"/>
                <w:szCs w:val="22"/>
              </w:rPr>
              <w:t>.</w:t>
            </w:r>
          </w:p>
        </w:tc>
        <w:tc>
          <w:tcPr>
            <w:tcW w:w="1330" w:type="dxa"/>
          </w:tcPr>
          <w:p w14:paraId="19E343AE" w14:textId="77777777" w:rsidR="000B55A9" w:rsidRPr="00F36E99" w:rsidRDefault="00471E1A" w:rsidP="00F65F3C">
            <w:pPr>
              <w:pStyle w:val="Zkladntext"/>
              <w:rPr>
                <w:rFonts w:asciiTheme="minorHAnsi" w:hAnsiTheme="minorHAnsi" w:cs="Calibri"/>
                <w:sz w:val="22"/>
                <w:szCs w:val="22"/>
              </w:rPr>
            </w:pPr>
            <w:r w:rsidRPr="00F36E99">
              <w:rPr>
                <w:rFonts w:asciiTheme="minorHAnsi" w:hAnsiTheme="minorHAnsi" w:cs="Calibri"/>
                <w:sz w:val="22"/>
                <w:szCs w:val="22"/>
              </w:rPr>
              <w:t>Chybí zcela</w:t>
            </w:r>
          </w:p>
        </w:tc>
        <w:tc>
          <w:tcPr>
            <w:tcW w:w="1358" w:type="dxa"/>
          </w:tcPr>
          <w:p w14:paraId="3EA82914" w14:textId="77777777" w:rsidR="000B55A9" w:rsidRPr="00F36E99" w:rsidRDefault="00471E1A" w:rsidP="00F65F3C">
            <w:pPr>
              <w:pStyle w:val="Zkladntext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F36E99">
              <w:rPr>
                <w:rFonts w:asciiTheme="minorHAnsi" w:hAnsiTheme="minorHAnsi" w:cs="Calibri"/>
                <w:sz w:val="22"/>
                <w:szCs w:val="22"/>
              </w:rPr>
              <w:t>0,6 %</w:t>
            </w:r>
          </w:p>
        </w:tc>
      </w:tr>
      <w:tr w:rsidR="00107CA4" w14:paraId="78329927" w14:textId="77777777" w:rsidTr="00F65F3C">
        <w:trPr>
          <w:cantSplit/>
        </w:trPr>
        <w:tc>
          <w:tcPr>
            <w:tcW w:w="0" w:type="auto"/>
            <w:vMerge/>
          </w:tcPr>
          <w:p w14:paraId="35DDAB71" w14:textId="77777777" w:rsidR="000B55A9" w:rsidRPr="00F36E99" w:rsidRDefault="000B55A9" w:rsidP="00F65F3C">
            <w:pPr>
              <w:pStyle w:val="Zkladntext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3352" w:type="dxa"/>
          </w:tcPr>
          <w:p w14:paraId="1406EEDC" w14:textId="77777777" w:rsidR="000B55A9" w:rsidRPr="00F36E99" w:rsidRDefault="00471E1A" w:rsidP="00F65F3C">
            <w:pPr>
              <w:pStyle w:val="Zkladntext"/>
              <w:jc w:val="left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L</w:t>
            </w:r>
            <w:r w:rsidRPr="00F36E99">
              <w:rPr>
                <w:rFonts w:asciiTheme="minorHAnsi" w:hAnsiTheme="minorHAnsi" w:cs="Calibri"/>
                <w:sz w:val="22"/>
                <w:szCs w:val="22"/>
              </w:rPr>
              <w:t>ogo EU (znak EU včetně všech povinných odkazů / textů)</w:t>
            </w:r>
            <w:r>
              <w:rPr>
                <w:rFonts w:asciiTheme="minorHAnsi" w:hAnsiTheme="minorHAnsi" w:cs="Calibri"/>
                <w:sz w:val="22"/>
                <w:szCs w:val="22"/>
              </w:rPr>
              <w:t>.</w:t>
            </w:r>
          </w:p>
        </w:tc>
        <w:tc>
          <w:tcPr>
            <w:tcW w:w="1330" w:type="dxa"/>
          </w:tcPr>
          <w:p w14:paraId="69063B78" w14:textId="77777777" w:rsidR="000B55A9" w:rsidRPr="00F36E99" w:rsidRDefault="00471E1A" w:rsidP="00F65F3C">
            <w:pPr>
              <w:pStyle w:val="Zkladntext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J</w:t>
            </w:r>
            <w:r w:rsidRPr="00F36E99">
              <w:rPr>
                <w:rFonts w:asciiTheme="minorHAnsi" w:hAnsiTheme="minorHAnsi" w:cs="Calibri"/>
                <w:sz w:val="22"/>
                <w:szCs w:val="22"/>
              </w:rPr>
              <w:t>e uveden</w:t>
            </w:r>
            <w:r>
              <w:rPr>
                <w:rFonts w:asciiTheme="minorHAnsi" w:hAnsiTheme="minorHAnsi" w:cs="Calibri"/>
                <w:sz w:val="22"/>
                <w:szCs w:val="22"/>
              </w:rPr>
              <w:t>o</w:t>
            </w:r>
            <w:r w:rsidRPr="00F36E99">
              <w:rPr>
                <w:rFonts w:asciiTheme="minorHAnsi" w:hAnsiTheme="minorHAnsi" w:cs="Calibri"/>
                <w:sz w:val="22"/>
                <w:szCs w:val="22"/>
              </w:rPr>
              <w:t xml:space="preserve"> chybně</w:t>
            </w:r>
          </w:p>
          <w:p w14:paraId="2F246AB9" w14:textId="77777777" w:rsidR="000B55A9" w:rsidRPr="00F36E99" w:rsidRDefault="000B55A9" w:rsidP="00F65F3C">
            <w:pPr>
              <w:pStyle w:val="Zkladntext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1358" w:type="dxa"/>
          </w:tcPr>
          <w:p w14:paraId="231F05EA" w14:textId="77777777" w:rsidR="000B55A9" w:rsidRPr="00F36E99" w:rsidRDefault="00471E1A" w:rsidP="00F65F3C">
            <w:pPr>
              <w:pStyle w:val="Zkladntext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F36E99">
              <w:rPr>
                <w:rFonts w:asciiTheme="minorHAnsi" w:hAnsiTheme="minorHAnsi" w:cs="Calibri"/>
                <w:sz w:val="22"/>
                <w:szCs w:val="22"/>
              </w:rPr>
              <w:t>0,4 %</w:t>
            </w:r>
          </w:p>
        </w:tc>
      </w:tr>
    </w:tbl>
    <w:p w14:paraId="482A6162" w14:textId="77777777" w:rsidR="000B55A9" w:rsidRPr="000B55A9" w:rsidRDefault="00471E1A" w:rsidP="001C5827">
      <w:pPr>
        <w:spacing w:before="240" w:after="240"/>
        <w:jc w:val="both"/>
      </w:pPr>
      <w:r w:rsidRPr="00072D05">
        <w:rPr>
          <w:rFonts w:asciiTheme="minorHAnsi" w:hAnsiTheme="minorHAnsi"/>
          <w:szCs w:val="22"/>
        </w:rPr>
        <w:t xml:space="preserve">V případě zjištění více pochybení v rámci každého jednotlivého </w:t>
      </w:r>
      <w:r>
        <w:rPr>
          <w:rFonts w:asciiTheme="minorHAnsi" w:hAnsiTheme="minorHAnsi"/>
          <w:szCs w:val="22"/>
        </w:rPr>
        <w:t>ne</w:t>
      </w:r>
      <w:r w:rsidR="00811E15">
        <w:rPr>
          <w:rFonts w:asciiTheme="minorHAnsi" w:hAnsiTheme="minorHAnsi"/>
          <w:szCs w:val="22"/>
        </w:rPr>
        <w:t>povinného nástroje nedochází ke </w:t>
      </w:r>
      <w:r w:rsidRPr="00072D05">
        <w:rPr>
          <w:rFonts w:asciiTheme="minorHAnsi" w:hAnsiTheme="minorHAnsi"/>
          <w:szCs w:val="22"/>
        </w:rPr>
        <w:t xml:space="preserve">sčítání </w:t>
      </w:r>
      <w:r>
        <w:rPr>
          <w:rFonts w:asciiTheme="minorHAnsi" w:hAnsiTheme="minorHAnsi"/>
          <w:szCs w:val="22"/>
        </w:rPr>
        <w:t>nevyplácených částí dotace a bude nevyplacena část dotace odpovídající nejzávažnějšímu pochybení</w:t>
      </w:r>
      <w:r w:rsidRPr="00072D05">
        <w:rPr>
          <w:rFonts w:asciiTheme="minorHAnsi" w:hAnsiTheme="minorHAnsi"/>
          <w:szCs w:val="22"/>
        </w:rPr>
        <w:t xml:space="preserve">. </w:t>
      </w:r>
      <w:r>
        <w:rPr>
          <w:rFonts w:asciiTheme="minorHAnsi" w:hAnsiTheme="minorHAnsi"/>
          <w:szCs w:val="22"/>
        </w:rPr>
        <w:t>Maximální výše nevyplacené části poskytnuté dotace činí 1 mil Kč.</w:t>
      </w:r>
    </w:p>
    <w:p w14:paraId="1CE6BBF4" w14:textId="77777777" w:rsidR="000B55A9" w:rsidRPr="000B55A9" w:rsidRDefault="00471E1A" w:rsidP="00D87A31">
      <w:pPr>
        <w:pStyle w:val="Odstavecseseznamem"/>
        <w:numPr>
          <w:ilvl w:val="1"/>
          <w:numId w:val="4"/>
        </w:numPr>
        <w:spacing w:before="120" w:after="120"/>
        <w:contextualSpacing w:val="0"/>
        <w:rPr>
          <w:b/>
        </w:rPr>
      </w:pPr>
      <w:r w:rsidRPr="000B55A9">
        <w:rPr>
          <w:b/>
        </w:rPr>
        <w:t>Zprávy o realizaci a udržitelnosti Projektu</w:t>
      </w:r>
    </w:p>
    <w:p w14:paraId="5AC540D4" w14:textId="77777777" w:rsidR="000B55A9" w:rsidRPr="000B55A9" w:rsidRDefault="00471E1A" w:rsidP="001C5827">
      <w:pPr>
        <w:pStyle w:val="Odstavecseseznamem"/>
        <w:numPr>
          <w:ilvl w:val="2"/>
          <w:numId w:val="4"/>
        </w:numPr>
        <w:spacing w:before="120" w:after="120"/>
        <w:contextualSpacing w:val="0"/>
        <w:jc w:val="both"/>
      </w:pPr>
      <w:r w:rsidRPr="00044011">
        <w:rPr>
          <w:rFonts w:asciiTheme="minorHAnsi" w:hAnsiTheme="minorHAnsi"/>
          <w:szCs w:val="22"/>
        </w:rPr>
        <w:t>Příjemce je povinen předkládat poskytovateli dotace prostřednictvím informačního systému pravdivé a úplné informace o průběhu realizace</w:t>
      </w:r>
      <w:r>
        <w:rPr>
          <w:rFonts w:asciiTheme="minorHAnsi" w:hAnsiTheme="minorHAnsi"/>
          <w:szCs w:val="22"/>
        </w:rPr>
        <w:t xml:space="preserve"> P</w:t>
      </w:r>
      <w:r w:rsidRPr="00044011">
        <w:rPr>
          <w:rFonts w:asciiTheme="minorHAnsi" w:hAnsiTheme="minorHAnsi"/>
          <w:szCs w:val="22"/>
        </w:rPr>
        <w:t>rojektu a údaje nutné pro sledování hodnot indikátorů a umožnit tak poskytovateli průbě</w:t>
      </w:r>
      <w:r>
        <w:rPr>
          <w:rFonts w:asciiTheme="minorHAnsi" w:hAnsiTheme="minorHAnsi"/>
          <w:szCs w:val="22"/>
        </w:rPr>
        <w:t>žné sledování vývoje a přínosů P</w:t>
      </w:r>
      <w:r w:rsidRPr="00044011">
        <w:rPr>
          <w:rFonts w:asciiTheme="minorHAnsi" w:hAnsiTheme="minorHAnsi"/>
          <w:szCs w:val="22"/>
        </w:rPr>
        <w:t>rojektu</w:t>
      </w:r>
      <w:r>
        <w:rPr>
          <w:rFonts w:asciiTheme="minorHAnsi" w:hAnsiTheme="minorHAnsi"/>
          <w:szCs w:val="22"/>
        </w:rPr>
        <w:t>.</w:t>
      </w:r>
    </w:p>
    <w:p w14:paraId="5C54DFE7" w14:textId="77777777" w:rsidR="000B55A9" w:rsidRPr="000B55A9" w:rsidRDefault="00471E1A" w:rsidP="001C5827">
      <w:pPr>
        <w:pStyle w:val="Odstavecseseznamem"/>
        <w:numPr>
          <w:ilvl w:val="2"/>
          <w:numId w:val="4"/>
        </w:numPr>
        <w:spacing w:before="120" w:after="120"/>
        <w:contextualSpacing w:val="0"/>
        <w:jc w:val="both"/>
      </w:pPr>
      <w:r w:rsidRPr="00044011">
        <w:rPr>
          <w:rFonts w:asciiTheme="minorHAnsi" w:hAnsiTheme="minorHAnsi"/>
          <w:szCs w:val="22"/>
        </w:rPr>
        <w:t>Příjemce je povinen u více etapových projektů předkládat poskytovateli dotace</w:t>
      </w:r>
      <w:r>
        <w:rPr>
          <w:rFonts w:asciiTheme="minorHAnsi" w:hAnsiTheme="minorHAnsi"/>
          <w:szCs w:val="22"/>
        </w:rPr>
        <w:t xml:space="preserve"> informace o </w:t>
      </w:r>
      <w:r w:rsidRPr="00044011">
        <w:rPr>
          <w:rFonts w:asciiTheme="minorHAnsi" w:hAnsiTheme="minorHAnsi"/>
          <w:szCs w:val="22"/>
        </w:rPr>
        <w:t>realizaci</w:t>
      </w:r>
      <w:r>
        <w:rPr>
          <w:rFonts w:asciiTheme="minorHAnsi" w:hAnsiTheme="minorHAnsi"/>
          <w:szCs w:val="22"/>
        </w:rPr>
        <w:t xml:space="preserve"> P</w:t>
      </w:r>
      <w:r w:rsidRPr="00044011">
        <w:rPr>
          <w:rFonts w:asciiTheme="minorHAnsi" w:hAnsiTheme="minorHAnsi"/>
          <w:szCs w:val="22"/>
        </w:rPr>
        <w:t xml:space="preserve">rojektu prostřednictvím zpráv o průběhu realizace. </w:t>
      </w:r>
      <w:r>
        <w:rPr>
          <w:rFonts w:asciiTheme="minorHAnsi" w:hAnsiTheme="minorHAnsi"/>
          <w:szCs w:val="22"/>
        </w:rPr>
        <w:t>Termíny pro předkládání zpráv o </w:t>
      </w:r>
      <w:r w:rsidRPr="00044011">
        <w:rPr>
          <w:rFonts w:asciiTheme="minorHAnsi" w:hAnsiTheme="minorHAnsi"/>
          <w:szCs w:val="22"/>
        </w:rPr>
        <w:t>průběhu realizace uvedené v Harmonogramu zpráv v informačním systé</w:t>
      </w:r>
      <w:r w:rsidR="00811E15">
        <w:rPr>
          <w:rFonts w:asciiTheme="minorHAnsi" w:hAnsiTheme="minorHAnsi"/>
          <w:szCs w:val="22"/>
        </w:rPr>
        <w:t>mu jsou pro </w:t>
      </w:r>
      <w:r w:rsidRPr="00044011">
        <w:rPr>
          <w:rFonts w:asciiTheme="minorHAnsi" w:hAnsiTheme="minorHAnsi"/>
          <w:szCs w:val="22"/>
        </w:rPr>
        <w:t>příjemce doporučené. Zpráva předkládaná při poslední etapě Projektu musí obsahovat závěrečné vyhodnocení Projektu včetně uvedení dosažených hodnot indikátorů povinných k naplnění a povinných k výběru. Předlože</w:t>
      </w:r>
      <w:r>
        <w:rPr>
          <w:rFonts w:asciiTheme="minorHAnsi" w:hAnsiTheme="minorHAnsi"/>
          <w:szCs w:val="22"/>
        </w:rPr>
        <w:t>ní zpráv</w:t>
      </w:r>
      <w:r w:rsidRPr="00044011">
        <w:rPr>
          <w:rFonts w:asciiTheme="minorHAnsi" w:hAnsiTheme="minorHAnsi"/>
          <w:szCs w:val="22"/>
        </w:rPr>
        <w:t xml:space="preserve"> je povinností dle ust. § 14 odst. 4 písm. j) rozpočtových pravidel</w:t>
      </w:r>
      <w:r>
        <w:rPr>
          <w:rFonts w:asciiTheme="minorHAnsi" w:hAnsiTheme="minorHAnsi"/>
          <w:szCs w:val="22"/>
        </w:rPr>
        <w:t>.</w:t>
      </w:r>
    </w:p>
    <w:p w14:paraId="3F1E876C" w14:textId="77777777" w:rsidR="000B55A9" w:rsidRPr="000B55A9" w:rsidRDefault="00471E1A" w:rsidP="001C5827">
      <w:pPr>
        <w:pStyle w:val="Odstavecseseznamem"/>
        <w:numPr>
          <w:ilvl w:val="2"/>
          <w:numId w:val="4"/>
        </w:numPr>
        <w:spacing w:before="120" w:after="120"/>
        <w:contextualSpacing w:val="0"/>
        <w:jc w:val="both"/>
      </w:pPr>
      <w:bookmarkStart w:id="21" w:name="_Ref39651484"/>
      <w:r w:rsidRPr="00044011">
        <w:rPr>
          <w:rFonts w:asciiTheme="minorHAnsi" w:hAnsiTheme="minorHAnsi"/>
          <w:szCs w:val="22"/>
        </w:rPr>
        <w:t>Příjemce je povinen předkládat poskytovateli po ukončení Projektu zprávy obsahující údaje</w:t>
      </w:r>
      <w:r>
        <w:rPr>
          <w:rFonts w:asciiTheme="minorHAnsi" w:hAnsiTheme="minorHAnsi"/>
          <w:szCs w:val="22"/>
        </w:rPr>
        <w:t xml:space="preserve"> o vývoji indikátoru/ů</w:t>
      </w:r>
      <w:r w:rsidRPr="00044011">
        <w:rPr>
          <w:rFonts w:asciiTheme="minorHAnsi" w:hAnsiTheme="minorHAnsi"/>
          <w:szCs w:val="22"/>
        </w:rPr>
        <w:t xml:space="preserve">. Termíny pro předkládání zpráv po ukončení Projektu jsou uvedeny v Harmonogramu zpráv v informačním systému a jsou pro příjemce závazné. Příjemce je povinen podávat tyto zprávy ve struktuře dle informačního systému a spolu s nimi musí příjemce dodat i </w:t>
      </w:r>
      <w:r>
        <w:rPr>
          <w:rFonts w:asciiTheme="minorHAnsi" w:hAnsiTheme="minorHAnsi"/>
          <w:szCs w:val="22"/>
        </w:rPr>
        <w:t>přílohy stanovené tímto Rozhodnutím a jeho přílohami</w:t>
      </w:r>
      <w:r w:rsidRPr="00044011">
        <w:rPr>
          <w:rFonts w:asciiTheme="minorHAnsi" w:hAnsiTheme="minorHAnsi"/>
          <w:szCs w:val="22"/>
        </w:rPr>
        <w:t xml:space="preserve">. Příjemce může prostřednictvím informačního systému požádat </w:t>
      </w:r>
      <w:r>
        <w:rPr>
          <w:rFonts w:asciiTheme="minorHAnsi" w:hAnsiTheme="minorHAnsi"/>
          <w:szCs w:val="22"/>
        </w:rPr>
        <w:t xml:space="preserve">ve smyslu ust. §14o rozpočtových pravidel </w:t>
      </w:r>
      <w:r w:rsidR="00811E15">
        <w:rPr>
          <w:rFonts w:asciiTheme="minorHAnsi" w:hAnsiTheme="minorHAnsi"/>
          <w:szCs w:val="22"/>
        </w:rPr>
        <w:t>o </w:t>
      </w:r>
      <w:r w:rsidRPr="00044011">
        <w:rPr>
          <w:rFonts w:asciiTheme="minorHAnsi" w:hAnsiTheme="minorHAnsi"/>
          <w:szCs w:val="22"/>
        </w:rPr>
        <w:t>prodloužení lhůty k podání této zprávy</w:t>
      </w:r>
      <w:r>
        <w:rPr>
          <w:rFonts w:asciiTheme="minorHAnsi" w:hAnsiTheme="minorHAnsi"/>
          <w:szCs w:val="22"/>
        </w:rPr>
        <w:t xml:space="preserve"> v soula</w:t>
      </w:r>
      <w:r w:rsidRPr="007F4CAD">
        <w:rPr>
          <w:rFonts w:asciiTheme="minorHAnsi" w:hAnsiTheme="minorHAnsi"/>
          <w:szCs w:val="22"/>
        </w:rPr>
        <w:t xml:space="preserve">du s čl. </w:t>
      </w:r>
      <w:r w:rsidR="00C43D76">
        <w:rPr>
          <w:rFonts w:asciiTheme="minorHAnsi" w:hAnsiTheme="minorHAnsi"/>
          <w:szCs w:val="22"/>
        </w:rPr>
        <w:t>5.1</w:t>
      </w:r>
      <w:r w:rsidR="007F4CAD">
        <w:rPr>
          <w:rFonts w:asciiTheme="minorHAnsi" w:hAnsiTheme="minorHAnsi"/>
          <w:szCs w:val="22"/>
        </w:rPr>
        <w:t xml:space="preserve"> </w:t>
      </w:r>
      <w:r w:rsidRPr="007F4CAD">
        <w:rPr>
          <w:rFonts w:asciiTheme="minorHAnsi" w:hAnsiTheme="minorHAnsi"/>
          <w:szCs w:val="22"/>
        </w:rPr>
        <w:t>tohoto</w:t>
      </w:r>
      <w:r>
        <w:rPr>
          <w:rFonts w:asciiTheme="minorHAnsi" w:hAnsiTheme="minorHAnsi"/>
          <w:szCs w:val="22"/>
        </w:rPr>
        <w:t xml:space="preserve"> Rozhodnutí</w:t>
      </w:r>
      <w:r w:rsidRPr="00044011">
        <w:rPr>
          <w:rFonts w:asciiTheme="minorHAnsi" w:hAnsiTheme="minorHAnsi"/>
          <w:szCs w:val="22"/>
        </w:rPr>
        <w:t xml:space="preserve">. </w:t>
      </w:r>
      <w:r>
        <w:rPr>
          <w:rFonts w:asciiTheme="minorHAnsi" w:hAnsiTheme="minorHAnsi"/>
          <w:szCs w:val="22"/>
        </w:rPr>
        <w:t>Lhůta může být prodloužena maximálně o 20 pracovních dní.</w:t>
      </w:r>
      <w:bookmarkEnd w:id="21"/>
    </w:p>
    <w:p w14:paraId="113E004C" w14:textId="77777777" w:rsidR="000B55A9" w:rsidRPr="001C5827" w:rsidRDefault="00471E1A" w:rsidP="001C5827">
      <w:pPr>
        <w:pStyle w:val="Odstavecseseznamem"/>
        <w:numPr>
          <w:ilvl w:val="2"/>
          <w:numId w:val="4"/>
        </w:numPr>
        <w:spacing w:before="120" w:after="120"/>
        <w:contextualSpacing w:val="0"/>
        <w:jc w:val="both"/>
      </w:pPr>
      <w:r>
        <w:rPr>
          <w:rFonts w:asciiTheme="minorHAnsi" w:hAnsiTheme="minorHAnsi"/>
          <w:szCs w:val="22"/>
        </w:rPr>
        <w:t>Porušení povinnosti dle čl.</w:t>
      </w:r>
      <w:r w:rsidRPr="00044011">
        <w:rPr>
          <w:rFonts w:asciiTheme="minorHAnsi" w:hAnsiTheme="minorHAnsi"/>
          <w:szCs w:val="22"/>
        </w:rPr>
        <w:t xml:space="preserve"> </w:t>
      </w:r>
      <w:r w:rsidR="00C43D76">
        <w:rPr>
          <w:rFonts w:asciiTheme="minorHAnsi" w:hAnsiTheme="minorHAnsi"/>
          <w:szCs w:val="22"/>
        </w:rPr>
        <w:t>6.7.3</w:t>
      </w:r>
      <w:r w:rsidRPr="00044011">
        <w:rPr>
          <w:rFonts w:asciiTheme="minorHAnsi" w:hAnsiTheme="minorHAnsi"/>
          <w:szCs w:val="22"/>
        </w:rPr>
        <w:t xml:space="preserve"> bude postiženo </w:t>
      </w:r>
      <w:r>
        <w:rPr>
          <w:rFonts w:asciiTheme="minorHAnsi" w:hAnsiTheme="minorHAnsi"/>
          <w:szCs w:val="22"/>
        </w:rPr>
        <w:t xml:space="preserve">sníženým </w:t>
      </w:r>
      <w:r w:rsidRPr="00044011">
        <w:rPr>
          <w:rFonts w:asciiTheme="minorHAnsi" w:hAnsiTheme="minorHAnsi"/>
          <w:szCs w:val="22"/>
        </w:rPr>
        <w:t>odvodem za porušení roz</w:t>
      </w:r>
      <w:r>
        <w:rPr>
          <w:rFonts w:asciiTheme="minorHAnsi" w:hAnsiTheme="minorHAnsi"/>
          <w:szCs w:val="22"/>
        </w:rPr>
        <w:t xml:space="preserve">počtové kázně dle ust. § 14 odst. 5 </w:t>
      </w:r>
      <w:r w:rsidR="007F4CAD">
        <w:rPr>
          <w:rFonts w:asciiTheme="minorHAnsi" w:hAnsiTheme="minorHAnsi"/>
          <w:szCs w:val="22"/>
        </w:rPr>
        <w:t xml:space="preserve">rozpočtových pravidel </w:t>
      </w:r>
      <w:r>
        <w:rPr>
          <w:rFonts w:asciiTheme="minorHAnsi" w:hAnsiTheme="minorHAnsi"/>
          <w:szCs w:val="22"/>
        </w:rPr>
        <w:t>ve výši 0,1</w:t>
      </w:r>
      <w:r w:rsidRPr="00044011">
        <w:rPr>
          <w:rFonts w:asciiTheme="minorHAnsi" w:hAnsiTheme="minorHAnsi"/>
          <w:szCs w:val="22"/>
        </w:rPr>
        <w:t xml:space="preserve"> % z poskytnuté dotace za každý jednotlivý případ</w:t>
      </w:r>
      <w:r>
        <w:rPr>
          <w:rFonts w:asciiTheme="minorHAnsi" w:hAnsiTheme="minorHAnsi"/>
          <w:szCs w:val="22"/>
        </w:rPr>
        <w:t>.</w:t>
      </w:r>
    </w:p>
    <w:p w14:paraId="129E10B8" w14:textId="77777777" w:rsidR="001C5827" w:rsidRPr="000B55A9" w:rsidRDefault="001C5827" w:rsidP="001C5827">
      <w:pPr>
        <w:pStyle w:val="Odstavecseseznamem"/>
        <w:spacing w:before="120" w:after="120"/>
        <w:ind w:left="794"/>
        <w:contextualSpacing w:val="0"/>
        <w:jc w:val="both"/>
      </w:pPr>
    </w:p>
    <w:p w14:paraId="54F423A8" w14:textId="77777777" w:rsidR="000B55A9" w:rsidRDefault="00471E1A" w:rsidP="00D87A31">
      <w:pPr>
        <w:pStyle w:val="Odstavecseseznamem"/>
        <w:numPr>
          <w:ilvl w:val="1"/>
          <w:numId w:val="4"/>
        </w:numPr>
        <w:spacing w:before="120" w:after="120"/>
        <w:contextualSpacing w:val="0"/>
      </w:pPr>
      <w:r>
        <w:rPr>
          <w:b/>
        </w:rPr>
        <w:t>Účetnictví a archivace</w:t>
      </w:r>
    </w:p>
    <w:p w14:paraId="3508C271" w14:textId="77777777" w:rsidR="000B55A9" w:rsidRPr="000B55A9" w:rsidRDefault="00471E1A" w:rsidP="001C5827">
      <w:pPr>
        <w:pStyle w:val="Odstavecseseznamem"/>
        <w:numPr>
          <w:ilvl w:val="2"/>
          <w:numId w:val="4"/>
        </w:numPr>
        <w:spacing w:before="120" w:after="120"/>
        <w:contextualSpacing w:val="0"/>
        <w:jc w:val="both"/>
      </w:pPr>
      <w:bookmarkStart w:id="22" w:name="_Ref39651501"/>
      <w:r>
        <w:rPr>
          <w:rFonts w:asciiTheme="minorHAnsi" w:hAnsiTheme="minorHAnsi"/>
          <w:szCs w:val="22"/>
        </w:rPr>
        <w:t xml:space="preserve">Příjemce je povinen ve smyslu čl. 140 Nařízení </w:t>
      </w:r>
      <w:r>
        <w:t xml:space="preserve">Evropského parlamentu a rady č. 1303/2013 ze dne 17. prosince 2013 o společných ustanoveních o Evropském fondu pro regionální rozvoj, Evropském sociálním fondu, Fondu soudržnosti, </w:t>
      </w:r>
      <w:r w:rsidR="00811E15">
        <w:t>Evropském zemědělském fondu pro </w:t>
      </w:r>
      <w:r>
        <w:t>rozvoj venkova a Evropském námořním a rybářském f</w:t>
      </w:r>
      <w:r w:rsidR="00811E15">
        <w:t>ondu, o obecných ustanoveních o </w:t>
      </w:r>
      <w:r>
        <w:t>Evropském fondu pro regionální rozvoj, Evropském sociá</w:t>
      </w:r>
      <w:r w:rsidR="00811E15">
        <w:t>lním fondu, Fondu soudržnosti a </w:t>
      </w:r>
      <w:r>
        <w:t>Evropském námořním a rybářském fondu a o zrušení naří</w:t>
      </w:r>
      <w:r w:rsidR="00811E15">
        <w:t>zení Rady (ES) č. 1083/2006, ve </w:t>
      </w:r>
      <w:r>
        <w:t xml:space="preserve">znění pozdějších předpisů (dále jen „Obecné nařízení“) </w:t>
      </w:r>
      <w:r w:rsidR="00811E15">
        <w:rPr>
          <w:rFonts w:asciiTheme="minorHAnsi" w:hAnsiTheme="minorHAnsi"/>
          <w:szCs w:val="22"/>
        </w:rPr>
        <w:t>uchovávat veškerou komunikaci a </w:t>
      </w:r>
      <w:r w:rsidRPr="00B34AB7">
        <w:rPr>
          <w:rFonts w:asciiTheme="minorHAnsi" w:hAnsiTheme="minorHAnsi"/>
          <w:szCs w:val="22"/>
        </w:rPr>
        <w:t>účetní doklady souvisejí</w:t>
      </w:r>
      <w:r>
        <w:rPr>
          <w:rFonts w:asciiTheme="minorHAnsi" w:hAnsiTheme="minorHAnsi"/>
          <w:szCs w:val="22"/>
        </w:rPr>
        <w:t>cí s realizací a udržitelností P</w:t>
      </w:r>
      <w:r w:rsidRPr="00B34AB7">
        <w:rPr>
          <w:rFonts w:asciiTheme="minorHAnsi" w:hAnsiTheme="minorHAnsi"/>
          <w:szCs w:val="22"/>
        </w:rPr>
        <w:t>rojektu, a to minimálně po dobu deseti let následujících po roce, v němž byla vyplacena poslední část dotace, zároveň však nejméně do doby uplynutí 3 let od uzávěrky OPPIK. O uzá</w:t>
      </w:r>
      <w:r w:rsidR="00811E15">
        <w:rPr>
          <w:rFonts w:asciiTheme="minorHAnsi" w:hAnsiTheme="minorHAnsi"/>
          <w:szCs w:val="22"/>
        </w:rPr>
        <w:t>věrce programu bude příjemce ze </w:t>
      </w:r>
      <w:r w:rsidRPr="00B34AB7">
        <w:rPr>
          <w:rFonts w:asciiTheme="minorHAnsi" w:hAnsiTheme="minorHAnsi"/>
          <w:szCs w:val="22"/>
        </w:rPr>
        <w:t>strany poskytovatele dotace informován</w:t>
      </w:r>
      <w:r>
        <w:rPr>
          <w:rFonts w:asciiTheme="minorHAnsi" w:hAnsiTheme="minorHAnsi"/>
          <w:szCs w:val="22"/>
        </w:rPr>
        <w:t>.</w:t>
      </w:r>
      <w:bookmarkEnd w:id="22"/>
    </w:p>
    <w:p w14:paraId="2C183DCC" w14:textId="77777777" w:rsidR="000B55A9" w:rsidRPr="000B55A9" w:rsidRDefault="00471E1A" w:rsidP="001C5827">
      <w:pPr>
        <w:pStyle w:val="Odstavecseseznamem"/>
        <w:numPr>
          <w:ilvl w:val="2"/>
          <w:numId w:val="4"/>
        </w:numPr>
        <w:spacing w:before="120" w:after="120"/>
        <w:contextualSpacing w:val="0"/>
        <w:jc w:val="both"/>
      </w:pPr>
      <w:r>
        <w:rPr>
          <w:rFonts w:asciiTheme="minorHAnsi" w:hAnsiTheme="minorHAnsi"/>
          <w:szCs w:val="22"/>
        </w:rPr>
        <w:t>Porušení povinnosti dle čl.</w:t>
      </w:r>
      <w:r w:rsidRPr="00B34AB7">
        <w:rPr>
          <w:rFonts w:asciiTheme="minorHAnsi" w:hAnsiTheme="minorHAnsi"/>
          <w:szCs w:val="22"/>
        </w:rPr>
        <w:t xml:space="preserve"> </w:t>
      </w:r>
      <w:r w:rsidR="00C43D76">
        <w:rPr>
          <w:rFonts w:asciiTheme="minorHAnsi" w:hAnsiTheme="minorHAnsi"/>
          <w:szCs w:val="22"/>
        </w:rPr>
        <w:t>6.8.1</w:t>
      </w:r>
      <w:r w:rsidRPr="00B34AB7">
        <w:rPr>
          <w:rFonts w:asciiTheme="minorHAnsi" w:hAnsiTheme="minorHAnsi"/>
          <w:szCs w:val="22"/>
        </w:rPr>
        <w:t xml:space="preserve"> bude</w:t>
      </w:r>
      <w:r>
        <w:rPr>
          <w:rFonts w:asciiTheme="minorHAnsi" w:hAnsiTheme="minorHAnsi"/>
          <w:szCs w:val="22"/>
        </w:rPr>
        <w:t xml:space="preserve"> postiženo sníženým odvodem</w:t>
      </w:r>
      <w:r w:rsidRPr="00B34AB7">
        <w:rPr>
          <w:rFonts w:asciiTheme="minorHAnsi" w:hAnsiTheme="minorHAnsi"/>
          <w:szCs w:val="22"/>
        </w:rPr>
        <w:t xml:space="preserve"> za porušení rozpočtové kázně </w:t>
      </w:r>
      <w:r>
        <w:rPr>
          <w:rFonts w:asciiTheme="minorHAnsi" w:hAnsiTheme="minorHAnsi"/>
          <w:szCs w:val="22"/>
        </w:rPr>
        <w:t xml:space="preserve">dle ust. § 14 odst. 5 </w:t>
      </w:r>
      <w:r w:rsidR="007F4CAD">
        <w:rPr>
          <w:rFonts w:asciiTheme="minorHAnsi" w:hAnsiTheme="minorHAnsi"/>
          <w:szCs w:val="22"/>
        </w:rPr>
        <w:t xml:space="preserve">rozpočtových pravidel </w:t>
      </w:r>
      <w:r w:rsidR="00B26721" w:rsidRPr="00B26721">
        <w:rPr>
          <w:rFonts w:asciiTheme="minorHAnsi" w:hAnsiTheme="minorHAnsi"/>
          <w:szCs w:val="22"/>
        </w:rPr>
        <w:t>ve výši</w:t>
      </w:r>
      <w:r w:rsidR="00B26721">
        <w:rPr>
          <w:rFonts w:asciiTheme="minorHAnsi" w:hAnsiTheme="minorHAnsi"/>
          <w:szCs w:val="22"/>
        </w:rPr>
        <w:t xml:space="preserve"> </w:t>
      </w:r>
      <w:r w:rsidRPr="00B34AB7">
        <w:rPr>
          <w:rFonts w:asciiTheme="minorHAnsi" w:hAnsiTheme="minorHAnsi"/>
          <w:szCs w:val="22"/>
        </w:rPr>
        <w:t>odpovídající částce dotace, která byla vyplacena na základě dokladů, u nichž není archivace řádně zajištěna.</w:t>
      </w:r>
    </w:p>
    <w:p w14:paraId="39077F4B" w14:textId="77777777" w:rsidR="000B55A9" w:rsidRPr="000B55A9" w:rsidRDefault="00471E1A" w:rsidP="001C5827">
      <w:pPr>
        <w:pStyle w:val="Odstavecseseznamem"/>
        <w:numPr>
          <w:ilvl w:val="2"/>
          <w:numId w:val="4"/>
        </w:numPr>
        <w:spacing w:before="120" w:after="120"/>
        <w:contextualSpacing w:val="0"/>
        <w:jc w:val="both"/>
      </w:pPr>
      <w:bookmarkStart w:id="23" w:name="_Ref39651518"/>
      <w:r w:rsidRPr="00B34AB7">
        <w:rPr>
          <w:rFonts w:asciiTheme="minorHAnsi" w:hAnsiTheme="minorHAnsi"/>
          <w:szCs w:val="22"/>
        </w:rPr>
        <w:t>Příjemce je povinen vést účetnictví dle zákona č. 563/1991 Sb., o účetnictví (dále jen „zákon o účetnictví“) nebo daňovou evidenci podle zákona č. 586/1992 Sb., o daních z příjmů. V případě daňové evidence musí každý doklad splňovat předepsané náležitosti účetního dokladu ve smyslu ust. § 11 odst. 1 (s výjimkou písm. f)) zákona o účetnictví. Všechny doklady v účetnictví nebo daňové evidenci musí být správné, úplné, průkazné, srozumitelné a průběžně chronologicky vedené způsobem zaručujícím jejich trvalost.</w:t>
      </w:r>
      <w:bookmarkEnd w:id="23"/>
    </w:p>
    <w:p w14:paraId="6FAB4552" w14:textId="77777777" w:rsidR="000B55A9" w:rsidRPr="000B55A9" w:rsidRDefault="00471E1A" w:rsidP="001C5827">
      <w:pPr>
        <w:pStyle w:val="Odstavecseseznamem"/>
        <w:numPr>
          <w:ilvl w:val="2"/>
          <w:numId w:val="4"/>
        </w:numPr>
        <w:spacing w:before="120" w:after="120"/>
        <w:contextualSpacing w:val="0"/>
        <w:jc w:val="both"/>
      </w:pPr>
      <w:r>
        <w:rPr>
          <w:rFonts w:asciiTheme="minorHAnsi" w:hAnsiTheme="minorHAnsi"/>
          <w:szCs w:val="22"/>
        </w:rPr>
        <w:t>Porušení povinnosti dle čl.</w:t>
      </w:r>
      <w:r w:rsidRPr="00B34AB7">
        <w:rPr>
          <w:rFonts w:asciiTheme="minorHAnsi" w:hAnsiTheme="minorHAnsi"/>
          <w:szCs w:val="22"/>
        </w:rPr>
        <w:t xml:space="preserve"> </w:t>
      </w:r>
      <w:r w:rsidR="00C43D76">
        <w:rPr>
          <w:rFonts w:asciiTheme="minorHAnsi" w:hAnsiTheme="minorHAnsi"/>
          <w:szCs w:val="22"/>
        </w:rPr>
        <w:t>6.8.3</w:t>
      </w:r>
      <w:r w:rsidRPr="00B34AB7">
        <w:rPr>
          <w:rFonts w:asciiTheme="minorHAnsi" w:hAnsiTheme="minorHAnsi"/>
          <w:szCs w:val="22"/>
        </w:rPr>
        <w:t xml:space="preserve"> bude mít za následek </w:t>
      </w:r>
      <w:r w:rsidRPr="009E234F">
        <w:rPr>
          <w:rFonts w:asciiTheme="minorHAnsi" w:hAnsiTheme="minorHAnsi"/>
          <w:szCs w:val="22"/>
        </w:rPr>
        <w:t>nevyplacení 100</w:t>
      </w:r>
      <w:r w:rsidRPr="00B34AB7">
        <w:rPr>
          <w:rFonts w:asciiTheme="minorHAnsi" w:hAnsiTheme="minorHAnsi"/>
          <w:szCs w:val="22"/>
        </w:rPr>
        <w:t xml:space="preserve"> % poskytnuté dotace</w:t>
      </w:r>
      <w:r w:rsidR="00B30ACE">
        <w:rPr>
          <w:rFonts w:asciiTheme="minorHAnsi" w:hAnsiTheme="minorHAnsi"/>
          <w:szCs w:val="22"/>
        </w:rPr>
        <w:t xml:space="preserve"> na způsobilé výdaje, u n</w:t>
      </w:r>
      <w:r w:rsidR="005E02A3">
        <w:rPr>
          <w:rFonts w:asciiTheme="minorHAnsi" w:hAnsiTheme="minorHAnsi"/>
          <w:szCs w:val="22"/>
        </w:rPr>
        <w:t>ichž nebyly povinnosti dle čl. 6</w:t>
      </w:r>
      <w:r w:rsidR="00B30ACE">
        <w:rPr>
          <w:rFonts w:asciiTheme="minorHAnsi" w:hAnsiTheme="minorHAnsi"/>
          <w:szCs w:val="22"/>
        </w:rPr>
        <w:t>.8.3 splněny</w:t>
      </w:r>
      <w:r>
        <w:rPr>
          <w:rFonts w:asciiTheme="minorHAnsi" w:hAnsiTheme="minorHAnsi"/>
          <w:szCs w:val="22"/>
        </w:rPr>
        <w:t>.</w:t>
      </w:r>
    </w:p>
    <w:p w14:paraId="188F5C45" w14:textId="77777777" w:rsidR="000B55A9" w:rsidRPr="000B55A9" w:rsidRDefault="00471E1A" w:rsidP="001C5827">
      <w:pPr>
        <w:pStyle w:val="Odstavecseseznamem"/>
        <w:numPr>
          <w:ilvl w:val="2"/>
          <w:numId w:val="4"/>
        </w:numPr>
        <w:spacing w:before="120" w:after="120"/>
        <w:contextualSpacing w:val="0"/>
        <w:jc w:val="both"/>
      </w:pPr>
      <w:bookmarkStart w:id="24" w:name="_Ref39651533"/>
      <w:r w:rsidRPr="00B34AB7">
        <w:rPr>
          <w:rFonts w:asciiTheme="minorHAnsi" w:hAnsiTheme="minorHAnsi"/>
          <w:szCs w:val="22"/>
        </w:rPr>
        <w:t>Příjemce je povinen účtovat o majetku, příjmech (pokud jsou příjmy uvedeny v rozpočtu v tomto Rozhodnu</w:t>
      </w:r>
      <w:r>
        <w:rPr>
          <w:rFonts w:asciiTheme="minorHAnsi" w:hAnsiTheme="minorHAnsi"/>
          <w:szCs w:val="22"/>
        </w:rPr>
        <w:t>tí) a výdajích souvisejících s P</w:t>
      </w:r>
      <w:r w:rsidRPr="00B34AB7">
        <w:rPr>
          <w:rFonts w:asciiTheme="minorHAnsi" w:hAnsiTheme="minorHAnsi"/>
          <w:szCs w:val="22"/>
        </w:rPr>
        <w:t>rojektem na zvláštních analytických účtech. Účtování příjemce provádí se stejným analytickým znakem u všech ak</w:t>
      </w:r>
      <w:r>
        <w:rPr>
          <w:rFonts w:asciiTheme="minorHAnsi" w:hAnsiTheme="minorHAnsi"/>
          <w:szCs w:val="22"/>
        </w:rPr>
        <w:t>tuálních účtů P</w:t>
      </w:r>
      <w:r w:rsidRPr="00B34AB7">
        <w:rPr>
          <w:rFonts w:asciiTheme="minorHAnsi" w:hAnsiTheme="minorHAnsi"/>
          <w:szCs w:val="22"/>
        </w:rPr>
        <w:t xml:space="preserve">rojektu, na zvláštních analytických účtech, střediscích, činnostech, zakázkách apod.  </w:t>
      </w:r>
      <w:r>
        <w:rPr>
          <w:rFonts w:asciiTheme="minorHAnsi" w:hAnsiTheme="minorHAnsi"/>
          <w:szCs w:val="22"/>
        </w:rPr>
        <w:t>Případně provád</w:t>
      </w:r>
      <w:r w:rsidRPr="00B34AB7">
        <w:rPr>
          <w:rFonts w:asciiTheme="minorHAnsi" w:hAnsiTheme="minorHAnsi"/>
          <w:szCs w:val="22"/>
        </w:rPr>
        <w:t>í příjemce účtování jiným vhodným způsobem tak, aby bylo průkazné, zda konkrétní</w:t>
      </w:r>
      <w:r>
        <w:rPr>
          <w:rFonts w:asciiTheme="minorHAnsi" w:hAnsiTheme="minorHAnsi"/>
          <w:szCs w:val="22"/>
        </w:rPr>
        <w:t xml:space="preserve"> výdaj je či není vykazován na P</w:t>
      </w:r>
      <w:r w:rsidRPr="00B34AB7">
        <w:rPr>
          <w:rFonts w:asciiTheme="minorHAnsi" w:hAnsiTheme="minorHAnsi"/>
          <w:szCs w:val="22"/>
        </w:rPr>
        <w:t>rojekt. Pokud příjemce vede daňovou evidenci, je povinen zajistit podřízenou evidenci, ve které budou rozlišeny výdaje s konkrétní vazbou na Projekt</w:t>
      </w:r>
      <w:r>
        <w:rPr>
          <w:rFonts w:asciiTheme="minorHAnsi" w:hAnsiTheme="minorHAnsi"/>
          <w:szCs w:val="22"/>
        </w:rPr>
        <w:t>.</w:t>
      </w:r>
      <w:bookmarkEnd w:id="24"/>
    </w:p>
    <w:p w14:paraId="4ED371BF" w14:textId="77777777" w:rsidR="000B55A9" w:rsidRPr="000B55A9" w:rsidRDefault="00471E1A" w:rsidP="001C5827">
      <w:pPr>
        <w:pStyle w:val="Odstavecseseznamem"/>
        <w:numPr>
          <w:ilvl w:val="2"/>
          <w:numId w:val="4"/>
        </w:numPr>
        <w:spacing w:before="120" w:after="120"/>
        <w:contextualSpacing w:val="0"/>
        <w:jc w:val="both"/>
      </w:pPr>
      <w:r>
        <w:rPr>
          <w:rFonts w:asciiTheme="minorHAnsi" w:hAnsiTheme="minorHAnsi"/>
          <w:szCs w:val="22"/>
        </w:rPr>
        <w:t>Porušení povinnosti dle čl.</w:t>
      </w:r>
      <w:r w:rsidRPr="00324711">
        <w:rPr>
          <w:rFonts w:asciiTheme="minorHAnsi" w:hAnsiTheme="minorHAnsi"/>
          <w:szCs w:val="22"/>
        </w:rPr>
        <w:t xml:space="preserve"> </w:t>
      </w:r>
      <w:r w:rsidR="00C43D76">
        <w:rPr>
          <w:rFonts w:asciiTheme="minorHAnsi" w:hAnsiTheme="minorHAnsi"/>
          <w:szCs w:val="22"/>
        </w:rPr>
        <w:t>6.8.5</w:t>
      </w:r>
      <w:r w:rsidRPr="00324711">
        <w:rPr>
          <w:rFonts w:asciiTheme="minorHAnsi" w:hAnsiTheme="minorHAnsi"/>
          <w:szCs w:val="22"/>
        </w:rPr>
        <w:t xml:space="preserve"> b</w:t>
      </w:r>
      <w:r>
        <w:rPr>
          <w:rFonts w:asciiTheme="minorHAnsi" w:hAnsiTheme="minorHAnsi"/>
          <w:szCs w:val="22"/>
        </w:rPr>
        <w:t>ude mít za následek nevyplacení 100</w:t>
      </w:r>
      <w:r w:rsidRPr="00324711">
        <w:rPr>
          <w:rFonts w:asciiTheme="minorHAnsi" w:hAnsiTheme="minorHAnsi"/>
          <w:szCs w:val="22"/>
        </w:rPr>
        <w:t xml:space="preserve"> % poskytnuté dotace</w:t>
      </w:r>
      <w:r w:rsidR="00B30ACE">
        <w:rPr>
          <w:rFonts w:asciiTheme="minorHAnsi" w:hAnsiTheme="minorHAnsi"/>
          <w:szCs w:val="22"/>
        </w:rPr>
        <w:t xml:space="preserve"> na způsobilé výdaje, u nichž</w:t>
      </w:r>
      <w:r>
        <w:rPr>
          <w:rFonts w:asciiTheme="minorHAnsi" w:hAnsiTheme="minorHAnsi"/>
          <w:szCs w:val="22"/>
        </w:rPr>
        <w:t xml:space="preserve"> nebyl</w:t>
      </w:r>
      <w:r w:rsidR="00B30ACE">
        <w:rPr>
          <w:rFonts w:asciiTheme="minorHAnsi" w:hAnsiTheme="minorHAnsi"/>
          <w:szCs w:val="22"/>
        </w:rPr>
        <w:t>y povinnosti</w:t>
      </w:r>
      <w:r>
        <w:rPr>
          <w:rFonts w:asciiTheme="minorHAnsi" w:hAnsiTheme="minorHAnsi"/>
          <w:szCs w:val="22"/>
        </w:rPr>
        <w:t xml:space="preserve"> </w:t>
      </w:r>
      <w:r w:rsidR="00B30ACE">
        <w:rPr>
          <w:rFonts w:asciiTheme="minorHAnsi" w:hAnsiTheme="minorHAnsi"/>
          <w:szCs w:val="22"/>
        </w:rPr>
        <w:t>dle</w:t>
      </w:r>
      <w:r>
        <w:rPr>
          <w:rFonts w:asciiTheme="minorHAnsi" w:hAnsiTheme="minorHAnsi"/>
          <w:szCs w:val="22"/>
        </w:rPr>
        <w:t xml:space="preserve"> čl. </w:t>
      </w:r>
      <w:r w:rsidR="00C43D76">
        <w:rPr>
          <w:rFonts w:asciiTheme="minorHAnsi" w:hAnsiTheme="minorHAnsi"/>
          <w:szCs w:val="22"/>
        </w:rPr>
        <w:t>6.8.5</w:t>
      </w:r>
      <w:r w:rsidR="00B30ACE">
        <w:rPr>
          <w:rFonts w:asciiTheme="minorHAnsi" w:hAnsiTheme="minorHAnsi"/>
          <w:szCs w:val="22"/>
        </w:rPr>
        <w:t xml:space="preserve"> splněny</w:t>
      </w:r>
      <w:r w:rsidR="007D6E0F">
        <w:rPr>
          <w:rFonts w:asciiTheme="minorHAnsi" w:hAnsiTheme="minorHAnsi"/>
          <w:szCs w:val="22"/>
        </w:rPr>
        <w:t>.</w:t>
      </w:r>
    </w:p>
    <w:p w14:paraId="20BF8C72" w14:textId="77777777" w:rsidR="000B55A9" w:rsidRPr="000B55A9" w:rsidRDefault="00471E1A" w:rsidP="001C5827">
      <w:pPr>
        <w:pStyle w:val="Odstavecseseznamem"/>
        <w:numPr>
          <w:ilvl w:val="2"/>
          <w:numId w:val="4"/>
        </w:numPr>
        <w:spacing w:before="120" w:after="120"/>
        <w:contextualSpacing w:val="0"/>
        <w:jc w:val="both"/>
      </w:pPr>
      <w:bookmarkStart w:id="25" w:name="_Ref39651627"/>
      <w:r w:rsidRPr="00324711">
        <w:rPr>
          <w:rFonts w:asciiTheme="minorHAnsi" w:hAnsiTheme="minorHAnsi"/>
          <w:szCs w:val="22"/>
        </w:rPr>
        <w:t xml:space="preserve">Příjemce musí být schopen kdykoliv </w:t>
      </w:r>
      <w:r>
        <w:rPr>
          <w:rFonts w:asciiTheme="minorHAnsi" w:hAnsiTheme="minorHAnsi"/>
          <w:szCs w:val="22"/>
        </w:rPr>
        <w:t xml:space="preserve">po dobu realizace a udržitelnosti a dále po dobu uvedenou v čl. </w:t>
      </w:r>
      <w:r w:rsidR="00C43D76">
        <w:rPr>
          <w:rFonts w:asciiTheme="minorHAnsi" w:hAnsiTheme="minorHAnsi"/>
          <w:szCs w:val="22"/>
        </w:rPr>
        <w:t>6.8.1</w:t>
      </w:r>
      <w:r w:rsidRPr="00324711">
        <w:rPr>
          <w:rFonts w:asciiTheme="minorHAnsi" w:hAnsiTheme="minorHAnsi"/>
          <w:szCs w:val="22"/>
        </w:rPr>
        <w:t xml:space="preserve"> předložit poskytovateli dotace, kontrolním a auditním orgánům daňovou evidenci či účetnictví</w:t>
      </w:r>
      <w:r>
        <w:rPr>
          <w:rFonts w:asciiTheme="minorHAnsi" w:hAnsiTheme="minorHAnsi"/>
          <w:szCs w:val="22"/>
        </w:rPr>
        <w:t xml:space="preserve"> P</w:t>
      </w:r>
      <w:r w:rsidRPr="00324711">
        <w:rPr>
          <w:rFonts w:asciiTheme="minorHAnsi" w:hAnsiTheme="minorHAnsi"/>
          <w:szCs w:val="22"/>
        </w:rPr>
        <w:t>rojektu. Příjemce musí pos</w:t>
      </w:r>
      <w:r w:rsidR="00811E15">
        <w:rPr>
          <w:rFonts w:asciiTheme="minorHAnsi" w:hAnsiTheme="minorHAnsi"/>
          <w:szCs w:val="22"/>
        </w:rPr>
        <w:t>kytovateli dotace, kontrolním a </w:t>
      </w:r>
      <w:r w:rsidRPr="00324711">
        <w:rPr>
          <w:rFonts w:asciiTheme="minorHAnsi" w:hAnsiTheme="minorHAnsi"/>
          <w:szCs w:val="22"/>
        </w:rPr>
        <w:t>auditním orgánům rovněž poskytnout úplné a pravdivé informace a d</w:t>
      </w:r>
      <w:r>
        <w:rPr>
          <w:rFonts w:asciiTheme="minorHAnsi" w:hAnsiTheme="minorHAnsi"/>
          <w:szCs w:val="22"/>
        </w:rPr>
        <w:t>oklady související s realizací P</w:t>
      </w:r>
      <w:r w:rsidRPr="00324711">
        <w:rPr>
          <w:rFonts w:asciiTheme="minorHAnsi" w:hAnsiTheme="minorHAnsi"/>
          <w:szCs w:val="22"/>
        </w:rPr>
        <w:t>rojektu, musí jim umožnit přístup k nemovitým věcem a vstup do nemovitých věcí, v nichž probíhá/probíhala</w:t>
      </w:r>
      <w:r>
        <w:rPr>
          <w:rFonts w:asciiTheme="minorHAnsi" w:hAnsiTheme="minorHAnsi"/>
          <w:szCs w:val="22"/>
        </w:rPr>
        <w:t xml:space="preserve"> realizace P</w:t>
      </w:r>
      <w:r w:rsidRPr="00324711">
        <w:rPr>
          <w:rFonts w:asciiTheme="minorHAnsi" w:hAnsiTheme="minorHAnsi"/>
          <w:szCs w:val="22"/>
        </w:rPr>
        <w:t>rojektu, k podpo</w:t>
      </w:r>
      <w:r w:rsidR="00811E15">
        <w:rPr>
          <w:rFonts w:asciiTheme="minorHAnsi" w:hAnsiTheme="minorHAnsi"/>
          <w:szCs w:val="22"/>
        </w:rPr>
        <w:t>řené infrastruktuře a majetku a </w:t>
      </w:r>
      <w:r w:rsidRPr="00324711">
        <w:rPr>
          <w:rFonts w:asciiTheme="minorHAnsi" w:hAnsiTheme="minorHAnsi"/>
          <w:szCs w:val="22"/>
        </w:rPr>
        <w:t>musí jim poskytnout potřebnou součinnost</w:t>
      </w:r>
      <w:r>
        <w:rPr>
          <w:rFonts w:asciiTheme="minorHAnsi" w:hAnsiTheme="minorHAnsi"/>
          <w:szCs w:val="22"/>
        </w:rPr>
        <w:t>.</w:t>
      </w:r>
      <w:bookmarkEnd w:id="25"/>
    </w:p>
    <w:p w14:paraId="6F7BC601" w14:textId="77777777" w:rsidR="000B55A9" w:rsidRPr="001C5827" w:rsidRDefault="00471E1A" w:rsidP="001C5827">
      <w:pPr>
        <w:pStyle w:val="Odstavecseseznamem"/>
        <w:numPr>
          <w:ilvl w:val="2"/>
          <w:numId w:val="4"/>
        </w:numPr>
        <w:spacing w:before="120" w:after="120"/>
        <w:contextualSpacing w:val="0"/>
        <w:jc w:val="both"/>
      </w:pPr>
      <w:r w:rsidRPr="00324711">
        <w:rPr>
          <w:rFonts w:asciiTheme="minorHAnsi" w:hAnsiTheme="minorHAnsi"/>
          <w:szCs w:val="22"/>
        </w:rPr>
        <w:t xml:space="preserve">Porušení povinnosti dle čl. </w:t>
      </w:r>
      <w:r w:rsidR="00C43D76">
        <w:rPr>
          <w:rFonts w:asciiTheme="minorHAnsi" w:hAnsiTheme="minorHAnsi"/>
          <w:szCs w:val="22"/>
        </w:rPr>
        <w:t>6.8.7</w:t>
      </w:r>
      <w:r w:rsidRPr="00324711">
        <w:rPr>
          <w:rFonts w:asciiTheme="minorHAnsi" w:hAnsiTheme="minorHAnsi"/>
          <w:szCs w:val="22"/>
        </w:rPr>
        <w:t xml:space="preserve"> bude mít za následek nevyplacení</w:t>
      </w:r>
      <w:r>
        <w:rPr>
          <w:rFonts w:asciiTheme="minorHAnsi" w:hAnsiTheme="minorHAnsi"/>
          <w:szCs w:val="22"/>
        </w:rPr>
        <w:t xml:space="preserve"> 100</w:t>
      </w:r>
      <w:r w:rsidRPr="00324711">
        <w:rPr>
          <w:rFonts w:asciiTheme="minorHAnsi" w:hAnsiTheme="minorHAnsi"/>
          <w:szCs w:val="22"/>
        </w:rPr>
        <w:t xml:space="preserve"> % poskytnuté dotace na způsobilé výdaje, u nichž nebyly povinnosti dle č</w:t>
      </w:r>
      <w:r>
        <w:rPr>
          <w:rFonts w:asciiTheme="minorHAnsi" w:hAnsiTheme="minorHAnsi"/>
          <w:szCs w:val="22"/>
        </w:rPr>
        <w:t>l</w:t>
      </w:r>
      <w:r w:rsidRPr="00324711">
        <w:rPr>
          <w:rFonts w:asciiTheme="minorHAnsi" w:hAnsiTheme="minorHAnsi"/>
          <w:szCs w:val="22"/>
        </w:rPr>
        <w:t xml:space="preserve">. </w:t>
      </w:r>
      <w:r w:rsidR="00C43D76">
        <w:rPr>
          <w:rFonts w:asciiTheme="minorHAnsi" w:hAnsiTheme="minorHAnsi"/>
          <w:szCs w:val="22"/>
        </w:rPr>
        <w:t>6.8.7</w:t>
      </w:r>
      <w:r w:rsidRPr="00324711">
        <w:rPr>
          <w:rFonts w:asciiTheme="minorHAnsi" w:hAnsiTheme="minorHAnsi"/>
          <w:szCs w:val="22"/>
        </w:rPr>
        <w:t xml:space="preserve"> splněny</w:t>
      </w:r>
      <w:r>
        <w:rPr>
          <w:rFonts w:asciiTheme="minorHAnsi" w:hAnsiTheme="minorHAnsi"/>
          <w:szCs w:val="22"/>
        </w:rPr>
        <w:t>.</w:t>
      </w:r>
    </w:p>
    <w:p w14:paraId="7A681756" w14:textId="77777777" w:rsidR="001C5827" w:rsidRPr="000B55A9" w:rsidRDefault="001C5827" w:rsidP="001C5827">
      <w:pPr>
        <w:pStyle w:val="Odstavecseseznamem"/>
        <w:spacing w:before="120" w:after="120"/>
        <w:ind w:left="794"/>
        <w:contextualSpacing w:val="0"/>
        <w:jc w:val="both"/>
      </w:pPr>
    </w:p>
    <w:p w14:paraId="06542B91" w14:textId="77777777" w:rsidR="000B55A9" w:rsidRDefault="00471E1A" w:rsidP="00D87A31">
      <w:pPr>
        <w:pStyle w:val="Odstavecseseznamem"/>
        <w:numPr>
          <w:ilvl w:val="1"/>
          <w:numId w:val="4"/>
        </w:numPr>
        <w:spacing w:before="120" w:after="120"/>
        <w:contextualSpacing w:val="0"/>
      </w:pPr>
      <w:r>
        <w:rPr>
          <w:b/>
        </w:rPr>
        <w:t>Čerpání dotace</w:t>
      </w:r>
    </w:p>
    <w:p w14:paraId="66180DC0" w14:textId="77777777" w:rsidR="000B55A9" w:rsidRPr="000B55A9" w:rsidRDefault="00471E1A" w:rsidP="001C5827">
      <w:pPr>
        <w:pStyle w:val="Odstavecseseznamem"/>
        <w:numPr>
          <w:ilvl w:val="2"/>
          <w:numId w:val="4"/>
        </w:numPr>
        <w:spacing w:before="120" w:after="120"/>
        <w:contextualSpacing w:val="0"/>
        <w:jc w:val="both"/>
      </w:pPr>
      <w:r>
        <w:rPr>
          <w:rFonts w:asciiTheme="minorHAnsi" w:hAnsiTheme="minorHAnsi"/>
          <w:szCs w:val="22"/>
        </w:rPr>
        <w:t>Dotace bude příjemci vy</w:t>
      </w:r>
      <w:r w:rsidRPr="004B7725">
        <w:rPr>
          <w:rFonts w:asciiTheme="minorHAnsi" w:hAnsiTheme="minorHAnsi"/>
          <w:szCs w:val="22"/>
        </w:rPr>
        <w:t>plácena zpětně na základě p</w:t>
      </w:r>
      <w:r>
        <w:rPr>
          <w:rFonts w:asciiTheme="minorHAnsi" w:hAnsiTheme="minorHAnsi"/>
          <w:szCs w:val="22"/>
        </w:rPr>
        <w:t>ředložených způsobilých výdajů P</w:t>
      </w:r>
      <w:r w:rsidRPr="004B7725">
        <w:rPr>
          <w:rFonts w:asciiTheme="minorHAnsi" w:hAnsiTheme="minorHAnsi"/>
          <w:szCs w:val="22"/>
        </w:rPr>
        <w:t>rojektu, které jsou uvedeny ve schváleném rozp</w:t>
      </w:r>
      <w:r>
        <w:rPr>
          <w:rFonts w:asciiTheme="minorHAnsi" w:hAnsiTheme="minorHAnsi"/>
          <w:szCs w:val="22"/>
        </w:rPr>
        <w:t>očtu P</w:t>
      </w:r>
      <w:r w:rsidRPr="004B7725">
        <w:rPr>
          <w:rFonts w:asciiTheme="minorHAnsi" w:hAnsiTheme="minorHAnsi"/>
          <w:szCs w:val="22"/>
        </w:rPr>
        <w:t>rojektu</w:t>
      </w:r>
      <w:r>
        <w:rPr>
          <w:rFonts w:asciiTheme="minorHAnsi" w:hAnsiTheme="minorHAnsi"/>
          <w:szCs w:val="22"/>
        </w:rPr>
        <w:t>.</w:t>
      </w:r>
    </w:p>
    <w:p w14:paraId="43D461CE" w14:textId="77777777" w:rsidR="000B55A9" w:rsidRPr="000B55A9" w:rsidRDefault="00471E1A" w:rsidP="001320B7">
      <w:pPr>
        <w:pStyle w:val="Odstavecseseznamem"/>
        <w:numPr>
          <w:ilvl w:val="2"/>
          <w:numId w:val="4"/>
        </w:numPr>
        <w:spacing w:before="120" w:after="120"/>
        <w:contextualSpacing w:val="0"/>
        <w:jc w:val="both"/>
      </w:pPr>
      <w:bookmarkStart w:id="26" w:name="_Ref39651652"/>
      <w:r w:rsidRPr="004B7725">
        <w:rPr>
          <w:rFonts w:asciiTheme="minorHAnsi" w:hAnsiTheme="minorHAnsi"/>
          <w:szCs w:val="22"/>
        </w:rPr>
        <w:t xml:space="preserve">Na </w:t>
      </w:r>
      <w:r w:rsidR="001320B7">
        <w:rPr>
          <w:rFonts w:asciiTheme="minorHAnsi" w:hAnsiTheme="minorHAnsi"/>
          <w:szCs w:val="22"/>
        </w:rPr>
        <w:t xml:space="preserve">téže </w:t>
      </w:r>
      <w:r w:rsidRPr="004B7725">
        <w:rPr>
          <w:rFonts w:asciiTheme="minorHAnsi" w:hAnsiTheme="minorHAnsi"/>
          <w:szCs w:val="22"/>
        </w:rPr>
        <w:t xml:space="preserve">způsobilé výdaje Projektu </w:t>
      </w:r>
      <w:r w:rsidR="001320B7">
        <w:rPr>
          <w:rFonts w:asciiTheme="minorHAnsi" w:hAnsiTheme="minorHAnsi"/>
          <w:szCs w:val="22"/>
        </w:rPr>
        <w:t xml:space="preserve">podpořeného z Operačního programu podnikání a inovace pro konkurenceschopnost </w:t>
      </w:r>
      <w:r w:rsidRPr="004B7725">
        <w:rPr>
          <w:rFonts w:asciiTheme="minorHAnsi" w:hAnsiTheme="minorHAnsi"/>
          <w:szCs w:val="22"/>
        </w:rPr>
        <w:t xml:space="preserve">nesmí příjemce </w:t>
      </w:r>
      <w:r w:rsidR="001320B7">
        <w:rPr>
          <w:rFonts w:asciiTheme="minorHAnsi" w:hAnsiTheme="minorHAnsi"/>
          <w:szCs w:val="22"/>
        </w:rPr>
        <w:t>čerpat</w:t>
      </w:r>
      <w:r w:rsidRPr="004B7725">
        <w:rPr>
          <w:rFonts w:asciiTheme="minorHAnsi" w:hAnsiTheme="minorHAnsi"/>
          <w:szCs w:val="22"/>
        </w:rPr>
        <w:t xml:space="preserve"> jinou veřejnou podporu podle článku 107 odst. 1 Smlouvy o fungování Evropské unie</w:t>
      </w:r>
      <w:r w:rsidR="001320B7">
        <w:rPr>
          <w:rFonts w:asciiTheme="minorHAnsi" w:hAnsiTheme="minorHAnsi"/>
          <w:szCs w:val="22"/>
        </w:rPr>
        <w:t>, podporu z prostředků Unie, které centrálně spravují orgány, agentury, společné podniky a jiné subje</w:t>
      </w:r>
      <w:r w:rsidR="00811E15">
        <w:rPr>
          <w:rFonts w:asciiTheme="minorHAnsi" w:hAnsiTheme="minorHAnsi"/>
          <w:szCs w:val="22"/>
        </w:rPr>
        <w:t>kty Unie a která není přímo ani </w:t>
      </w:r>
      <w:r w:rsidR="001320B7">
        <w:rPr>
          <w:rFonts w:asciiTheme="minorHAnsi" w:hAnsiTheme="minorHAnsi"/>
          <w:szCs w:val="22"/>
        </w:rPr>
        <w:t xml:space="preserve">nepřímo pod kontrolou členských států, a ani podporu v režimu de minimis. </w:t>
      </w:r>
      <w:r w:rsidRPr="004B7725">
        <w:rPr>
          <w:rFonts w:asciiTheme="minorHAnsi" w:hAnsiTheme="minorHAnsi"/>
          <w:szCs w:val="22"/>
        </w:rPr>
        <w:t xml:space="preserve"> </w:t>
      </w:r>
      <w:r w:rsidRPr="001320B7">
        <w:rPr>
          <w:rFonts w:asciiTheme="minorHAnsi" w:hAnsiTheme="minorHAnsi"/>
          <w:szCs w:val="22"/>
        </w:rPr>
        <w:t>Příjemce rovněž nesmí na způsobilé výdaje Projektu čerpat podporu z jiného fondu nebo nástroje Unie, případně téhož fondu, ale jiného programu ve smyslu čl. 65 Obecného nařízení.</w:t>
      </w:r>
      <w:bookmarkEnd w:id="26"/>
    </w:p>
    <w:p w14:paraId="45B8FA9F" w14:textId="77777777" w:rsidR="000B55A9" w:rsidRPr="000B55A9" w:rsidRDefault="00471E1A" w:rsidP="001C5827">
      <w:pPr>
        <w:pStyle w:val="Odstavecseseznamem"/>
        <w:numPr>
          <w:ilvl w:val="2"/>
          <w:numId w:val="4"/>
        </w:numPr>
        <w:spacing w:before="120" w:after="120"/>
        <w:contextualSpacing w:val="0"/>
        <w:jc w:val="both"/>
      </w:pPr>
      <w:r w:rsidRPr="004B7725">
        <w:rPr>
          <w:rFonts w:asciiTheme="minorHAnsi" w:hAnsiTheme="minorHAnsi"/>
          <w:szCs w:val="22"/>
        </w:rPr>
        <w:t xml:space="preserve">Výdaj, u kterého bude </w:t>
      </w:r>
      <w:r>
        <w:rPr>
          <w:rFonts w:asciiTheme="minorHAnsi" w:hAnsiTheme="minorHAnsi"/>
          <w:szCs w:val="22"/>
        </w:rPr>
        <w:t>zjištěn souběh podpor dle čl.</w:t>
      </w:r>
      <w:r w:rsidRPr="004B7725">
        <w:rPr>
          <w:rFonts w:asciiTheme="minorHAnsi" w:hAnsiTheme="minorHAnsi"/>
          <w:szCs w:val="22"/>
        </w:rPr>
        <w:t xml:space="preserve"> </w:t>
      </w:r>
      <w:r w:rsidR="00C43D76">
        <w:rPr>
          <w:rFonts w:asciiTheme="minorHAnsi" w:hAnsiTheme="minorHAnsi"/>
          <w:szCs w:val="22"/>
        </w:rPr>
        <w:t>6.9.2</w:t>
      </w:r>
      <w:r w:rsidRPr="004B7725">
        <w:rPr>
          <w:rFonts w:asciiTheme="minorHAnsi" w:hAnsiTheme="minorHAnsi"/>
          <w:szCs w:val="22"/>
        </w:rPr>
        <w:t xml:space="preserve">, </w:t>
      </w:r>
      <w:r>
        <w:rPr>
          <w:rFonts w:asciiTheme="minorHAnsi" w:hAnsiTheme="minorHAnsi"/>
          <w:szCs w:val="22"/>
        </w:rPr>
        <w:t xml:space="preserve">je považován za nezpůsobilý výdaj a </w:t>
      </w:r>
      <w:r w:rsidRPr="004B7725">
        <w:rPr>
          <w:rFonts w:asciiTheme="minorHAnsi" w:hAnsiTheme="minorHAnsi"/>
          <w:szCs w:val="22"/>
        </w:rPr>
        <w:t>nebude z</w:t>
      </w:r>
      <w:r w:rsidR="00040B8F">
        <w:rPr>
          <w:rFonts w:asciiTheme="minorHAnsi" w:hAnsiTheme="minorHAnsi"/>
          <w:szCs w:val="22"/>
        </w:rPr>
        <w:t> </w:t>
      </w:r>
      <w:r w:rsidRPr="004B7725">
        <w:rPr>
          <w:rFonts w:asciiTheme="minorHAnsi" w:hAnsiTheme="minorHAnsi"/>
          <w:szCs w:val="22"/>
        </w:rPr>
        <w:t>OP</w:t>
      </w:r>
      <w:r w:rsidR="00040B8F">
        <w:rPr>
          <w:rFonts w:asciiTheme="minorHAnsi" w:hAnsiTheme="minorHAnsi"/>
          <w:szCs w:val="22"/>
        </w:rPr>
        <w:t xml:space="preserve"> </w:t>
      </w:r>
      <w:r w:rsidRPr="004B7725">
        <w:rPr>
          <w:rFonts w:asciiTheme="minorHAnsi" w:hAnsiTheme="minorHAnsi"/>
          <w:szCs w:val="22"/>
        </w:rPr>
        <w:t>PIK proplacen</w:t>
      </w:r>
      <w:r>
        <w:rPr>
          <w:rFonts w:asciiTheme="minorHAnsi" w:hAnsiTheme="minorHAnsi"/>
          <w:szCs w:val="22"/>
        </w:rPr>
        <w:t>, případně bude požadováno jeho úplné vrácení</w:t>
      </w:r>
      <w:r w:rsidR="00811E15">
        <w:rPr>
          <w:rFonts w:asciiTheme="minorHAnsi" w:hAnsiTheme="minorHAnsi"/>
          <w:szCs w:val="22"/>
        </w:rPr>
        <w:t xml:space="preserve"> postupem dle </w:t>
      </w:r>
      <w:r w:rsidR="004F2539">
        <w:rPr>
          <w:rFonts w:asciiTheme="minorHAnsi" w:hAnsiTheme="minorHAnsi"/>
          <w:szCs w:val="22"/>
        </w:rPr>
        <w:t>ust. § 14f odst. 3 rozpočtových pravidel</w:t>
      </w:r>
      <w:r>
        <w:rPr>
          <w:rFonts w:asciiTheme="minorHAnsi" w:hAnsiTheme="minorHAnsi"/>
          <w:szCs w:val="22"/>
        </w:rPr>
        <w:t>.</w:t>
      </w:r>
    </w:p>
    <w:p w14:paraId="647376FB" w14:textId="77777777" w:rsidR="000B55A9" w:rsidRPr="000B55A9" w:rsidRDefault="00471E1A" w:rsidP="001C5827">
      <w:pPr>
        <w:pStyle w:val="Odstavecseseznamem"/>
        <w:numPr>
          <w:ilvl w:val="2"/>
          <w:numId w:val="4"/>
        </w:numPr>
        <w:spacing w:before="120" w:after="120"/>
        <w:contextualSpacing w:val="0"/>
        <w:jc w:val="both"/>
      </w:pPr>
      <w:r w:rsidRPr="004B7725">
        <w:rPr>
          <w:rFonts w:asciiTheme="minorHAnsi" w:hAnsiTheme="minorHAnsi"/>
          <w:szCs w:val="22"/>
        </w:rPr>
        <w:t>Příjemce je povi</w:t>
      </w:r>
      <w:r>
        <w:rPr>
          <w:rFonts w:asciiTheme="minorHAnsi" w:hAnsiTheme="minorHAnsi"/>
          <w:szCs w:val="22"/>
        </w:rPr>
        <w:t>nen předkládat žádost/i</w:t>
      </w:r>
      <w:r w:rsidRPr="004B7725">
        <w:rPr>
          <w:rFonts w:asciiTheme="minorHAnsi" w:hAnsiTheme="minorHAnsi"/>
          <w:szCs w:val="22"/>
        </w:rPr>
        <w:t xml:space="preserve"> o platbu elektro</w:t>
      </w:r>
      <w:r>
        <w:rPr>
          <w:rFonts w:asciiTheme="minorHAnsi" w:hAnsiTheme="minorHAnsi"/>
          <w:szCs w:val="22"/>
        </w:rPr>
        <w:t>nicky prostřednictvím MS2014+ a </w:t>
      </w:r>
      <w:r w:rsidRPr="004B7725">
        <w:rPr>
          <w:rFonts w:asciiTheme="minorHAnsi" w:hAnsiTheme="minorHAnsi"/>
          <w:szCs w:val="22"/>
        </w:rPr>
        <w:t xml:space="preserve">postupovat dle pokynů </w:t>
      </w:r>
      <w:r>
        <w:rPr>
          <w:rFonts w:asciiTheme="minorHAnsi" w:hAnsiTheme="minorHAnsi"/>
          <w:szCs w:val="22"/>
        </w:rPr>
        <w:t>uvedených v informačním systému</w:t>
      </w:r>
      <w:r w:rsidRPr="004B7725">
        <w:rPr>
          <w:rFonts w:asciiTheme="minorHAnsi" w:hAnsiTheme="minorHAnsi"/>
          <w:szCs w:val="22"/>
        </w:rPr>
        <w:t xml:space="preserve">. </w:t>
      </w:r>
    </w:p>
    <w:p w14:paraId="3CA8777D" w14:textId="77777777" w:rsidR="000B55A9" w:rsidRPr="000B55A9" w:rsidRDefault="00471E1A" w:rsidP="001C5827">
      <w:pPr>
        <w:pStyle w:val="Odstavecseseznamem"/>
        <w:numPr>
          <w:ilvl w:val="2"/>
          <w:numId w:val="4"/>
        </w:numPr>
        <w:spacing w:before="120" w:after="120"/>
        <w:contextualSpacing w:val="0"/>
        <w:jc w:val="both"/>
      </w:pPr>
      <w:bookmarkStart w:id="27" w:name="_Ref39651681"/>
      <w:r w:rsidRPr="004B7725">
        <w:rPr>
          <w:rFonts w:asciiTheme="minorHAnsi" w:hAnsiTheme="minorHAnsi"/>
          <w:szCs w:val="22"/>
        </w:rPr>
        <w:t xml:space="preserve">Příjemce musí podat závěrečnou žádost o platbu do 2 měsíců ode dne plánovaného </w:t>
      </w:r>
      <w:r>
        <w:rPr>
          <w:rFonts w:asciiTheme="minorHAnsi" w:hAnsiTheme="minorHAnsi"/>
          <w:szCs w:val="22"/>
        </w:rPr>
        <w:t>ukončení P</w:t>
      </w:r>
      <w:r w:rsidR="007F4CAD">
        <w:rPr>
          <w:rFonts w:asciiTheme="minorHAnsi" w:hAnsiTheme="minorHAnsi"/>
          <w:szCs w:val="22"/>
        </w:rPr>
        <w:t>rojektu uvedeného v</w:t>
      </w:r>
      <w:r w:rsidRPr="004B7725">
        <w:rPr>
          <w:rFonts w:asciiTheme="minorHAnsi" w:hAnsiTheme="minorHAnsi"/>
          <w:szCs w:val="22"/>
        </w:rPr>
        <w:t xml:space="preserve"> čl</w:t>
      </w:r>
      <w:r>
        <w:rPr>
          <w:rFonts w:asciiTheme="minorHAnsi" w:hAnsiTheme="minorHAnsi"/>
          <w:szCs w:val="22"/>
        </w:rPr>
        <w:t>.</w:t>
      </w:r>
      <w:r w:rsidRPr="004B7725">
        <w:rPr>
          <w:rFonts w:asciiTheme="minorHAnsi" w:hAnsiTheme="minorHAnsi"/>
          <w:szCs w:val="22"/>
        </w:rPr>
        <w:t xml:space="preserve"> </w:t>
      </w:r>
      <w:r w:rsidR="00C43D76">
        <w:rPr>
          <w:rFonts w:asciiTheme="minorHAnsi" w:hAnsiTheme="minorHAnsi"/>
          <w:szCs w:val="22"/>
        </w:rPr>
        <w:t>3.4</w:t>
      </w:r>
      <w:r>
        <w:rPr>
          <w:rFonts w:asciiTheme="minorHAnsi" w:hAnsiTheme="minorHAnsi"/>
          <w:szCs w:val="22"/>
        </w:rPr>
        <w:t>.</w:t>
      </w:r>
      <w:bookmarkEnd w:id="27"/>
    </w:p>
    <w:p w14:paraId="25FCDD5D" w14:textId="77777777" w:rsidR="000B55A9" w:rsidRDefault="00471E1A" w:rsidP="001C5827">
      <w:pPr>
        <w:pStyle w:val="Odstavecseseznamem"/>
        <w:numPr>
          <w:ilvl w:val="2"/>
          <w:numId w:val="4"/>
        </w:numPr>
        <w:spacing w:before="120" w:after="120"/>
        <w:contextualSpacing w:val="0"/>
        <w:jc w:val="both"/>
      </w:pPr>
      <w:r w:rsidRPr="004B7725">
        <w:rPr>
          <w:rFonts w:asciiTheme="minorHAnsi" w:hAnsiTheme="minorHAnsi"/>
          <w:szCs w:val="22"/>
        </w:rPr>
        <w:t xml:space="preserve">Porušení povinnosti uvedené v čl. </w:t>
      </w:r>
      <w:r w:rsidR="00C43D76">
        <w:rPr>
          <w:rFonts w:asciiTheme="minorHAnsi" w:hAnsiTheme="minorHAnsi"/>
          <w:szCs w:val="22"/>
        </w:rPr>
        <w:t>6.9.5</w:t>
      </w:r>
      <w:r w:rsidRPr="004B7725">
        <w:rPr>
          <w:rFonts w:asciiTheme="minorHAnsi" w:hAnsiTheme="minorHAnsi"/>
          <w:szCs w:val="22"/>
        </w:rPr>
        <w:t xml:space="preserve"> </w:t>
      </w:r>
      <w:r>
        <w:rPr>
          <w:rFonts w:asciiTheme="minorHAnsi" w:hAnsiTheme="minorHAnsi"/>
          <w:szCs w:val="22"/>
        </w:rPr>
        <w:t xml:space="preserve">vzniklé z důvodů na straně příjemce </w:t>
      </w:r>
      <w:r w:rsidR="00811E15">
        <w:rPr>
          <w:rFonts w:asciiTheme="minorHAnsi" w:hAnsiTheme="minorHAnsi"/>
          <w:szCs w:val="22"/>
        </w:rPr>
        <w:t>bude mít za </w:t>
      </w:r>
      <w:r w:rsidRPr="00CC6470">
        <w:rPr>
          <w:rFonts w:asciiTheme="minorHAnsi" w:hAnsiTheme="minorHAnsi"/>
          <w:szCs w:val="22"/>
        </w:rPr>
        <w:t xml:space="preserve">následek nevyplacení </w:t>
      </w:r>
      <w:r>
        <w:rPr>
          <w:rFonts w:asciiTheme="minorHAnsi" w:hAnsiTheme="minorHAnsi"/>
          <w:szCs w:val="22"/>
        </w:rPr>
        <w:t xml:space="preserve">části dotace odpovídající </w:t>
      </w:r>
      <w:r>
        <w:t>2 % z poskytnuté dotace za každý započatý měsíc zpoždění, maximálně však, pokud došlo ke zpoždění v podání do 6 měsíců, zpoždění v podání od 6 měsíců včetně bude mít za následek nevyplacení 100 % poskytnuté dotace.</w:t>
      </w:r>
    </w:p>
    <w:p w14:paraId="70C5024A" w14:textId="77777777" w:rsidR="000B55A9" w:rsidRPr="001C5827" w:rsidRDefault="00471E1A" w:rsidP="001C5827">
      <w:pPr>
        <w:pStyle w:val="Odstavecseseznamem"/>
        <w:numPr>
          <w:ilvl w:val="2"/>
          <w:numId w:val="4"/>
        </w:numPr>
        <w:spacing w:before="120" w:after="120"/>
        <w:contextualSpacing w:val="0"/>
        <w:jc w:val="both"/>
      </w:pPr>
      <w:bookmarkStart w:id="28" w:name="_Ref39653892"/>
      <w:r w:rsidRPr="00072D05">
        <w:rPr>
          <w:rFonts w:asciiTheme="minorHAnsi" w:hAnsiTheme="minorHAnsi"/>
          <w:szCs w:val="22"/>
        </w:rPr>
        <w:t>Příjemce je povinen postupovat při podání žádosti o platbu</w:t>
      </w:r>
      <w:r>
        <w:rPr>
          <w:rFonts w:asciiTheme="minorHAnsi" w:hAnsiTheme="minorHAnsi"/>
          <w:szCs w:val="22"/>
        </w:rPr>
        <w:t xml:space="preserve"> a jejích příloh</w:t>
      </w:r>
      <w:r w:rsidRPr="00072D05">
        <w:rPr>
          <w:rFonts w:asciiTheme="minorHAnsi" w:hAnsiTheme="minorHAnsi"/>
          <w:szCs w:val="22"/>
        </w:rPr>
        <w:t xml:space="preserve"> rovněž dle pokynů </w:t>
      </w:r>
      <w:r>
        <w:rPr>
          <w:rFonts w:asciiTheme="minorHAnsi" w:hAnsiTheme="minorHAnsi"/>
          <w:szCs w:val="22"/>
        </w:rPr>
        <w:t>zprostředkujícího subjektu a poskytovatele dotace a dle jejich</w:t>
      </w:r>
      <w:r w:rsidRPr="00072D05">
        <w:rPr>
          <w:rFonts w:asciiTheme="minorHAnsi" w:hAnsiTheme="minorHAnsi"/>
          <w:szCs w:val="22"/>
        </w:rPr>
        <w:t xml:space="preserve"> pokynů </w:t>
      </w:r>
      <w:r>
        <w:rPr>
          <w:rFonts w:asciiTheme="minorHAnsi" w:hAnsiTheme="minorHAnsi"/>
          <w:szCs w:val="22"/>
        </w:rPr>
        <w:t xml:space="preserve">a v souladu s tímto Rozhodnutím a jeho přílohami </w:t>
      </w:r>
      <w:r w:rsidRPr="00072D05">
        <w:rPr>
          <w:rFonts w:asciiTheme="minorHAnsi" w:hAnsiTheme="minorHAnsi"/>
          <w:szCs w:val="22"/>
        </w:rPr>
        <w:t>případně žádost o platbu upravit. Příjemce je zejména povinen odstranit z žádosti o platbu všechny nezpůsobilé výdaje</w:t>
      </w:r>
      <w:r>
        <w:rPr>
          <w:rFonts w:asciiTheme="minorHAnsi" w:hAnsiTheme="minorHAnsi"/>
          <w:szCs w:val="22"/>
        </w:rPr>
        <w:t>, řádně doložit všechny způsobilé výdaje</w:t>
      </w:r>
      <w:r w:rsidRPr="00072D05">
        <w:rPr>
          <w:rFonts w:asciiTheme="minorHAnsi" w:hAnsiTheme="minorHAnsi"/>
          <w:szCs w:val="22"/>
        </w:rPr>
        <w:t xml:space="preserve"> a upravit ostatní nedostatky, na které ho</w:t>
      </w:r>
      <w:r w:rsidR="00811E15">
        <w:rPr>
          <w:rFonts w:asciiTheme="minorHAnsi" w:hAnsiTheme="minorHAnsi"/>
          <w:szCs w:val="22"/>
        </w:rPr>
        <w:t xml:space="preserve"> upozorní projektový manažer, a </w:t>
      </w:r>
      <w:r w:rsidRPr="00072D05">
        <w:rPr>
          <w:rFonts w:asciiTheme="minorHAnsi" w:hAnsiTheme="minorHAnsi"/>
          <w:szCs w:val="22"/>
        </w:rPr>
        <w:t>to ve lhůtě</w:t>
      </w:r>
      <w:r>
        <w:rPr>
          <w:rFonts w:asciiTheme="minorHAnsi" w:hAnsiTheme="minorHAnsi"/>
          <w:szCs w:val="22"/>
        </w:rPr>
        <w:t xml:space="preserve"> 20 pracovních dní od okamžiku, kdy je do informačního systému poprvé vloženo ze strany PM upozornění na nutnost opravy žádosti o platbu</w:t>
      </w:r>
      <w:r w:rsidRPr="00072D05">
        <w:rPr>
          <w:rFonts w:asciiTheme="minorHAnsi" w:hAnsiTheme="minorHAnsi"/>
          <w:szCs w:val="22"/>
        </w:rPr>
        <w:t>.</w:t>
      </w:r>
      <w:r>
        <w:rPr>
          <w:rFonts w:asciiTheme="minorHAnsi" w:hAnsiTheme="minorHAnsi"/>
          <w:szCs w:val="22"/>
        </w:rPr>
        <w:t xml:space="preserve"> Lhůta k opravě žádosti o platbu může být prodloužena.</w:t>
      </w:r>
      <w:bookmarkEnd w:id="28"/>
    </w:p>
    <w:p w14:paraId="50F5B1FD" w14:textId="77777777" w:rsidR="001C5827" w:rsidRPr="000B55A9" w:rsidRDefault="001C5827" w:rsidP="001C5827">
      <w:pPr>
        <w:pStyle w:val="Odstavecseseznamem"/>
        <w:spacing w:before="120" w:after="120"/>
        <w:ind w:left="794"/>
        <w:contextualSpacing w:val="0"/>
        <w:jc w:val="both"/>
      </w:pPr>
    </w:p>
    <w:p w14:paraId="7CBA2055" w14:textId="77777777" w:rsidR="000B55A9" w:rsidRPr="000B55A9" w:rsidRDefault="00471E1A" w:rsidP="00D87A31">
      <w:pPr>
        <w:pStyle w:val="Odstavecseseznamem"/>
        <w:numPr>
          <w:ilvl w:val="1"/>
          <w:numId w:val="4"/>
        </w:numPr>
        <w:spacing w:before="120" w:after="120"/>
        <w:contextualSpacing w:val="0"/>
      </w:pPr>
      <w:bookmarkStart w:id="29" w:name="_Ref39649670"/>
      <w:r>
        <w:rPr>
          <w:rFonts w:asciiTheme="minorHAnsi" w:hAnsiTheme="minorHAnsi"/>
          <w:b/>
          <w:szCs w:val="22"/>
        </w:rPr>
        <w:t>Indikátory</w:t>
      </w:r>
      <w:bookmarkEnd w:id="29"/>
    </w:p>
    <w:p w14:paraId="0B774C87" w14:textId="77777777" w:rsidR="000B55A9" w:rsidRPr="000B55A9" w:rsidRDefault="00471E1A" w:rsidP="001C5827">
      <w:pPr>
        <w:pStyle w:val="Odstavecseseznamem"/>
        <w:numPr>
          <w:ilvl w:val="2"/>
          <w:numId w:val="4"/>
        </w:numPr>
        <w:spacing w:before="120" w:after="120"/>
        <w:contextualSpacing w:val="0"/>
        <w:jc w:val="both"/>
      </w:pPr>
      <w:bookmarkStart w:id="30" w:name="_Ref39651736"/>
      <w:r w:rsidRPr="00652090">
        <w:rPr>
          <w:rFonts w:asciiTheme="minorHAnsi" w:hAnsiTheme="minorHAnsi"/>
          <w:szCs w:val="22"/>
        </w:rPr>
        <w:t>Příjemce je povinen splnit indikátor</w:t>
      </w:r>
      <w:r>
        <w:rPr>
          <w:rFonts w:asciiTheme="minorHAnsi" w:hAnsiTheme="minorHAnsi"/>
          <w:szCs w:val="22"/>
        </w:rPr>
        <w:t>/y povinný/é</w:t>
      </w:r>
      <w:r w:rsidRPr="00652090">
        <w:rPr>
          <w:rFonts w:asciiTheme="minorHAnsi" w:hAnsiTheme="minorHAnsi"/>
          <w:szCs w:val="22"/>
        </w:rPr>
        <w:t xml:space="preserve"> k</w:t>
      </w:r>
      <w:r>
        <w:rPr>
          <w:rFonts w:asciiTheme="minorHAnsi" w:hAnsiTheme="minorHAnsi"/>
          <w:szCs w:val="22"/>
        </w:rPr>
        <w:t> </w:t>
      </w:r>
      <w:r w:rsidRPr="00652090">
        <w:rPr>
          <w:rFonts w:asciiTheme="minorHAnsi" w:hAnsiTheme="minorHAnsi"/>
          <w:szCs w:val="22"/>
        </w:rPr>
        <w:t>naplnění</w:t>
      </w:r>
      <w:r>
        <w:rPr>
          <w:rFonts w:asciiTheme="minorHAnsi" w:hAnsiTheme="minorHAnsi"/>
          <w:szCs w:val="22"/>
        </w:rPr>
        <w:t xml:space="preserve"> (dále jen „indikátor“)</w:t>
      </w:r>
      <w:r w:rsidR="007F4CAD">
        <w:rPr>
          <w:rFonts w:asciiTheme="minorHAnsi" w:hAnsiTheme="minorHAnsi"/>
          <w:szCs w:val="22"/>
        </w:rPr>
        <w:t xml:space="preserve"> a to k datu dle </w:t>
      </w:r>
      <w:r w:rsidRPr="00652090">
        <w:rPr>
          <w:rFonts w:asciiTheme="minorHAnsi" w:hAnsiTheme="minorHAnsi"/>
          <w:szCs w:val="22"/>
        </w:rPr>
        <w:t xml:space="preserve">čl. </w:t>
      </w:r>
      <w:r w:rsidR="00937AF7">
        <w:rPr>
          <w:rFonts w:asciiTheme="minorHAnsi" w:hAnsiTheme="minorHAnsi"/>
          <w:szCs w:val="22"/>
        </w:rPr>
        <w:t>3.4</w:t>
      </w:r>
      <w:r w:rsidRPr="00652090">
        <w:rPr>
          <w:rFonts w:asciiTheme="minorHAnsi" w:hAnsiTheme="minorHAnsi"/>
          <w:szCs w:val="22"/>
        </w:rPr>
        <w:t xml:space="preserve">, nestanoví-li tabulka níže jiný termín pro jejich splnění. </w:t>
      </w:r>
      <w:r>
        <w:rPr>
          <w:rFonts w:asciiTheme="minorHAnsi" w:hAnsiTheme="minorHAnsi"/>
          <w:szCs w:val="22"/>
        </w:rPr>
        <w:t>Dosažení splnění cílové hodnoty indikátoru je příjemce povinen doložit.</w:t>
      </w:r>
      <w:bookmarkEnd w:id="30"/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133"/>
        <w:gridCol w:w="2958"/>
        <w:gridCol w:w="1527"/>
        <w:gridCol w:w="1443"/>
      </w:tblGrid>
      <w:tr w:rsidR="00107CA4" w14:paraId="26054DA5" w14:textId="77777777" w:rsidTr="00186D5C">
        <w:trPr>
          <w:cantSplit/>
        </w:trPr>
        <w:tc>
          <w:tcPr>
            <w:tcW w:w="3133" w:type="dxa"/>
          </w:tcPr>
          <w:p w14:paraId="7ABF7D07" w14:textId="77777777" w:rsidR="009812E7" w:rsidRDefault="00471E1A" w:rsidP="009812E7">
            <w:pPr>
              <w:jc w:val="both"/>
              <w:rPr>
                <w:szCs w:val="22"/>
              </w:rPr>
            </w:pPr>
            <w:r>
              <w:rPr>
                <w:rFonts w:asciiTheme="minorHAnsi" w:hAnsiTheme="minorHAnsi" w:cs="Calibri"/>
                <w:szCs w:val="22"/>
              </w:rPr>
              <w:t>Číslo a název indikátoru</w:t>
            </w:r>
          </w:p>
        </w:tc>
        <w:tc>
          <w:tcPr>
            <w:tcW w:w="2958" w:type="dxa"/>
          </w:tcPr>
          <w:p w14:paraId="1F2C7945" w14:textId="77777777" w:rsidR="009812E7" w:rsidRPr="000B2EAB" w:rsidRDefault="00471E1A" w:rsidP="009812E7">
            <w:pPr>
              <w:jc w:val="both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Jednotky</w:t>
            </w:r>
          </w:p>
        </w:tc>
        <w:tc>
          <w:tcPr>
            <w:tcW w:w="1527" w:type="dxa"/>
          </w:tcPr>
          <w:p w14:paraId="08350C22" w14:textId="77777777" w:rsidR="009812E7" w:rsidRPr="000B2EAB" w:rsidRDefault="00471E1A" w:rsidP="00937AF7">
            <w:pPr>
              <w:jc w:val="both"/>
              <w:rPr>
                <w:rFonts w:asciiTheme="minorHAnsi" w:hAnsiTheme="minorHAnsi"/>
                <w:szCs w:val="22"/>
              </w:rPr>
            </w:pPr>
            <w:r w:rsidRPr="000B2EAB">
              <w:rPr>
                <w:rFonts w:asciiTheme="minorHAnsi" w:hAnsiTheme="minorHAnsi"/>
                <w:szCs w:val="22"/>
              </w:rPr>
              <w:t>Datum cílové hodnoty</w:t>
            </w:r>
            <w:r>
              <w:rPr>
                <w:rFonts w:asciiTheme="minorHAnsi" w:hAnsiTheme="minorHAnsi"/>
                <w:szCs w:val="22"/>
              </w:rPr>
              <w:t xml:space="preserve"> (pokud je jiné než datum plánovaného ukončení Projektu uvedené v čl. </w:t>
            </w:r>
            <w:r w:rsidR="00937AF7">
              <w:rPr>
                <w:rFonts w:asciiTheme="minorHAnsi" w:hAnsiTheme="minorHAnsi"/>
                <w:szCs w:val="22"/>
              </w:rPr>
              <w:t>3.4</w:t>
            </w:r>
            <w:r>
              <w:rPr>
                <w:rFonts w:asciiTheme="minorHAnsi" w:hAnsiTheme="minorHAnsi"/>
                <w:szCs w:val="22"/>
              </w:rPr>
              <w:t>)</w:t>
            </w:r>
          </w:p>
        </w:tc>
        <w:tc>
          <w:tcPr>
            <w:tcW w:w="1443" w:type="dxa"/>
          </w:tcPr>
          <w:p w14:paraId="761F3370" w14:textId="77777777" w:rsidR="009812E7" w:rsidRPr="000B2EAB" w:rsidRDefault="00471E1A" w:rsidP="009812E7">
            <w:pPr>
              <w:jc w:val="both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Cílová hodnota</w:t>
            </w:r>
          </w:p>
        </w:tc>
      </w:tr>
      <w:tr w:rsidR="00107CA4" w14:paraId="328F5B42" w14:textId="77777777" w:rsidTr="00186D5C">
        <w:trPr>
          <w:cantSplit/>
          <w:trHeight w:val="486"/>
        </w:trPr>
        <w:tc>
          <w:tcPr>
            <w:tcW w:w="3133" w:type="dxa"/>
          </w:tcPr>
          <w:p w14:paraId="34807375" w14:textId="77777777" w:rsidR="009812E7" w:rsidRDefault="00471E1A" w:rsidP="009812E7">
            <w:pPr>
              <w:jc w:val="both"/>
              <w:rPr>
                <w:szCs w:val="22"/>
              </w:rPr>
            </w:pPr>
            <w:r w:rsidRPr="0057205C">
              <w:rPr>
                <w:rFonts w:asciiTheme="minorHAnsi" w:hAnsiTheme="minorHAnsi" w:cs="Calibri"/>
                <w:szCs w:val="22"/>
              </w:rPr>
              <w:t xml:space="preserve"> 21610 Počet nových přihlášených výsledků aplikovaného výzkumu</w:t>
            </w:r>
          </w:p>
        </w:tc>
        <w:tc>
          <w:tcPr>
            <w:tcW w:w="2958" w:type="dxa"/>
          </w:tcPr>
          <w:p w14:paraId="3EDA120A" w14:textId="77777777" w:rsidR="009812E7" w:rsidRDefault="00471E1A" w:rsidP="009812E7">
            <w:pPr>
              <w:jc w:val="both"/>
              <w:rPr>
                <w:szCs w:val="22"/>
              </w:rPr>
            </w:pPr>
            <w:r w:rsidRPr="008440D6">
              <w:rPr>
                <w:rFonts w:asciiTheme="minorHAnsi" w:hAnsiTheme="minorHAnsi" w:cs="Calibri"/>
                <w:szCs w:val="22"/>
              </w:rPr>
              <w:t>Výsledky</w:t>
            </w:r>
          </w:p>
        </w:tc>
        <w:tc>
          <w:tcPr>
            <w:tcW w:w="1527" w:type="dxa"/>
          </w:tcPr>
          <w:p w14:paraId="4EF2EEDC" w14:textId="6D8DD02B" w:rsidR="009812E7" w:rsidRDefault="00186D5C" w:rsidP="009812E7">
            <w:pPr>
              <w:jc w:val="both"/>
              <w:rPr>
                <w:szCs w:val="22"/>
              </w:rPr>
            </w:pPr>
            <w:r>
              <w:rPr>
                <w:szCs w:val="22"/>
              </w:rPr>
              <w:t>X</w:t>
            </w:r>
          </w:p>
        </w:tc>
        <w:tc>
          <w:tcPr>
            <w:tcW w:w="1443" w:type="dxa"/>
          </w:tcPr>
          <w:p w14:paraId="37A3732A" w14:textId="77777777" w:rsidR="009812E7" w:rsidRDefault="00471E1A" w:rsidP="009812E7">
            <w:pPr>
              <w:jc w:val="both"/>
              <w:rPr>
                <w:rFonts w:asciiTheme="minorHAnsi" w:hAnsiTheme="minorHAnsi" w:cs="Calibri"/>
                <w:szCs w:val="22"/>
              </w:rPr>
            </w:pPr>
            <w:r w:rsidRPr="008440D6">
              <w:rPr>
                <w:rFonts w:asciiTheme="minorHAnsi" w:hAnsiTheme="minorHAnsi" w:cs="Calibri"/>
                <w:szCs w:val="22"/>
              </w:rPr>
              <w:t>1,00</w:t>
            </w:r>
          </w:p>
          <w:p w14:paraId="58C256F8" w14:textId="322926C1" w:rsidR="00186D5C" w:rsidRDefault="00186D5C" w:rsidP="009812E7">
            <w:pPr>
              <w:jc w:val="both"/>
              <w:rPr>
                <w:szCs w:val="22"/>
              </w:rPr>
            </w:pPr>
            <w:r w:rsidRPr="00186D5C">
              <w:rPr>
                <w:szCs w:val="22"/>
              </w:rPr>
              <w:t>Poloprovoz</w:t>
            </w:r>
            <w:r>
              <w:rPr>
                <w:szCs w:val="22"/>
              </w:rPr>
              <w:t xml:space="preserve"> - </w:t>
            </w:r>
            <w:r>
              <w:t xml:space="preserve">Příprava specifických protilátek proti COVID19 (monoklonální, </w:t>
            </w:r>
            <w:proofErr w:type="spellStart"/>
            <w:r>
              <w:t>nanoprotilátky</w:t>
            </w:r>
            <w:proofErr w:type="spellEnd"/>
            <w:r>
              <w:t xml:space="preserve"> a </w:t>
            </w:r>
            <w:proofErr w:type="spellStart"/>
            <w:r>
              <w:t>IgY</w:t>
            </w:r>
            <w:proofErr w:type="spellEnd"/>
            <w:r>
              <w:t>) a jejich ověření na zvířecích modelech</w:t>
            </w:r>
          </w:p>
        </w:tc>
      </w:tr>
    </w:tbl>
    <w:p w14:paraId="40ACD3C9" w14:textId="77777777" w:rsidR="000B55A9" w:rsidRPr="000B55A9" w:rsidRDefault="000B55A9" w:rsidP="000B55A9">
      <w:pPr>
        <w:spacing w:before="120" w:after="120"/>
      </w:pPr>
    </w:p>
    <w:p w14:paraId="41459392" w14:textId="77777777" w:rsidR="000B55A9" w:rsidRPr="000B55A9" w:rsidRDefault="00471E1A" w:rsidP="001C5827">
      <w:pPr>
        <w:pStyle w:val="Odstavecseseznamem"/>
        <w:numPr>
          <w:ilvl w:val="2"/>
          <w:numId w:val="4"/>
        </w:numPr>
        <w:spacing w:before="120" w:after="120"/>
        <w:contextualSpacing w:val="0"/>
        <w:jc w:val="both"/>
      </w:pPr>
      <w:r w:rsidRPr="00652090">
        <w:rPr>
          <w:rFonts w:asciiTheme="minorHAnsi" w:hAnsiTheme="minorHAnsi"/>
          <w:szCs w:val="22"/>
        </w:rPr>
        <w:t>Definice indikátoru je obsažena v Pravidlech pro žadatele a příjemce dotace z OPPIK – zvláštní část, která jsou přílohou tohoto rozhodnutí</w:t>
      </w:r>
      <w:r>
        <w:rPr>
          <w:rFonts w:asciiTheme="minorHAnsi" w:hAnsiTheme="minorHAnsi"/>
          <w:szCs w:val="22"/>
        </w:rPr>
        <w:t>.</w:t>
      </w:r>
    </w:p>
    <w:p w14:paraId="253B21CE" w14:textId="77777777" w:rsidR="000B55A9" w:rsidRPr="000B55A9" w:rsidRDefault="00471E1A" w:rsidP="001C5827">
      <w:pPr>
        <w:pStyle w:val="Odstavecseseznamem"/>
        <w:numPr>
          <w:ilvl w:val="2"/>
          <w:numId w:val="4"/>
        </w:numPr>
        <w:spacing w:before="120" w:after="120"/>
        <w:contextualSpacing w:val="0"/>
        <w:jc w:val="both"/>
      </w:pPr>
      <w:bookmarkStart w:id="31" w:name="_Ref39653295"/>
      <w:r w:rsidRPr="00652090">
        <w:rPr>
          <w:rFonts w:asciiTheme="minorHAnsi" w:hAnsiTheme="minorHAnsi"/>
          <w:szCs w:val="22"/>
        </w:rPr>
        <w:t>Nedodržení povinnosti dle č</w:t>
      </w:r>
      <w:r w:rsidR="007F4CAD">
        <w:rPr>
          <w:rFonts w:asciiTheme="minorHAnsi" w:hAnsiTheme="minorHAnsi"/>
          <w:szCs w:val="22"/>
        </w:rPr>
        <w:t>l</w:t>
      </w:r>
      <w:r w:rsidRPr="00652090">
        <w:rPr>
          <w:rFonts w:asciiTheme="minorHAnsi" w:hAnsiTheme="minorHAnsi"/>
          <w:szCs w:val="22"/>
        </w:rPr>
        <w:t xml:space="preserve">. </w:t>
      </w:r>
      <w:r w:rsidR="00937AF7">
        <w:rPr>
          <w:rFonts w:asciiTheme="minorHAnsi" w:hAnsiTheme="minorHAnsi"/>
          <w:szCs w:val="22"/>
        </w:rPr>
        <w:t>6.10.1</w:t>
      </w:r>
      <w:r w:rsidRPr="00652090">
        <w:rPr>
          <w:rFonts w:asciiTheme="minorHAnsi" w:hAnsiTheme="minorHAnsi"/>
          <w:szCs w:val="22"/>
        </w:rPr>
        <w:t xml:space="preserve"> bude mít za následek nevyplacení dotace</w:t>
      </w:r>
      <w:r w:rsidR="007F4CAD">
        <w:rPr>
          <w:rFonts w:asciiTheme="minorHAnsi" w:hAnsiTheme="minorHAnsi"/>
          <w:szCs w:val="22"/>
        </w:rPr>
        <w:t xml:space="preserve"> nebo její části</w:t>
      </w:r>
      <w:r>
        <w:rPr>
          <w:rFonts w:asciiTheme="minorHAnsi" w:hAnsiTheme="minorHAnsi"/>
          <w:szCs w:val="22"/>
        </w:rPr>
        <w:t>, či vrácení dotace dle § 14f rozpočtových pravidel</w:t>
      </w:r>
      <w:r w:rsidRPr="00652090">
        <w:rPr>
          <w:rFonts w:asciiTheme="minorHAnsi" w:hAnsiTheme="minorHAnsi"/>
          <w:szCs w:val="22"/>
        </w:rPr>
        <w:t xml:space="preserve"> dle tabulky níže</w:t>
      </w:r>
      <w:r>
        <w:rPr>
          <w:rFonts w:asciiTheme="minorHAnsi" w:hAnsiTheme="minorHAnsi"/>
          <w:szCs w:val="22"/>
        </w:rPr>
        <w:t>:</w:t>
      </w:r>
      <w:bookmarkEnd w:id="31"/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0"/>
      </w:tblGrid>
      <w:tr w:rsidR="00107CA4" w14:paraId="37F35CCB" w14:textId="77777777" w:rsidTr="00F65F3C">
        <w:trPr>
          <w:cantSplit/>
        </w:trPr>
        <w:tc>
          <w:tcPr>
            <w:tcW w:w="4531" w:type="dxa"/>
          </w:tcPr>
          <w:p w14:paraId="688CA68A" w14:textId="77777777" w:rsidR="000B55A9" w:rsidRPr="00072D05" w:rsidRDefault="00471E1A" w:rsidP="00F65F3C">
            <w:pPr>
              <w:jc w:val="both"/>
              <w:rPr>
                <w:rFonts w:asciiTheme="minorHAnsi" w:hAnsiTheme="minorHAnsi"/>
                <w:szCs w:val="22"/>
              </w:rPr>
            </w:pPr>
            <w:r w:rsidRPr="00072D05">
              <w:rPr>
                <w:rFonts w:asciiTheme="minorHAnsi" w:hAnsiTheme="minorHAnsi"/>
                <w:szCs w:val="22"/>
              </w:rPr>
              <w:t>Míra naplnění indikátoru</w:t>
            </w:r>
            <w:r>
              <w:rPr>
                <w:rFonts w:asciiTheme="minorHAnsi" w:hAnsiTheme="minorHAnsi"/>
                <w:szCs w:val="22"/>
              </w:rPr>
              <w:t xml:space="preserve"> (zaokrouhluje se matematicky na celá čísla)</w:t>
            </w:r>
          </w:p>
        </w:tc>
        <w:tc>
          <w:tcPr>
            <w:tcW w:w="4531" w:type="dxa"/>
          </w:tcPr>
          <w:p w14:paraId="76DDD9A4" w14:textId="77777777" w:rsidR="000B55A9" w:rsidRPr="00072D05" w:rsidRDefault="00471E1A" w:rsidP="00F65F3C">
            <w:pPr>
              <w:jc w:val="both"/>
              <w:rPr>
                <w:rFonts w:asciiTheme="minorHAnsi" w:hAnsiTheme="minorHAnsi"/>
                <w:szCs w:val="22"/>
              </w:rPr>
            </w:pPr>
            <w:r w:rsidRPr="00072D05">
              <w:rPr>
                <w:rFonts w:asciiTheme="minorHAnsi" w:hAnsiTheme="minorHAnsi"/>
                <w:szCs w:val="22"/>
              </w:rPr>
              <w:t xml:space="preserve">Procento </w:t>
            </w:r>
            <w:r>
              <w:rPr>
                <w:rFonts w:asciiTheme="minorHAnsi" w:hAnsiTheme="minorHAnsi"/>
                <w:szCs w:val="22"/>
              </w:rPr>
              <w:t>poskytnuté dotace, které nebude příjemci vyplaceno</w:t>
            </w:r>
          </w:p>
        </w:tc>
      </w:tr>
      <w:tr w:rsidR="00107CA4" w14:paraId="3336D0F5" w14:textId="77777777" w:rsidTr="00F65F3C">
        <w:trPr>
          <w:cantSplit/>
        </w:trPr>
        <w:tc>
          <w:tcPr>
            <w:tcW w:w="4531" w:type="dxa"/>
          </w:tcPr>
          <w:p w14:paraId="0E3BA719" w14:textId="77777777" w:rsidR="000B55A9" w:rsidRPr="00072D05" w:rsidRDefault="00471E1A" w:rsidP="00F65F3C">
            <w:pPr>
              <w:jc w:val="both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96 – 100 %</w:t>
            </w:r>
          </w:p>
        </w:tc>
        <w:tc>
          <w:tcPr>
            <w:tcW w:w="4531" w:type="dxa"/>
          </w:tcPr>
          <w:p w14:paraId="21862B46" w14:textId="77777777" w:rsidR="000B55A9" w:rsidRPr="00072D05" w:rsidRDefault="00471E1A" w:rsidP="00F65F3C">
            <w:pPr>
              <w:jc w:val="both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0 %, indikátor se považuje za splněný</w:t>
            </w:r>
          </w:p>
        </w:tc>
      </w:tr>
      <w:tr w:rsidR="00107CA4" w14:paraId="1310EDF9" w14:textId="77777777" w:rsidTr="00F65F3C">
        <w:trPr>
          <w:cantSplit/>
        </w:trPr>
        <w:tc>
          <w:tcPr>
            <w:tcW w:w="4531" w:type="dxa"/>
          </w:tcPr>
          <w:p w14:paraId="58FB0724" w14:textId="77777777" w:rsidR="000B55A9" w:rsidRPr="00072D05" w:rsidRDefault="00471E1A" w:rsidP="00F65F3C">
            <w:pPr>
              <w:jc w:val="both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85 – 95</w:t>
            </w:r>
            <w:r w:rsidRPr="00072D05">
              <w:rPr>
                <w:rFonts w:asciiTheme="minorHAnsi" w:hAnsiTheme="minorHAnsi"/>
                <w:szCs w:val="22"/>
              </w:rPr>
              <w:t xml:space="preserve"> %</w:t>
            </w:r>
          </w:p>
        </w:tc>
        <w:tc>
          <w:tcPr>
            <w:tcW w:w="4531" w:type="dxa"/>
          </w:tcPr>
          <w:p w14:paraId="314DDC80" w14:textId="77777777" w:rsidR="000B55A9" w:rsidRPr="00072D05" w:rsidRDefault="00471E1A" w:rsidP="00F65F3C">
            <w:pPr>
              <w:jc w:val="both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2</w:t>
            </w:r>
            <w:r w:rsidRPr="00072D05">
              <w:rPr>
                <w:rFonts w:asciiTheme="minorHAnsi" w:hAnsiTheme="minorHAnsi"/>
                <w:szCs w:val="22"/>
              </w:rPr>
              <w:t>0 %</w:t>
            </w:r>
          </w:p>
        </w:tc>
      </w:tr>
      <w:tr w:rsidR="00107CA4" w14:paraId="53C45810" w14:textId="77777777" w:rsidTr="00F65F3C">
        <w:trPr>
          <w:cantSplit/>
        </w:trPr>
        <w:tc>
          <w:tcPr>
            <w:tcW w:w="4531" w:type="dxa"/>
          </w:tcPr>
          <w:p w14:paraId="0B862A46" w14:textId="77777777" w:rsidR="000B55A9" w:rsidRPr="00072D05" w:rsidRDefault="00471E1A" w:rsidP="00F65F3C">
            <w:pPr>
              <w:jc w:val="both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75 – 84 %</w:t>
            </w:r>
          </w:p>
        </w:tc>
        <w:tc>
          <w:tcPr>
            <w:tcW w:w="4531" w:type="dxa"/>
          </w:tcPr>
          <w:p w14:paraId="3510777A" w14:textId="77777777" w:rsidR="000B55A9" w:rsidRPr="00072D05" w:rsidRDefault="00471E1A" w:rsidP="00F65F3C">
            <w:pPr>
              <w:jc w:val="both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30 %</w:t>
            </w:r>
          </w:p>
        </w:tc>
      </w:tr>
      <w:tr w:rsidR="00107CA4" w14:paraId="3650C79D" w14:textId="77777777" w:rsidTr="00F65F3C">
        <w:trPr>
          <w:cantSplit/>
        </w:trPr>
        <w:tc>
          <w:tcPr>
            <w:tcW w:w="4531" w:type="dxa"/>
          </w:tcPr>
          <w:p w14:paraId="2E73485D" w14:textId="77777777" w:rsidR="000B55A9" w:rsidRPr="00072D05" w:rsidRDefault="00471E1A" w:rsidP="00F65F3C">
            <w:pPr>
              <w:jc w:val="both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50 – 74 %</w:t>
            </w:r>
          </w:p>
        </w:tc>
        <w:tc>
          <w:tcPr>
            <w:tcW w:w="4531" w:type="dxa"/>
          </w:tcPr>
          <w:p w14:paraId="17ABD681" w14:textId="77777777" w:rsidR="000B55A9" w:rsidRPr="00072D05" w:rsidRDefault="00471E1A" w:rsidP="00F65F3C">
            <w:pPr>
              <w:jc w:val="both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45 %</w:t>
            </w:r>
          </w:p>
        </w:tc>
      </w:tr>
      <w:tr w:rsidR="00107CA4" w14:paraId="467B66BF" w14:textId="77777777" w:rsidTr="00F65F3C">
        <w:trPr>
          <w:cantSplit/>
        </w:trPr>
        <w:tc>
          <w:tcPr>
            <w:tcW w:w="4531" w:type="dxa"/>
          </w:tcPr>
          <w:p w14:paraId="5406A714" w14:textId="77777777" w:rsidR="000B55A9" w:rsidRPr="00072D05" w:rsidRDefault="00471E1A" w:rsidP="00F65F3C">
            <w:pPr>
              <w:jc w:val="both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40 – 4</w:t>
            </w:r>
            <w:r w:rsidRPr="00072D05">
              <w:rPr>
                <w:rFonts w:asciiTheme="minorHAnsi" w:hAnsiTheme="minorHAnsi"/>
                <w:szCs w:val="22"/>
              </w:rPr>
              <w:t>9 %</w:t>
            </w:r>
          </w:p>
        </w:tc>
        <w:tc>
          <w:tcPr>
            <w:tcW w:w="4531" w:type="dxa"/>
          </w:tcPr>
          <w:p w14:paraId="1E448A53" w14:textId="77777777" w:rsidR="000B55A9" w:rsidRPr="00072D05" w:rsidRDefault="00471E1A" w:rsidP="00F65F3C">
            <w:pPr>
              <w:jc w:val="both"/>
              <w:rPr>
                <w:rFonts w:asciiTheme="minorHAnsi" w:hAnsiTheme="minorHAnsi"/>
                <w:szCs w:val="22"/>
              </w:rPr>
            </w:pPr>
            <w:r w:rsidRPr="00072D05">
              <w:rPr>
                <w:rFonts w:asciiTheme="minorHAnsi" w:hAnsiTheme="minorHAnsi"/>
                <w:szCs w:val="22"/>
              </w:rPr>
              <w:t>60 %</w:t>
            </w:r>
          </w:p>
        </w:tc>
      </w:tr>
      <w:tr w:rsidR="00107CA4" w14:paraId="2670D95F" w14:textId="77777777" w:rsidTr="00F65F3C">
        <w:trPr>
          <w:cantSplit/>
        </w:trPr>
        <w:tc>
          <w:tcPr>
            <w:tcW w:w="4531" w:type="dxa"/>
          </w:tcPr>
          <w:p w14:paraId="07218A00" w14:textId="77777777" w:rsidR="000B55A9" w:rsidRPr="00072D05" w:rsidRDefault="00471E1A" w:rsidP="00F65F3C">
            <w:pPr>
              <w:jc w:val="both"/>
              <w:rPr>
                <w:rFonts w:asciiTheme="minorHAnsi" w:hAnsiTheme="minorHAnsi"/>
                <w:szCs w:val="22"/>
              </w:rPr>
            </w:pPr>
            <w:r w:rsidRPr="00072D05">
              <w:rPr>
                <w:rFonts w:asciiTheme="minorHAnsi" w:hAnsiTheme="minorHAnsi"/>
                <w:szCs w:val="22"/>
              </w:rPr>
              <w:t>méně než 40 %</w:t>
            </w:r>
          </w:p>
        </w:tc>
        <w:tc>
          <w:tcPr>
            <w:tcW w:w="4531" w:type="dxa"/>
          </w:tcPr>
          <w:p w14:paraId="2CB7E8F5" w14:textId="77777777" w:rsidR="000B55A9" w:rsidRPr="00072D05" w:rsidRDefault="00471E1A" w:rsidP="00F65F3C">
            <w:pPr>
              <w:jc w:val="both"/>
              <w:rPr>
                <w:rFonts w:asciiTheme="minorHAnsi" w:hAnsiTheme="minorHAnsi"/>
                <w:szCs w:val="22"/>
              </w:rPr>
            </w:pPr>
            <w:r w:rsidRPr="00072D05">
              <w:rPr>
                <w:rFonts w:asciiTheme="minorHAnsi" w:hAnsiTheme="minorHAnsi"/>
                <w:szCs w:val="22"/>
              </w:rPr>
              <w:t>100 %</w:t>
            </w:r>
          </w:p>
        </w:tc>
      </w:tr>
    </w:tbl>
    <w:p w14:paraId="524FC73C" w14:textId="77777777" w:rsidR="000B55A9" w:rsidRDefault="00471E1A" w:rsidP="001C5827">
      <w:pPr>
        <w:spacing w:before="120" w:after="120"/>
        <w:jc w:val="both"/>
        <w:rPr>
          <w:rFonts w:asciiTheme="minorHAnsi" w:hAnsiTheme="minorHAnsi"/>
          <w:szCs w:val="22"/>
        </w:rPr>
      </w:pPr>
      <w:r w:rsidRPr="00072D05">
        <w:rPr>
          <w:rFonts w:asciiTheme="minorHAnsi" w:hAnsiTheme="minorHAnsi"/>
          <w:szCs w:val="22"/>
        </w:rPr>
        <w:t>Uvedená tabulka platí za předpokladu, že povaha indikátoru umožňuje jeho procentní naplnění</w:t>
      </w:r>
      <w:r w:rsidR="00811E15">
        <w:rPr>
          <w:rFonts w:asciiTheme="minorHAnsi" w:hAnsiTheme="minorHAnsi"/>
          <w:szCs w:val="22"/>
        </w:rPr>
        <w:t xml:space="preserve"> nebo </w:t>
      </w:r>
      <w:r>
        <w:rPr>
          <w:rFonts w:asciiTheme="minorHAnsi" w:hAnsiTheme="minorHAnsi"/>
          <w:szCs w:val="22"/>
        </w:rPr>
        <w:t>je jeho cílová hodnota vyšší než 1</w:t>
      </w:r>
      <w:r w:rsidRPr="00072D05">
        <w:rPr>
          <w:rFonts w:asciiTheme="minorHAnsi" w:hAnsiTheme="minorHAnsi"/>
          <w:szCs w:val="22"/>
        </w:rPr>
        <w:t>. Pokud je indikátor z povahy věci takový, že je pouze buď zcela splněn, nebo splněn není</w:t>
      </w:r>
      <w:r>
        <w:rPr>
          <w:rFonts w:asciiTheme="minorHAnsi" w:hAnsiTheme="minorHAnsi"/>
          <w:szCs w:val="22"/>
        </w:rPr>
        <w:t xml:space="preserve"> nebo jeho cílová hodnota je </w:t>
      </w:r>
      <w:r w:rsidR="00D628E0">
        <w:rPr>
          <w:rFonts w:asciiTheme="minorHAnsi" w:hAnsiTheme="minorHAnsi"/>
          <w:szCs w:val="22"/>
        </w:rPr>
        <w:t>rovna jedné</w:t>
      </w:r>
      <w:r w:rsidRPr="00072D05">
        <w:rPr>
          <w:rFonts w:asciiTheme="minorHAnsi" w:hAnsiTheme="minorHAnsi"/>
          <w:szCs w:val="22"/>
        </w:rPr>
        <w:t xml:space="preserve">, platí při jeho nesplnění </w:t>
      </w:r>
      <w:r>
        <w:rPr>
          <w:rFonts w:asciiTheme="minorHAnsi" w:hAnsiTheme="minorHAnsi"/>
          <w:szCs w:val="22"/>
        </w:rPr>
        <w:t>nevyplacení</w:t>
      </w:r>
      <w:r w:rsidRPr="00072D05">
        <w:rPr>
          <w:rFonts w:asciiTheme="minorHAnsi" w:hAnsiTheme="minorHAnsi"/>
          <w:szCs w:val="22"/>
        </w:rPr>
        <w:t xml:space="preserve"> 100 % poskytnuté dotace. </w:t>
      </w:r>
      <w:r>
        <w:rPr>
          <w:rFonts w:asciiTheme="minorHAnsi" w:hAnsiTheme="minorHAnsi"/>
          <w:szCs w:val="22"/>
        </w:rPr>
        <w:t xml:space="preserve"> Poskytovatel bude vždy posuzovat reálné, fyzické naplnění indikátoru a výsledku Projektu. V případech, kdy případné pochybení příjemce týkající se splnění indikátoru nebude mít vliv na jeho reálné, fyzické naplnění, bude toto pochybení mít za následek nevyplacení části dotac</w:t>
      </w:r>
      <w:r w:rsidR="00D628E0">
        <w:rPr>
          <w:rFonts w:asciiTheme="minorHAnsi" w:hAnsiTheme="minorHAnsi"/>
          <w:szCs w:val="22"/>
        </w:rPr>
        <w:t>e odpovídající 1 %</w:t>
      </w:r>
      <w:r>
        <w:rPr>
          <w:rFonts w:asciiTheme="minorHAnsi" w:hAnsiTheme="minorHAnsi"/>
          <w:szCs w:val="22"/>
        </w:rPr>
        <w:t xml:space="preserve"> poskytnuté dotace. </w:t>
      </w:r>
    </w:p>
    <w:p w14:paraId="599B2BB3" w14:textId="77777777" w:rsidR="000B55A9" w:rsidRDefault="00471E1A" w:rsidP="000B55A9">
      <w:pPr>
        <w:spacing w:before="120" w:after="120"/>
        <w:jc w:val="both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 xml:space="preserve">Pokud je dle čl. </w:t>
      </w:r>
      <w:r w:rsidR="00937AF7">
        <w:rPr>
          <w:rFonts w:asciiTheme="minorHAnsi" w:hAnsiTheme="minorHAnsi"/>
          <w:szCs w:val="22"/>
        </w:rPr>
        <w:t>6.10.1</w:t>
      </w:r>
      <w:r>
        <w:rPr>
          <w:rFonts w:asciiTheme="minorHAnsi" w:hAnsiTheme="minorHAnsi"/>
          <w:szCs w:val="22"/>
        </w:rPr>
        <w:t xml:space="preserve"> příjemce povinen naplnit více </w:t>
      </w:r>
      <w:r w:rsidR="00033B78" w:rsidRPr="001D6E5B">
        <w:rPr>
          <w:rFonts w:asciiTheme="minorHAnsi" w:hAnsiTheme="minorHAnsi"/>
          <w:szCs w:val="22"/>
        </w:rPr>
        <w:t>různých</w:t>
      </w:r>
      <w:r w:rsidR="00033B78">
        <w:rPr>
          <w:rFonts w:asciiTheme="minorHAnsi" w:hAnsiTheme="minorHAnsi"/>
          <w:szCs w:val="22"/>
        </w:rPr>
        <w:t xml:space="preserve"> </w:t>
      </w:r>
      <w:r w:rsidR="001D6E5B">
        <w:rPr>
          <w:rFonts w:asciiTheme="minorHAnsi" w:hAnsiTheme="minorHAnsi"/>
          <w:szCs w:val="22"/>
        </w:rPr>
        <w:t>druhů výstupů v rámci jednoho indikátoru</w:t>
      </w:r>
      <w:r>
        <w:rPr>
          <w:rFonts w:asciiTheme="minorHAnsi" w:hAnsiTheme="minorHAnsi"/>
          <w:szCs w:val="22"/>
        </w:rPr>
        <w:t xml:space="preserve">, bude případné nevyplacení dotace či její části provedeno dle tabulky výše, procentní nevyplacení části poskytnuté dotace se však v takovém případě nevztahuje na celou poskytnutou dotaci, ale </w:t>
      </w:r>
      <w:r w:rsidRPr="001D6E5B">
        <w:rPr>
          <w:rFonts w:asciiTheme="minorHAnsi" w:hAnsiTheme="minorHAnsi"/>
          <w:szCs w:val="22"/>
        </w:rPr>
        <w:t>bude</w:t>
      </w:r>
      <w:r>
        <w:rPr>
          <w:rFonts w:asciiTheme="minorHAnsi" w:hAnsiTheme="minorHAnsi"/>
          <w:szCs w:val="22"/>
        </w:rPr>
        <w:t xml:space="preserve"> vypočítáno z poskytnuté dotace odpovídající způsobil</w:t>
      </w:r>
      <w:r w:rsidR="00811E15">
        <w:rPr>
          <w:rFonts w:asciiTheme="minorHAnsi" w:hAnsiTheme="minorHAnsi"/>
          <w:szCs w:val="22"/>
        </w:rPr>
        <w:t>ým výdajům nutným pro </w:t>
      </w:r>
      <w:r>
        <w:rPr>
          <w:rFonts w:asciiTheme="minorHAnsi" w:hAnsiTheme="minorHAnsi"/>
          <w:szCs w:val="22"/>
        </w:rPr>
        <w:t xml:space="preserve">splnění </w:t>
      </w:r>
      <w:r w:rsidR="001D6E5B">
        <w:rPr>
          <w:rFonts w:asciiTheme="minorHAnsi" w:hAnsiTheme="minorHAnsi"/>
          <w:szCs w:val="22"/>
        </w:rPr>
        <w:t>daného druhu výstupu</w:t>
      </w:r>
      <w:r>
        <w:rPr>
          <w:rFonts w:asciiTheme="minorHAnsi" w:hAnsiTheme="minorHAnsi"/>
          <w:szCs w:val="22"/>
        </w:rPr>
        <w:t xml:space="preserve">. </w:t>
      </w:r>
    </w:p>
    <w:p w14:paraId="30E8693D" w14:textId="77777777" w:rsidR="000B55A9" w:rsidRPr="000B55A9" w:rsidRDefault="000B55A9" w:rsidP="000B55A9">
      <w:pPr>
        <w:spacing w:before="120" w:after="120"/>
      </w:pPr>
    </w:p>
    <w:p w14:paraId="5F1A229F" w14:textId="77777777" w:rsidR="000B55A9" w:rsidRPr="009812E7" w:rsidRDefault="00471E1A" w:rsidP="00D87A31">
      <w:pPr>
        <w:pStyle w:val="Odstavecseseznamem"/>
        <w:numPr>
          <w:ilvl w:val="1"/>
          <w:numId w:val="4"/>
        </w:numPr>
        <w:spacing w:before="120" w:after="120"/>
        <w:contextualSpacing w:val="0"/>
      </w:pPr>
      <w:r w:rsidRPr="001D6E5B">
        <w:rPr>
          <w:b/>
        </w:rPr>
        <w:t>Rozpočet</w:t>
      </w:r>
    </w:p>
    <w:tbl>
      <w:tblPr>
        <w:tblStyle w:val="Mkatabulky"/>
        <w:tblW w:w="5000" w:type="pct"/>
        <w:tblInd w:w="-147" w:type="dxa"/>
        <w:tblLook w:val="04A0" w:firstRow="1" w:lastRow="0" w:firstColumn="1" w:lastColumn="0" w:noHBand="0" w:noVBand="1"/>
      </w:tblPr>
      <w:tblGrid>
        <w:gridCol w:w="2073"/>
        <w:gridCol w:w="4518"/>
        <w:gridCol w:w="2470"/>
      </w:tblGrid>
      <w:tr w:rsidR="00186D5C" w14:paraId="7A430D78" w14:textId="77777777" w:rsidTr="00186D5C">
        <w:trPr>
          <w:cantSplit/>
          <w:trHeight w:val="312"/>
        </w:trPr>
        <w:tc>
          <w:tcPr>
            <w:tcW w:w="1144" w:type="pct"/>
            <w:vAlign w:val="center"/>
          </w:tcPr>
          <w:p w14:paraId="08AF2952" w14:textId="77777777" w:rsidR="00186D5C" w:rsidRPr="009812E7" w:rsidRDefault="00186D5C" w:rsidP="009812E7">
            <w:pPr>
              <w:pStyle w:val="Odstavecseseznamem"/>
              <w:ind w:left="360"/>
              <w:rPr>
                <w:rFonts w:asciiTheme="minorHAnsi" w:hAnsiTheme="minorHAnsi" w:cs="Calibri"/>
                <w:b/>
                <w:szCs w:val="22"/>
              </w:rPr>
            </w:pPr>
            <w:r w:rsidRPr="009812E7">
              <w:rPr>
                <w:rFonts w:asciiTheme="minorHAnsi" w:hAnsiTheme="minorHAnsi" w:cs="Calibri"/>
                <w:b/>
                <w:szCs w:val="22"/>
              </w:rPr>
              <w:t>Kód</w:t>
            </w:r>
          </w:p>
        </w:tc>
        <w:tc>
          <w:tcPr>
            <w:tcW w:w="2493" w:type="pct"/>
            <w:vAlign w:val="center"/>
          </w:tcPr>
          <w:p w14:paraId="42D0F66C" w14:textId="77777777" w:rsidR="00186D5C" w:rsidRPr="00C94D1E" w:rsidRDefault="00186D5C" w:rsidP="009812E7">
            <w:pPr>
              <w:rPr>
                <w:rFonts w:asciiTheme="minorHAnsi" w:hAnsiTheme="minorHAnsi" w:cs="Calibri"/>
                <w:b/>
                <w:szCs w:val="22"/>
              </w:rPr>
            </w:pPr>
            <w:r w:rsidRPr="00C94D1E">
              <w:rPr>
                <w:rFonts w:asciiTheme="minorHAnsi" w:hAnsiTheme="minorHAnsi" w:cs="Calibri"/>
                <w:b/>
                <w:szCs w:val="22"/>
              </w:rPr>
              <w:t>Název</w:t>
            </w:r>
          </w:p>
        </w:tc>
        <w:tc>
          <w:tcPr>
            <w:tcW w:w="1363" w:type="pct"/>
            <w:vAlign w:val="center"/>
          </w:tcPr>
          <w:p w14:paraId="658A5996" w14:textId="77777777" w:rsidR="00186D5C" w:rsidRPr="00C94D1E" w:rsidRDefault="00186D5C" w:rsidP="009812E7">
            <w:pPr>
              <w:jc w:val="center"/>
              <w:rPr>
                <w:rFonts w:asciiTheme="minorHAnsi" w:hAnsiTheme="minorHAnsi" w:cs="Calibri"/>
                <w:b/>
                <w:szCs w:val="22"/>
              </w:rPr>
            </w:pPr>
            <w:r w:rsidRPr="00C94D1E">
              <w:rPr>
                <w:rFonts w:asciiTheme="minorHAnsi" w:hAnsiTheme="minorHAnsi" w:cs="Calibri"/>
                <w:b/>
                <w:szCs w:val="22"/>
              </w:rPr>
              <w:t>Částka celkem</w:t>
            </w:r>
          </w:p>
        </w:tc>
      </w:tr>
      <w:tr w:rsidR="00186D5C" w14:paraId="1FDA52D9" w14:textId="77777777" w:rsidTr="00186D5C">
        <w:trPr>
          <w:cantSplit/>
          <w:trHeight w:val="294"/>
        </w:trPr>
        <w:tc>
          <w:tcPr>
            <w:tcW w:w="1144" w:type="pct"/>
            <w:vAlign w:val="center"/>
          </w:tcPr>
          <w:p w14:paraId="7968B278" w14:textId="77777777" w:rsidR="00186D5C" w:rsidRPr="00C94D1E" w:rsidRDefault="00186D5C" w:rsidP="009812E7">
            <w:pPr>
              <w:rPr>
                <w:rFonts w:asciiTheme="minorHAnsi" w:hAnsiTheme="minorHAnsi" w:cs="Calibri"/>
                <w:szCs w:val="22"/>
              </w:rPr>
            </w:pPr>
            <w:r w:rsidRPr="00C94D1E">
              <w:rPr>
                <w:rFonts w:asciiTheme="minorHAnsi" w:hAnsiTheme="minorHAnsi" w:cs="Calibri"/>
                <w:szCs w:val="22"/>
              </w:rPr>
              <w:t xml:space="preserve"> 1</w:t>
            </w:r>
          </w:p>
        </w:tc>
        <w:tc>
          <w:tcPr>
            <w:tcW w:w="2493" w:type="pct"/>
            <w:vAlign w:val="center"/>
          </w:tcPr>
          <w:p w14:paraId="4093ABCA" w14:textId="77777777" w:rsidR="00186D5C" w:rsidRPr="00C94D1E" w:rsidRDefault="00186D5C" w:rsidP="009812E7">
            <w:pPr>
              <w:rPr>
                <w:rFonts w:asciiTheme="minorHAnsi" w:hAnsiTheme="minorHAnsi" w:cs="Calibri"/>
                <w:szCs w:val="22"/>
              </w:rPr>
            </w:pPr>
            <w:r w:rsidRPr="00C94D1E">
              <w:rPr>
                <w:rFonts w:asciiTheme="minorHAnsi" w:hAnsiTheme="minorHAnsi" w:cs="Calibri"/>
                <w:szCs w:val="22"/>
              </w:rPr>
              <w:t>Celkové výdaje</w:t>
            </w:r>
          </w:p>
        </w:tc>
        <w:tc>
          <w:tcPr>
            <w:tcW w:w="1363" w:type="pct"/>
            <w:vAlign w:val="center"/>
          </w:tcPr>
          <w:p w14:paraId="7C324A82" w14:textId="77777777" w:rsidR="00186D5C" w:rsidRPr="00C94D1E" w:rsidRDefault="00186D5C" w:rsidP="009812E7">
            <w:pPr>
              <w:jc w:val="right"/>
              <w:rPr>
                <w:rFonts w:asciiTheme="minorHAnsi" w:hAnsiTheme="minorHAnsi" w:cs="Calibri"/>
                <w:szCs w:val="22"/>
              </w:rPr>
            </w:pPr>
            <w:r w:rsidRPr="00C94D1E">
              <w:rPr>
                <w:rFonts w:asciiTheme="minorHAnsi" w:hAnsiTheme="minorHAnsi" w:cs="Calibri"/>
                <w:szCs w:val="22"/>
              </w:rPr>
              <w:t>32 266 156,00</w:t>
            </w:r>
          </w:p>
        </w:tc>
      </w:tr>
      <w:tr w:rsidR="00186D5C" w14:paraId="6F9A2C48" w14:textId="77777777" w:rsidTr="00186D5C">
        <w:trPr>
          <w:cantSplit/>
          <w:trHeight w:val="294"/>
        </w:trPr>
        <w:tc>
          <w:tcPr>
            <w:tcW w:w="1144" w:type="pct"/>
            <w:vAlign w:val="center"/>
          </w:tcPr>
          <w:p w14:paraId="15A91BB6" w14:textId="77777777" w:rsidR="00186D5C" w:rsidRPr="00C94D1E" w:rsidRDefault="00186D5C" w:rsidP="009812E7">
            <w:pPr>
              <w:rPr>
                <w:rFonts w:asciiTheme="minorHAnsi" w:hAnsiTheme="minorHAnsi" w:cs="Calibri"/>
                <w:szCs w:val="22"/>
              </w:rPr>
            </w:pPr>
            <w:r w:rsidRPr="00C94D1E">
              <w:rPr>
                <w:rFonts w:asciiTheme="minorHAnsi" w:hAnsiTheme="minorHAnsi" w:cs="Calibri"/>
                <w:szCs w:val="22"/>
              </w:rPr>
              <w:t xml:space="preserve"> 1.1</w:t>
            </w:r>
          </w:p>
        </w:tc>
        <w:tc>
          <w:tcPr>
            <w:tcW w:w="2493" w:type="pct"/>
            <w:vAlign w:val="center"/>
          </w:tcPr>
          <w:p w14:paraId="1398D688" w14:textId="77777777" w:rsidR="00186D5C" w:rsidRPr="00C94D1E" w:rsidRDefault="00186D5C" w:rsidP="009812E7">
            <w:pPr>
              <w:rPr>
                <w:rFonts w:asciiTheme="minorHAnsi" w:hAnsiTheme="minorHAnsi" w:cs="Calibri"/>
                <w:szCs w:val="22"/>
              </w:rPr>
            </w:pPr>
            <w:r w:rsidRPr="00C94D1E">
              <w:rPr>
                <w:rFonts w:asciiTheme="minorHAnsi" w:hAnsiTheme="minorHAnsi" w:cs="Calibri"/>
                <w:szCs w:val="22"/>
              </w:rPr>
              <w:t>Celkové způsobilé výdaje</w:t>
            </w:r>
          </w:p>
        </w:tc>
        <w:tc>
          <w:tcPr>
            <w:tcW w:w="1363" w:type="pct"/>
            <w:vAlign w:val="center"/>
          </w:tcPr>
          <w:p w14:paraId="696AE8D5" w14:textId="77777777" w:rsidR="00186D5C" w:rsidRPr="00C94D1E" w:rsidRDefault="00186D5C" w:rsidP="009812E7">
            <w:pPr>
              <w:jc w:val="right"/>
              <w:rPr>
                <w:rFonts w:asciiTheme="minorHAnsi" w:hAnsiTheme="minorHAnsi" w:cs="Calibri"/>
                <w:szCs w:val="22"/>
              </w:rPr>
            </w:pPr>
            <w:r w:rsidRPr="00C94D1E">
              <w:rPr>
                <w:rFonts w:asciiTheme="minorHAnsi" w:hAnsiTheme="minorHAnsi" w:cs="Calibri"/>
                <w:szCs w:val="22"/>
              </w:rPr>
              <w:t>32 266 156,00</w:t>
            </w:r>
          </w:p>
        </w:tc>
      </w:tr>
      <w:tr w:rsidR="00186D5C" w14:paraId="060472B2" w14:textId="77777777" w:rsidTr="00186D5C">
        <w:trPr>
          <w:cantSplit/>
          <w:trHeight w:val="294"/>
        </w:trPr>
        <w:tc>
          <w:tcPr>
            <w:tcW w:w="1144" w:type="pct"/>
            <w:vAlign w:val="center"/>
          </w:tcPr>
          <w:p w14:paraId="08A1B56E" w14:textId="77777777" w:rsidR="00186D5C" w:rsidRPr="00C94D1E" w:rsidRDefault="00186D5C" w:rsidP="009812E7">
            <w:pPr>
              <w:rPr>
                <w:rFonts w:asciiTheme="minorHAnsi" w:hAnsiTheme="minorHAnsi" w:cs="Calibri"/>
                <w:szCs w:val="22"/>
              </w:rPr>
            </w:pPr>
            <w:r w:rsidRPr="00C94D1E">
              <w:rPr>
                <w:rFonts w:asciiTheme="minorHAnsi" w:hAnsiTheme="minorHAnsi" w:cs="Calibri"/>
                <w:szCs w:val="22"/>
              </w:rPr>
              <w:t xml:space="preserve"> 1.1.1</w:t>
            </w:r>
          </w:p>
        </w:tc>
        <w:tc>
          <w:tcPr>
            <w:tcW w:w="2493" w:type="pct"/>
            <w:vAlign w:val="center"/>
          </w:tcPr>
          <w:p w14:paraId="3EB9E666" w14:textId="77777777" w:rsidR="00186D5C" w:rsidRPr="00C94D1E" w:rsidRDefault="00186D5C" w:rsidP="009812E7">
            <w:pPr>
              <w:rPr>
                <w:rFonts w:asciiTheme="minorHAnsi" w:hAnsiTheme="minorHAnsi" w:cs="Calibri"/>
                <w:szCs w:val="22"/>
              </w:rPr>
            </w:pPr>
            <w:r w:rsidRPr="00C94D1E">
              <w:rPr>
                <w:rFonts w:asciiTheme="minorHAnsi" w:hAnsiTheme="minorHAnsi" w:cs="Calibri"/>
                <w:szCs w:val="22"/>
              </w:rPr>
              <w:t>Celkové způsobilé výdaje - průmyslový výzkum</w:t>
            </w:r>
          </w:p>
        </w:tc>
        <w:tc>
          <w:tcPr>
            <w:tcW w:w="1363" w:type="pct"/>
            <w:vAlign w:val="center"/>
          </w:tcPr>
          <w:p w14:paraId="7CC89BB0" w14:textId="77777777" w:rsidR="00186D5C" w:rsidRPr="00C94D1E" w:rsidRDefault="00186D5C" w:rsidP="009812E7">
            <w:pPr>
              <w:jc w:val="right"/>
              <w:rPr>
                <w:rFonts w:asciiTheme="minorHAnsi" w:hAnsiTheme="minorHAnsi" w:cs="Calibri"/>
                <w:szCs w:val="22"/>
              </w:rPr>
            </w:pPr>
            <w:r w:rsidRPr="00C94D1E">
              <w:rPr>
                <w:rFonts w:asciiTheme="minorHAnsi" w:hAnsiTheme="minorHAnsi" w:cs="Calibri"/>
                <w:szCs w:val="22"/>
              </w:rPr>
              <w:t>16 133 078,00</w:t>
            </w:r>
          </w:p>
        </w:tc>
      </w:tr>
      <w:tr w:rsidR="00186D5C" w14:paraId="60D5DEC0" w14:textId="77777777" w:rsidTr="00186D5C">
        <w:trPr>
          <w:cantSplit/>
          <w:trHeight w:val="294"/>
        </w:trPr>
        <w:tc>
          <w:tcPr>
            <w:tcW w:w="1144" w:type="pct"/>
            <w:vAlign w:val="center"/>
          </w:tcPr>
          <w:p w14:paraId="73B0CE8F" w14:textId="77777777" w:rsidR="00186D5C" w:rsidRPr="00C94D1E" w:rsidRDefault="00186D5C" w:rsidP="009812E7">
            <w:pPr>
              <w:rPr>
                <w:rFonts w:asciiTheme="minorHAnsi" w:hAnsiTheme="minorHAnsi" w:cs="Calibri"/>
                <w:szCs w:val="22"/>
              </w:rPr>
            </w:pPr>
            <w:r w:rsidRPr="00C94D1E">
              <w:rPr>
                <w:rFonts w:asciiTheme="minorHAnsi" w:hAnsiTheme="minorHAnsi" w:cs="Calibri"/>
                <w:szCs w:val="22"/>
              </w:rPr>
              <w:t xml:space="preserve"> 1.1.1.1</w:t>
            </w:r>
          </w:p>
        </w:tc>
        <w:tc>
          <w:tcPr>
            <w:tcW w:w="2493" w:type="pct"/>
            <w:vAlign w:val="center"/>
          </w:tcPr>
          <w:p w14:paraId="60F1311E" w14:textId="77777777" w:rsidR="00186D5C" w:rsidRPr="00C94D1E" w:rsidRDefault="00186D5C" w:rsidP="009812E7">
            <w:pPr>
              <w:rPr>
                <w:rFonts w:asciiTheme="minorHAnsi" w:hAnsiTheme="minorHAnsi" w:cs="Calibri"/>
                <w:szCs w:val="22"/>
              </w:rPr>
            </w:pPr>
            <w:r w:rsidRPr="00C94D1E">
              <w:rPr>
                <w:rFonts w:asciiTheme="minorHAnsi" w:hAnsiTheme="minorHAnsi" w:cs="Calibri"/>
                <w:szCs w:val="22"/>
              </w:rPr>
              <w:t>Náklady na smluvní výzkum a konzultační služby - PV</w:t>
            </w:r>
          </w:p>
        </w:tc>
        <w:tc>
          <w:tcPr>
            <w:tcW w:w="1363" w:type="pct"/>
            <w:vAlign w:val="center"/>
          </w:tcPr>
          <w:p w14:paraId="1FF63EC4" w14:textId="77777777" w:rsidR="00186D5C" w:rsidRPr="00C94D1E" w:rsidRDefault="00186D5C" w:rsidP="009812E7">
            <w:pPr>
              <w:jc w:val="right"/>
              <w:rPr>
                <w:rFonts w:asciiTheme="minorHAnsi" w:hAnsiTheme="minorHAnsi" w:cs="Calibri"/>
                <w:szCs w:val="22"/>
              </w:rPr>
            </w:pPr>
            <w:r w:rsidRPr="00C94D1E">
              <w:rPr>
                <w:rFonts w:asciiTheme="minorHAnsi" w:hAnsiTheme="minorHAnsi" w:cs="Calibri"/>
                <w:szCs w:val="22"/>
              </w:rPr>
              <w:t>4 175 000,00</w:t>
            </w:r>
          </w:p>
        </w:tc>
      </w:tr>
      <w:tr w:rsidR="00186D5C" w14:paraId="00BA353B" w14:textId="77777777" w:rsidTr="00186D5C">
        <w:trPr>
          <w:cantSplit/>
          <w:trHeight w:val="294"/>
        </w:trPr>
        <w:tc>
          <w:tcPr>
            <w:tcW w:w="1144" w:type="pct"/>
            <w:vAlign w:val="center"/>
          </w:tcPr>
          <w:p w14:paraId="07CF4405" w14:textId="77777777" w:rsidR="00186D5C" w:rsidRPr="00C94D1E" w:rsidRDefault="00186D5C" w:rsidP="009812E7">
            <w:pPr>
              <w:rPr>
                <w:rFonts w:asciiTheme="minorHAnsi" w:hAnsiTheme="minorHAnsi" w:cs="Calibri"/>
                <w:szCs w:val="22"/>
              </w:rPr>
            </w:pPr>
            <w:r w:rsidRPr="00C94D1E">
              <w:rPr>
                <w:rFonts w:asciiTheme="minorHAnsi" w:hAnsiTheme="minorHAnsi" w:cs="Calibri"/>
                <w:szCs w:val="22"/>
              </w:rPr>
              <w:t xml:space="preserve"> 1.1.1.2</w:t>
            </w:r>
          </w:p>
        </w:tc>
        <w:tc>
          <w:tcPr>
            <w:tcW w:w="2493" w:type="pct"/>
            <w:vAlign w:val="center"/>
          </w:tcPr>
          <w:p w14:paraId="3571263E" w14:textId="77777777" w:rsidR="00186D5C" w:rsidRPr="00C94D1E" w:rsidRDefault="00186D5C" w:rsidP="009812E7">
            <w:pPr>
              <w:rPr>
                <w:rFonts w:asciiTheme="minorHAnsi" w:hAnsiTheme="minorHAnsi" w:cs="Calibri"/>
                <w:szCs w:val="22"/>
              </w:rPr>
            </w:pPr>
            <w:r w:rsidRPr="00C94D1E">
              <w:rPr>
                <w:rFonts w:asciiTheme="minorHAnsi" w:hAnsiTheme="minorHAnsi" w:cs="Calibri"/>
                <w:szCs w:val="22"/>
              </w:rPr>
              <w:t>Mzdy a pojistné - PV</w:t>
            </w:r>
          </w:p>
        </w:tc>
        <w:tc>
          <w:tcPr>
            <w:tcW w:w="1363" w:type="pct"/>
            <w:vAlign w:val="center"/>
          </w:tcPr>
          <w:p w14:paraId="50D4FBBA" w14:textId="77777777" w:rsidR="00186D5C" w:rsidRPr="00C94D1E" w:rsidRDefault="00186D5C" w:rsidP="009812E7">
            <w:pPr>
              <w:jc w:val="right"/>
              <w:rPr>
                <w:rFonts w:asciiTheme="minorHAnsi" w:hAnsiTheme="minorHAnsi" w:cs="Calibri"/>
                <w:szCs w:val="22"/>
              </w:rPr>
            </w:pPr>
            <w:r w:rsidRPr="00C94D1E">
              <w:rPr>
                <w:rFonts w:asciiTheme="minorHAnsi" w:hAnsiTheme="minorHAnsi" w:cs="Calibri"/>
                <w:szCs w:val="22"/>
              </w:rPr>
              <w:t>6 551 725,00</w:t>
            </w:r>
          </w:p>
        </w:tc>
      </w:tr>
      <w:tr w:rsidR="00186D5C" w14:paraId="0821A748" w14:textId="77777777" w:rsidTr="00186D5C">
        <w:trPr>
          <w:cantSplit/>
          <w:trHeight w:val="294"/>
        </w:trPr>
        <w:tc>
          <w:tcPr>
            <w:tcW w:w="1144" w:type="pct"/>
            <w:vAlign w:val="center"/>
          </w:tcPr>
          <w:p w14:paraId="0298C8C4" w14:textId="77777777" w:rsidR="00186D5C" w:rsidRPr="00C94D1E" w:rsidRDefault="00186D5C" w:rsidP="009812E7">
            <w:pPr>
              <w:rPr>
                <w:rFonts w:asciiTheme="minorHAnsi" w:hAnsiTheme="minorHAnsi" w:cs="Calibri"/>
                <w:szCs w:val="22"/>
              </w:rPr>
            </w:pPr>
            <w:r w:rsidRPr="00C94D1E">
              <w:rPr>
                <w:rFonts w:asciiTheme="minorHAnsi" w:hAnsiTheme="minorHAnsi" w:cs="Calibri"/>
                <w:szCs w:val="22"/>
              </w:rPr>
              <w:t xml:space="preserve"> 1.1.1.3</w:t>
            </w:r>
          </w:p>
        </w:tc>
        <w:tc>
          <w:tcPr>
            <w:tcW w:w="2493" w:type="pct"/>
            <w:vAlign w:val="center"/>
          </w:tcPr>
          <w:p w14:paraId="3A5AC0C0" w14:textId="77777777" w:rsidR="00186D5C" w:rsidRPr="00C94D1E" w:rsidRDefault="00186D5C" w:rsidP="009812E7">
            <w:pPr>
              <w:rPr>
                <w:rFonts w:asciiTheme="minorHAnsi" w:hAnsiTheme="minorHAnsi" w:cs="Calibri"/>
                <w:szCs w:val="22"/>
              </w:rPr>
            </w:pPr>
            <w:r w:rsidRPr="00C94D1E">
              <w:rPr>
                <w:rFonts w:asciiTheme="minorHAnsi" w:hAnsiTheme="minorHAnsi" w:cs="Calibri"/>
                <w:szCs w:val="22"/>
              </w:rPr>
              <w:t>Materiál - PV</w:t>
            </w:r>
          </w:p>
        </w:tc>
        <w:tc>
          <w:tcPr>
            <w:tcW w:w="1363" w:type="pct"/>
            <w:vAlign w:val="center"/>
          </w:tcPr>
          <w:p w14:paraId="46A157E8" w14:textId="77777777" w:rsidR="00186D5C" w:rsidRPr="00C94D1E" w:rsidRDefault="00186D5C" w:rsidP="009812E7">
            <w:pPr>
              <w:jc w:val="right"/>
              <w:rPr>
                <w:rFonts w:asciiTheme="minorHAnsi" w:hAnsiTheme="minorHAnsi" w:cs="Calibri"/>
                <w:szCs w:val="22"/>
              </w:rPr>
            </w:pPr>
            <w:r w:rsidRPr="00C94D1E">
              <w:rPr>
                <w:rFonts w:asciiTheme="minorHAnsi" w:hAnsiTheme="minorHAnsi" w:cs="Calibri"/>
                <w:szCs w:val="22"/>
              </w:rPr>
              <w:t>4 324 627,00</w:t>
            </w:r>
          </w:p>
        </w:tc>
      </w:tr>
      <w:tr w:rsidR="00186D5C" w14:paraId="420DD1D5" w14:textId="77777777" w:rsidTr="00186D5C">
        <w:trPr>
          <w:cantSplit/>
          <w:trHeight w:val="294"/>
        </w:trPr>
        <w:tc>
          <w:tcPr>
            <w:tcW w:w="1144" w:type="pct"/>
            <w:vAlign w:val="center"/>
          </w:tcPr>
          <w:p w14:paraId="0E1B2D48" w14:textId="77777777" w:rsidR="00186D5C" w:rsidRPr="00C94D1E" w:rsidRDefault="00186D5C" w:rsidP="009812E7">
            <w:pPr>
              <w:rPr>
                <w:rFonts w:asciiTheme="minorHAnsi" w:hAnsiTheme="minorHAnsi" w:cs="Calibri"/>
                <w:szCs w:val="22"/>
              </w:rPr>
            </w:pPr>
            <w:r w:rsidRPr="00C94D1E">
              <w:rPr>
                <w:rFonts w:asciiTheme="minorHAnsi" w:hAnsiTheme="minorHAnsi" w:cs="Calibri"/>
                <w:szCs w:val="22"/>
              </w:rPr>
              <w:t xml:space="preserve"> 1.1.1.4</w:t>
            </w:r>
          </w:p>
        </w:tc>
        <w:tc>
          <w:tcPr>
            <w:tcW w:w="2493" w:type="pct"/>
            <w:vAlign w:val="center"/>
          </w:tcPr>
          <w:p w14:paraId="43A4D881" w14:textId="77777777" w:rsidR="00186D5C" w:rsidRPr="00C94D1E" w:rsidRDefault="00186D5C" w:rsidP="009812E7">
            <w:pPr>
              <w:rPr>
                <w:rFonts w:asciiTheme="minorHAnsi" w:hAnsiTheme="minorHAnsi" w:cs="Calibri"/>
                <w:szCs w:val="22"/>
              </w:rPr>
            </w:pPr>
            <w:r w:rsidRPr="00C94D1E">
              <w:rPr>
                <w:rFonts w:asciiTheme="minorHAnsi" w:hAnsiTheme="minorHAnsi" w:cs="Calibri"/>
                <w:szCs w:val="22"/>
              </w:rPr>
              <w:t>Ostatní režie - PV</w:t>
            </w:r>
          </w:p>
        </w:tc>
        <w:tc>
          <w:tcPr>
            <w:tcW w:w="1363" w:type="pct"/>
            <w:vAlign w:val="center"/>
          </w:tcPr>
          <w:p w14:paraId="2612B34B" w14:textId="77777777" w:rsidR="00186D5C" w:rsidRPr="00C94D1E" w:rsidRDefault="00186D5C" w:rsidP="009812E7">
            <w:pPr>
              <w:jc w:val="right"/>
              <w:rPr>
                <w:rFonts w:asciiTheme="minorHAnsi" w:hAnsiTheme="minorHAnsi" w:cs="Calibri"/>
                <w:szCs w:val="22"/>
              </w:rPr>
            </w:pPr>
            <w:r w:rsidRPr="00C94D1E">
              <w:rPr>
                <w:rFonts w:asciiTheme="minorHAnsi" w:hAnsiTheme="minorHAnsi" w:cs="Calibri"/>
                <w:szCs w:val="22"/>
              </w:rPr>
              <w:t>982 756,00</w:t>
            </w:r>
          </w:p>
        </w:tc>
      </w:tr>
      <w:tr w:rsidR="00186D5C" w14:paraId="2B32E141" w14:textId="77777777" w:rsidTr="00186D5C">
        <w:trPr>
          <w:cantSplit/>
          <w:trHeight w:val="294"/>
        </w:trPr>
        <w:tc>
          <w:tcPr>
            <w:tcW w:w="1144" w:type="pct"/>
            <w:vAlign w:val="center"/>
          </w:tcPr>
          <w:p w14:paraId="2737BF2F" w14:textId="77777777" w:rsidR="00186D5C" w:rsidRPr="00C94D1E" w:rsidRDefault="00186D5C" w:rsidP="009812E7">
            <w:pPr>
              <w:rPr>
                <w:rFonts w:asciiTheme="minorHAnsi" w:hAnsiTheme="minorHAnsi" w:cs="Calibri"/>
                <w:szCs w:val="22"/>
              </w:rPr>
            </w:pPr>
            <w:r w:rsidRPr="00C94D1E">
              <w:rPr>
                <w:rFonts w:asciiTheme="minorHAnsi" w:hAnsiTheme="minorHAnsi" w:cs="Calibri"/>
                <w:szCs w:val="22"/>
              </w:rPr>
              <w:t xml:space="preserve"> 1.1.1.5</w:t>
            </w:r>
          </w:p>
        </w:tc>
        <w:tc>
          <w:tcPr>
            <w:tcW w:w="2493" w:type="pct"/>
            <w:vAlign w:val="center"/>
          </w:tcPr>
          <w:p w14:paraId="20AE29A5" w14:textId="77777777" w:rsidR="00186D5C" w:rsidRPr="00C94D1E" w:rsidRDefault="00186D5C" w:rsidP="009812E7">
            <w:pPr>
              <w:rPr>
                <w:rFonts w:asciiTheme="minorHAnsi" w:hAnsiTheme="minorHAnsi" w:cs="Calibri"/>
                <w:szCs w:val="22"/>
              </w:rPr>
            </w:pPr>
            <w:r w:rsidRPr="00C94D1E">
              <w:rPr>
                <w:rFonts w:asciiTheme="minorHAnsi" w:hAnsiTheme="minorHAnsi" w:cs="Calibri"/>
                <w:szCs w:val="22"/>
              </w:rPr>
              <w:t>Odpisy - PV</w:t>
            </w:r>
          </w:p>
        </w:tc>
        <w:tc>
          <w:tcPr>
            <w:tcW w:w="1363" w:type="pct"/>
            <w:vAlign w:val="center"/>
          </w:tcPr>
          <w:p w14:paraId="548061ED" w14:textId="77777777" w:rsidR="00186D5C" w:rsidRPr="00C94D1E" w:rsidRDefault="00186D5C" w:rsidP="009812E7">
            <w:pPr>
              <w:jc w:val="right"/>
              <w:rPr>
                <w:rFonts w:asciiTheme="minorHAnsi" w:hAnsiTheme="minorHAnsi" w:cs="Calibri"/>
                <w:szCs w:val="22"/>
              </w:rPr>
            </w:pPr>
            <w:r w:rsidRPr="00C94D1E">
              <w:rPr>
                <w:rFonts w:asciiTheme="minorHAnsi" w:hAnsiTheme="minorHAnsi" w:cs="Calibri"/>
                <w:szCs w:val="22"/>
              </w:rPr>
              <w:t>98 970,00</w:t>
            </w:r>
          </w:p>
        </w:tc>
      </w:tr>
      <w:tr w:rsidR="00186D5C" w14:paraId="6C12C843" w14:textId="77777777" w:rsidTr="00186D5C">
        <w:trPr>
          <w:cantSplit/>
          <w:trHeight w:val="294"/>
        </w:trPr>
        <w:tc>
          <w:tcPr>
            <w:tcW w:w="1144" w:type="pct"/>
            <w:vAlign w:val="center"/>
          </w:tcPr>
          <w:p w14:paraId="59F849A9" w14:textId="77777777" w:rsidR="00186D5C" w:rsidRPr="00C94D1E" w:rsidRDefault="00186D5C" w:rsidP="009812E7">
            <w:pPr>
              <w:rPr>
                <w:rFonts w:asciiTheme="minorHAnsi" w:hAnsiTheme="minorHAnsi" w:cs="Calibri"/>
                <w:szCs w:val="22"/>
              </w:rPr>
            </w:pPr>
            <w:r w:rsidRPr="00C94D1E">
              <w:rPr>
                <w:rFonts w:asciiTheme="minorHAnsi" w:hAnsiTheme="minorHAnsi" w:cs="Calibri"/>
                <w:szCs w:val="22"/>
              </w:rPr>
              <w:t xml:space="preserve"> 1.1.2</w:t>
            </w:r>
          </w:p>
        </w:tc>
        <w:tc>
          <w:tcPr>
            <w:tcW w:w="2493" w:type="pct"/>
            <w:vAlign w:val="center"/>
          </w:tcPr>
          <w:p w14:paraId="252ECA70" w14:textId="77777777" w:rsidR="00186D5C" w:rsidRPr="00C94D1E" w:rsidRDefault="00186D5C" w:rsidP="009812E7">
            <w:pPr>
              <w:rPr>
                <w:rFonts w:asciiTheme="minorHAnsi" w:hAnsiTheme="minorHAnsi" w:cs="Calibri"/>
                <w:szCs w:val="22"/>
              </w:rPr>
            </w:pPr>
            <w:r w:rsidRPr="00C94D1E">
              <w:rPr>
                <w:rFonts w:asciiTheme="minorHAnsi" w:hAnsiTheme="minorHAnsi" w:cs="Calibri"/>
                <w:szCs w:val="22"/>
              </w:rPr>
              <w:t>Celkové způsobilé výdaje - experimentální vývoj</w:t>
            </w:r>
          </w:p>
        </w:tc>
        <w:tc>
          <w:tcPr>
            <w:tcW w:w="1363" w:type="pct"/>
            <w:vAlign w:val="center"/>
          </w:tcPr>
          <w:p w14:paraId="0F18EFB3" w14:textId="77777777" w:rsidR="00186D5C" w:rsidRPr="00C94D1E" w:rsidRDefault="00186D5C" w:rsidP="009812E7">
            <w:pPr>
              <w:jc w:val="right"/>
              <w:rPr>
                <w:rFonts w:asciiTheme="minorHAnsi" w:hAnsiTheme="minorHAnsi" w:cs="Calibri"/>
                <w:szCs w:val="22"/>
              </w:rPr>
            </w:pPr>
            <w:r w:rsidRPr="00C94D1E">
              <w:rPr>
                <w:rFonts w:asciiTheme="minorHAnsi" w:hAnsiTheme="minorHAnsi" w:cs="Calibri"/>
                <w:szCs w:val="22"/>
              </w:rPr>
              <w:t>16 133 078,00</w:t>
            </w:r>
          </w:p>
        </w:tc>
      </w:tr>
      <w:tr w:rsidR="00186D5C" w14:paraId="35760D57" w14:textId="77777777" w:rsidTr="00186D5C">
        <w:trPr>
          <w:cantSplit/>
          <w:trHeight w:val="294"/>
        </w:trPr>
        <w:tc>
          <w:tcPr>
            <w:tcW w:w="1144" w:type="pct"/>
            <w:vAlign w:val="center"/>
          </w:tcPr>
          <w:p w14:paraId="2799B1DF" w14:textId="77777777" w:rsidR="00186D5C" w:rsidRPr="00C94D1E" w:rsidRDefault="00186D5C" w:rsidP="009812E7">
            <w:pPr>
              <w:rPr>
                <w:rFonts w:asciiTheme="minorHAnsi" w:hAnsiTheme="minorHAnsi" w:cs="Calibri"/>
                <w:szCs w:val="22"/>
              </w:rPr>
            </w:pPr>
            <w:r w:rsidRPr="00C94D1E">
              <w:rPr>
                <w:rFonts w:asciiTheme="minorHAnsi" w:hAnsiTheme="minorHAnsi" w:cs="Calibri"/>
                <w:szCs w:val="22"/>
              </w:rPr>
              <w:t xml:space="preserve"> 1.1.2.1</w:t>
            </w:r>
          </w:p>
        </w:tc>
        <w:tc>
          <w:tcPr>
            <w:tcW w:w="2493" w:type="pct"/>
            <w:vAlign w:val="center"/>
          </w:tcPr>
          <w:p w14:paraId="4E49717B" w14:textId="77777777" w:rsidR="00186D5C" w:rsidRPr="00C94D1E" w:rsidRDefault="00186D5C" w:rsidP="009812E7">
            <w:pPr>
              <w:rPr>
                <w:rFonts w:asciiTheme="minorHAnsi" w:hAnsiTheme="minorHAnsi" w:cs="Calibri"/>
                <w:szCs w:val="22"/>
              </w:rPr>
            </w:pPr>
            <w:r w:rsidRPr="00C94D1E">
              <w:rPr>
                <w:rFonts w:asciiTheme="minorHAnsi" w:hAnsiTheme="minorHAnsi" w:cs="Calibri"/>
                <w:szCs w:val="22"/>
              </w:rPr>
              <w:t>Náklady na smluvní výzkum a konzultační služby - EV</w:t>
            </w:r>
          </w:p>
        </w:tc>
        <w:tc>
          <w:tcPr>
            <w:tcW w:w="1363" w:type="pct"/>
            <w:vAlign w:val="center"/>
          </w:tcPr>
          <w:p w14:paraId="729361BC" w14:textId="77777777" w:rsidR="00186D5C" w:rsidRPr="00C94D1E" w:rsidRDefault="00186D5C" w:rsidP="009812E7">
            <w:pPr>
              <w:jc w:val="right"/>
              <w:rPr>
                <w:rFonts w:asciiTheme="minorHAnsi" w:hAnsiTheme="minorHAnsi" w:cs="Calibri"/>
                <w:szCs w:val="22"/>
              </w:rPr>
            </w:pPr>
            <w:r w:rsidRPr="00C94D1E">
              <w:rPr>
                <w:rFonts w:asciiTheme="minorHAnsi" w:hAnsiTheme="minorHAnsi" w:cs="Calibri"/>
                <w:szCs w:val="22"/>
              </w:rPr>
              <w:t>4 175 000,00</w:t>
            </w:r>
          </w:p>
        </w:tc>
      </w:tr>
      <w:tr w:rsidR="00186D5C" w14:paraId="03CBE8C6" w14:textId="77777777" w:rsidTr="00186D5C">
        <w:trPr>
          <w:cantSplit/>
          <w:trHeight w:val="294"/>
        </w:trPr>
        <w:tc>
          <w:tcPr>
            <w:tcW w:w="1144" w:type="pct"/>
            <w:vAlign w:val="center"/>
          </w:tcPr>
          <w:p w14:paraId="0CEA8824" w14:textId="77777777" w:rsidR="00186D5C" w:rsidRPr="00C94D1E" w:rsidRDefault="00186D5C" w:rsidP="009812E7">
            <w:pPr>
              <w:rPr>
                <w:rFonts w:asciiTheme="minorHAnsi" w:hAnsiTheme="minorHAnsi" w:cs="Calibri"/>
                <w:szCs w:val="22"/>
              </w:rPr>
            </w:pPr>
            <w:r w:rsidRPr="00C94D1E">
              <w:rPr>
                <w:rFonts w:asciiTheme="minorHAnsi" w:hAnsiTheme="minorHAnsi" w:cs="Calibri"/>
                <w:szCs w:val="22"/>
              </w:rPr>
              <w:t xml:space="preserve"> 1.1.2.2</w:t>
            </w:r>
          </w:p>
        </w:tc>
        <w:tc>
          <w:tcPr>
            <w:tcW w:w="2493" w:type="pct"/>
            <w:vAlign w:val="center"/>
          </w:tcPr>
          <w:p w14:paraId="1C759623" w14:textId="77777777" w:rsidR="00186D5C" w:rsidRPr="00C94D1E" w:rsidRDefault="00186D5C" w:rsidP="009812E7">
            <w:pPr>
              <w:rPr>
                <w:rFonts w:asciiTheme="minorHAnsi" w:hAnsiTheme="minorHAnsi" w:cs="Calibri"/>
                <w:szCs w:val="22"/>
              </w:rPr>
            </w:pPr>
            <w:r w:rsidRPr="00C94D1E">
              <w:rPr>
                <w:rFonts w:asciiTheme="minorHAnsi" w:hAnsiTheme="minorHAnsi" w:cs="Calibri"/>
                <w:szCs w:val="22"/>
              </w:rPr>
              <w:t>Mzdy a pojistné - EV</w:t>
            </w:r>
          </w:p>
        </w:tc>
        <w:tc>
          <w:tcPr>
            <w:tcW w:w="1363" w:type="pct"/>
            <w:vAlign w:val="center"/>
          </w:tcPr>
          <w:p w14:paraId="660D7403" w14:textId="77777777" w:rsidR="00186D5C" w:rsidRPr="00C94D1E" w:rsidRDefault="00186D5C" w:rsidP="009812E7">
            <w:pPr>
              <w:jc w:val="right"/>
              <w:rPr>
                <w:rFonts w:asciiTheme="minorHAnsi" w:hAnsiTheme="minorHAnsi" w:cs="Calibri"/>
                <w:szCs w:val="22"/>
              </w:rPr>
            </w:pPr>
            <w:r w:rsidRPr="00C94D1E">
              <w:rPr>
                <w:rFonts w:asciiTheme="minorHAnsi" w:hAnsiTheme="minorHAnsi" w:cs="Calibri"/>
                <w:szCs w:val="22"/>
              </w:rPr>
              <w:t>6 551 725,00</w:t>
            </w:r>
          </w:p>
        </w:tc>
      </w:tr>
      <w:tr w:rsidR="00186D5C" w14:paraId="4448F381" w14:textId="77777777" w:rsidTr="00186D5C">
        <w:trPr>
          <w:cantSplit/>
          <w:trHeight w:val="294"/>
        </w:trPr>
        <w:tc>
          <w:tcPr>
            <w:tcW w:w="1144" w:type="pct"/>
            <w:vAlign w:val="center"/>
          </w:tcPr>
          <w:p w14:paraId="40ADAEE6" w14:textId="77777777" w:rsidR="00186D5C" w:rsidRPr="00C94D1E" w:rsidRDefault="00186D5C" w:rsidP="009812E7">
            <w:pPr>
              <w:rPr>
                <w:rFonts w:asciiTheme="minorHAnsi" w:hAnsiTheme="minorHAnsi" w:cs="Calibri"/>
                <w:szCs w:val="22"/>
              </w:rPr>
            </w:pPr>
            <w:r w:rsidRPr="00C94D1E">
              <w:rPr>
                <w:rFonts w:asciiTheme="minorHAnsi" w:hAnsiTheme="minorHAnsi" w:cs="Calibri"/>
                <w:szCs w:val="22"/>
              </w:rPr>
              <w:t xml:space="preserve"> 1.1.2.3</w:t>
            </w:r>
          </w:p>
        </w:tc>
        <w:tc>
          <w:tcPr>
            <w:tcW w:w="2493" w:type="pct"/>
            <w:vAlign w:val="center"/>
          </w:tcPr>
          <w:p w14:paraId="621B8585" w14:textId="77777777" w:rsidR="00186D5C" w:rsidRPr="00C94D1E" w:rsidRDefault="00186D5C" w:rsidP="009812E7">
            <w:pPr>
              <w:rPr>
                <w:rFonts w:asciiTheme="minorHAnsi" w:hAnsiTheme="minorHAnsi" w:cs="Calibri"/>
                <w:szCs w:val="22"/>
              </w:rPr>
            </w:pPr>
            <w:r w:rsidRPr="00C94D1E">
              <w:rPr>
                <w:rFonts w:asciiTheme="minorHAnsi" w:hAnsiTheme="minorHAnsi" w:cs="Calibri"/>
                <w:szCs w:val="22"/>
              </w:rPr>
              <w:t>Materiál - EV</w:t>
            </w:r>
          </w:p>
        </w:tc>
        <w:tc>
          <w:tcPr>
            <w:tcW w:w="1363" w:type="pct"/>
            <w:vAlign w:val="center"/>
          </w:tcPr>
          <w:p w14:paraId="54DE2298" w14:textId="77777777" w:rsidR="00186D5C" w:rsidRPr="00C94D1E" w:rsidRDefault="00186D5C" w:rsidP="009812E7">
            <w:pPr>
              <w:jc w:val="right"/>
              <w:rPr>
                <w:rFonts w:asciiTheme="minorHAnsi" w:hAnsiTheme="minorHAnsi" w:cs="Calibri"/>
                <w:szCs w:val="22"/>
              </w:rPr>
            </w:pPr>
            <w:r w:rsidRPr="00C94D1E">
              <w:rPr>
                <w:rFonts w:asciiTheme="minorHAnsi" w:hAnsiTheme="minorHAnsi" w:cs="Calibri"/>
                <w:szCs w:val="22"/>
              </w:rPr>
              <w:t>4 324 627,00</w:t>
            </w:r>
          </w:p>
        </w:tc>
      </w:tr>
      <w:tr w:rsidR="00186D5C" w14:paraId="47A2C900" w14:textId="77777777" w:rsidTr="00186D5C">
        <w:trPr>
          <w:cantSplit/>
          <w:trHeight w:val="294"/>
        </w:trPr>
        <w:tc>
          <w:tcPr>
            <w:tcW w:w="1144" w:type="pct"/>
            <w:vAlign w:val="center"/>
          </w:tcPr>
          <w:p w14:paraId="3DB272EE" w14:textId="77777777" w:rsidR="00186D5C" w:rsidRPr="00C94D1E" w:rsidRDefault="00186D5C" w:rsidP="009812E7">
            <w:pPr>
              <w:rPr>
                <w:rFonts w:asciiTheme="minorHAnsi" w:hAnsiTheme="minorHAnsi" w:cs="Calibri"/>
                <w:szCs w:val="22"/>
              </w:rPr>
            </w:pPr>
            <w:r w:rsidRPr="00C94D1E">
              <w:rPr>
                <w:rFonts w:asciiTheme="minorHAnsi" w:hAnsiTheme="minorHAnsi" w:cs="Calibri"/>
                <w:szCs w:val="22"/>
              </w:rPr>
              <w:t xml:space="preserve"> 1.1.2.4</w:t>
            </w:r>
          </w:p>
        </w:tc>
        <w:tc>
          <w:tcPr>
            <w:tcW w:w="2493" w:type="pct"/>
            <w:vAlign w:val="center"/>
          </w:tcPr>
          <w:p w14:paraId="01EFF0DA" w14:textId="77777777" w:rsidR="00186D5C" w:rsidRPr="00C94D1E" w:rsidRDefault="00186D5C" w:rsidP="009812E7">
            <w:pPr>
              <w:rPr>
                <w:rFonts w:asciiTheme="minorHAnsi" w:hAnsiTheme="minorHAnsi" w:cs="Calibri"/>
                <w:szCs w:val="22"/>
              </w:rPr>
            </w:pPr>
            <w:r w:rsidRPr="00C94D1E">
              <w:rPr>
                <w:rFonts w:asciiTheme="minorHAnsi" w:hAnsiTheme="minorHAnsi" w:cs="Calibri"/>
                <w:szCs w:val="22"/>
              </w:rPr>
              <w:t>Ostatní režie - EV</w:t>
            </w:r>
          </w:p>
        </w:tc>
        <w:tc>
          <w:tcPr>
            <w:tcW w:w="1363" w:type="pct"/>
            <w:vAlign w:val="center"/>
          </w:tcPr>
          <w:p w14:paraId="6CF78D3F" w14:textId="77777777" w:rsidR="00186D5C" w:rsidRPr="00C94D1E" w:rsidRDefault="00186D5C" w:rsidP="009812E7">
            <w:pPr>
              <w:jc w:val="right"/>
              <w:rPr>
                <w:rFonts w:asciiTheme="minorHAnsi" w:hAnsiTheme="minorHAnsi" w:cs="Calibri"/>
                <w:szCs w:val="22"/>
              </w:rPr>
            </w:pPr>
            <w:r w:rsidRPr="00C94D1E">
              <w:rPr>
                <w:rFonts w:asciiTheme="minorHAnsi" w:hAnsiTheme="minorHAnsi" w:cs="Calibri"/>
                <w:szCs w:val="22"/>
              </w:rPr>
              <w:t>982 756,00</w:t>
            </w:r>
          </w:p>
        </w:tc>
      </w:tr>
      <w:tr w:rsidR="00186D5C" w14:paraId="585F339F" w14:textId="77777777" w:rsidTr="00186D5C">
        <w:trPr>
          <w:cantSplit/>
          <w:trHeight w:val="294"/>
        </w:trPr>
        <w:tc>
          <w:tcPr>
            <w:tcW w:w="1144" w:type="pct"/>
            <w:vAlign w:val="center"/>
          </w:tcPr>
          <w:p w14:paraId="4B05E97A" w14:textId="77777777" w:rsidR="00186D5C" w:rsidRPr="00C94D1E" w:rsidRDefault="00186D5C" w:rsidP="009812E7">
            <w:pPr>
              <w:rPr>
                <w:rFonts w:asciiTheme="minorHAnsi" w:hAnsiTheme="minorHAnsi" w:cs="Calibri"/>
                <w:szCs w:val="22"/>
              </w:rPr>
            </w:pPr>
            <w:r w:rsidRPr="00C94D1E">
              <w:rPr>
                <w:rFonts w:asciiTheme="minorHAnsi" w:hAnsiTheme="minorHAnsi" w:cs="Calibri"/>
                <w:szCs w:val="22"/>
              </w:rPr>
              <w:t xml:space="preserve"> 1.1.2.5</w:t>
            </w:r>
          </w:p>
        </w:tc>
        <w:tc>
          <w:tcPr>
            <w:tcW w:w="2493" w:type="pct"/>
            <w:vAlign w:val="center"/>
          </w:tcPr>
          <w:p w14:paraId="3CDADD6A" w14:textId="77777777" w:rsidR="00186D5C" w:rsidRPr="00C94D1E" w:rsidRDefault="00186D5C" w:rsidP="009812E7">
            <w:pPr>
              <w:rPr>
                <w:rFonts w:asciiTheme="minorHAnsi" w:hAnsiTheme="minorHAnsi" w:cs="Calibri"/>
                <w:szCs w:val="22"/>
              </w:rPr>
            </w:pPr>
            <w:r w:rsidRPr="00C94D1E">
              <w:rPr>
                <w:rFonts w:asciiTheme="minorHAnsi" w:hAnsiTheme="minorHAnsi" w:cs="Calibri"/>
                <w:szCs w:val="22"/>
              </w:rPr>
              <w:t>Odpisy - EV</w:t>
            </w:r>
          </w:p>
        </w:tc>
        <w:tc>
          <w:tcPr>
            <w:tcW w:w="1363" w:type="pct"/>
            <w:vAlign w:val="center"/>
          </w:tcPr>
          <w:p w14:paraId="336CFB28" w14:textId="77777777" w:rsidR="00186D5C" w:rsidRPr="00C94D1E" w:rsidRDefault="00186D5C" w:rsidP="009812E7">
            <w:pPr>
              <w:jc w:val="right"/>
              <w:rPr>
                <w:rFonts w:asciiTheme="minorHAnsi" w:hAnsiTheme="minorHAnsi" w:cs="Calibri"/>
                <w:szCs w:val="22"/>
              </w:rPr>
            </w:pPr>
            <w:r w:rsidRPr="00C94D1E">
              <w:rPr>
                <w:rFonts w:asciiTheme="minorHAnsi" w:hAnsiTheme="minorHAnsi" w:cs="Calibri"/>
                <w:szCs w:val="22"/>
              </w:rPr>
              <w:t>98 970,00</w:t>
            </w:r>
          </w:p>
        </w:tc>
      </w:tr>
      <w:tr w:rsidR="00186D5C" w14:paraId="4A550E89" w14:textId="77777777" w:rsidTr="00186D5C">
        <w:trPr>
          <w:cantSplit/>
          <w:trHeight w:val="294"/>
        </w:trPr>
        <w:tc>
          <w:tcPr>
            <w:tcW w:w="1144" w:type="pct"/>
            <w:vAlign w:val="center"/>
          </w:tcPr>
          <w:p w14:paraId="574C42D6" w14:textId="77777777" w:rsidR="00186D5C" w:rsidRPr="00C94D1E" w:rsidRDefault="00186D5C" w:rsidP="009812E7">
            <w:pPr>
              <w:rPr>
                <w:rFonts w:asciiTheme="minorHAnsi" w:hAnsiTheme="minorHAnsi" w:cs="Calibri"/>
                <w:szCs w:val="22"/>
              </w:rPr>
            </w:pPr>
            <w:r w:rsidRPr="00C94D1E">
              <w:rPr>
                <w:rFonts w:asciiTheme="minorHAnsi" w:hAnsiTheme="minorHAnsi" w:cs="Calibri"/>
                <w:szCs w:val="22"/>
              </w:rPr>
              <w:t xml:space="preserve"> 1.2</w:t>
            </w:r>
          </w:p>
        </w:tc>
        <w:tc>
          <w:tcPr>
            <w:tcW w:w="2493" w:type="pct"/>
            <w:vAlign w:val="center"/>
          </w:tcPr>
          <w:p w14:paraId="23ACF10C" w14:textId="77777777" w:rsidR="00186D5C" w:rsidRPr="00C94D1E" w:rsidRDefault="00186D5C" w:rsidP="009812E7">
            <w:pPr>
              <w:rPr>
                <w:rFonts w:asciiTheme="minorHAnsi" w:hAnsiTheme="minorHAnsi" w:cs="Calibri"/>
                <w:szCs w:val="22"/>
              </w:rPr>
            </w:pPr>
            <w:r w:rsidRPr="00C94D1E">
              <w:rPr>
                <w:rFonts w:asciiTheme="minorHAnsi" w:hAnsiTheme="minorHAnsi" w:cs="Calibri"/>
                <w:szCs w:val="22"/>
              </w:rPr>
              <w:t>Celkové nezpůsobilé výdaje</w:t>
            </w:r>
          </w:p>
        </w:tc>
        <w:tc>
          <w:tcPr>
            <w:tcW w:w="1363" w:type="pct"/>
            <w:vAlign w:val="center"/>
          </w:tcPr>
          <w:p w14:paraId="3CA82304" w14:textId="77777777" w:rsidR="00186D5C" w:rsidRPr="00C94D1E" w:rsidRDefault="00186D5C" w:rsidP="009812E7">
            <w:pPr>
              <w:jc w:val="right"/>
              <w:rPr>
                <w:rFonts w:asciiTheme="minorHAnsi" w:hAnsiTheme="minorHAnsi" w:cs="Calibri"/>
                <w:szCs w:val="22"/>
              </w:rPr>
            </w:pPr>
            <w:r w:rsidRPr="00C94D1E">
              <w:rPr>
                <w:rFonts w:asciiTheme="minorHAnsi" w:hAnsiTheme="minorHAnsi" w:cs="Calibri"/>
                <w:szCs w:val="22"/>
              </w:rPr>
              <w:t>0,00</w:t>
            </w:r>
          </w:p>
        </w:tc>
      </w:tr>
    </w:tbl>
    <w:p w14:paraId="3C1B67CD" w14:textId="77777777" w:rsidR="009812E7" w:rsidRPr="001D6E5B" w:rsidRDefault="009812E7" w:rsidP="009812E7">
      <w:pPr>
        <w:spacing w:before="120" w:after="120"/>
      </w:pPr>
    </w:p>
    <w:p w14:paraId="0269E8A3" w14:textId="77777777" w:rsidR="000B55A9" w:rsidRPr="000B55A9" w:rsidRDefault="00471E1A" w:rsidP="00D87A31">
      <w:pPr>
        <w:pStyle w:val="Odstavecseseznamem"/>
        <w:numPr>
          <w:ilvl w:val="1"/>
          <w:numId w:val="4"/>
        </w:numPr>
        <w:spacing w:before="120" w:after="120"/>
        <w:contextualSpacing w:val="0"/>
      </w:pPr>
      <w:r>
        <w:rPr>
          <w:b/>
        </w:rPr>
        <w:t>Další povinnosti příjemce a podmínky realizace Projektu</w:t>
      </w:r>
    </w:p>
    <w:p w14:paraId="340E5B6E" w14:textId="77777777" w:rsidR="000B55A9" w:rsidRPr="000B55A9" w:rsidRDefault="00471E1A" w:rsidP="001C5827">
      <w:pPr>
        <w:pStyle w:val="Odstavecseseznamem"/>
        <w:numPr>
          <w:ilvl w:val="2"/>
          <w:numId w:val="4"/>
        </w:numPr>
        <w:spacing w:before="120" w:after="120"/>
        <w:contextualSpacing w:val="0"/>
        <w:jc w:val="both"/>
      </w:pPr>
      <w:bookmarkStart w:id="32" w:name="_Ref39651773"/>
      <w:r w:rsidRPr="00F3718B">
        <w:rPr>
          <w:rFonts w:asciiTheme="minorHAnsi" w:hAnsiTheme="minorHAnsi"/>
          <w:szCs w:val="22"/>
        </w:rPr>
        <w:t xml:space="preserve">Příjemce nesmí po dobu realizace a </w:t>
      </w:r>
      <w:r>
        <w:rPr>
          <w:rFonts w:asciiTheme="minorHAnsi" w:hAnsiTheme="minorHAnsi"/>
          <w:szCs w:val="22"/>
        </w:rPr>
        <w:t xml:space="preserve">udržitelnosti </w:t>
      </w:r>
      <w:r w:rsidRPr="00F3718B">
        <w:rPr>
          <w:rFonts w:asciiTheme="minorHAnsi" w:hAnsiTheme="minorHAnsi"/>
          <w:szCs w:val="22"/>
        </w:rPr>
        <w:t>zaniknout s likvidací a nesmí být rozhodnuto o prohlášení konkurzu na jeho majetek</w:t>
      </w:r>
      <w:r>
        <w:rPr>
          <w:rFonts w:asciiTheme="minorHAnsi" w:hAnsiTheme="minorHAnsi"/>
          <w:szCs w:val="22"/>
        </w:rPr>
        <w:t>.</w:t>
      </w:r>
      <w:bookmarkEnd w:id="32"/>
    </w:p>
    <w:p w14:paraId="25D656DE" w14:textId="77777777" w:rsidR="000B55A9" w:rsidRPr="000B55A9" w:rsidRDefault="00471E1A" w:rsidP="001C5827">
      <w:pPr>
        <w:pStyle w:val="Odstavecseseznamem"/>
        <w:numPr>
          <w:ilvl w:val="2"/>
          <w:numId w:val="4"/>
        </w:numPr>
        <w:spacing w:before="120" w:after="120"/>
        <w:contextualSpacing w:val="0"/>
        <w:jc w:val="both"/>
      </w:pPr>
      <w:r w:rsidRPr="00F3718B">
        <w:rPr>
          <w:rFonts w:asciiTheme="minorHAnsi" w:hAnsiTheme="minorHAnsi"/>
          <w:szCs w:val="22"/>
        </w:rPr>
        <w:t xml:space="preserve">Porušení povinnosti dle čl. </w:t>
      </w:r>
      <w:r w:rsidR="00937AF7">
        <w:rPr>
          <w:rFonts w:asciiTheme="minorHAnsi" w:hAnsiTheme="minorHAnsi"/>
          <w:szCs w:val="22"/>
        </w:rPr>
        <w:t>6.12.1</w:t>
      </w:r>
      <w:r w:rsidRPr="00F3718B">
        <w:rPr>
          <w:rFonts w:asciiTheme="minorHAnsi" w:hAnsiTheme="minorHAnsi"/>
          <w:szCs w:val="22"/>
        </w:rPr>
        <w:t xml:space="preserve"> bude </w:t>
      </w:r>
      <w:r>
        <w:rPr>
          <w:rFonts w:asciiTheme="minorHAnsi" w:hAnsiTheme="minorHAnsi"/>
          <w:szCs w:val="22"/>
        </w:rPr>
        <w:t>mít za následek nevy</w:t>
      </w:r>
      <w:r w:rsidRPr="00F3718B">
        <w:rPr>
          <w:rFonts w:asciiTheme="minorHAnsi" w:hAnsiTheme="minorHAnsi"/>
          <w:szCs w:val="22"/>
        </w:rPr>
        <w:t>placení 100 % poskytnuté dotace</w:t>
      </w:r>
      <w:r>
        <w:rPr>
          <w:rFonts w:asciiTheme="minorHAnsi" w:hAnsiTheme="minorHAnsi"/>
          <w:szCs w:val="22"/>
        </w:rPr>
        <w:t>.</w:t>
      </w:r>
    </w:p>
    <w:p w14:paraId="2ACF4D34" w14:textId="77777777" w:rsidR="000B55A9" w:rsidRPr="000B55A9" w:rsidRDefault="00471E1A" w:rsidP="001C5827">
      <w:pPr>
        <w:pStyle w:val="Odstavecseseznamem"/>
        <w:numPr>
          <w:ilvl w:val="2"/>
          <w:numId w:val="4"/>
        </w:numPr>
        <w:spacing w:before="120" w:after="120"/>
        <w:contextualSpacing w:val="0"/>
        <w:jc w:val="both"/>
      </w:pPr>
      <w:r w:rsidRPr="00F3718B">
        <w:rPr>
          <w:rFonts w:asciiTheme="minorHAnsi" w:hAnsiTheme="minorHAnsi"/>
          <w:szCs w:val="22"/>
        </w:rPr>
        <w:t>Příjemce je při</w:t>
      </w:r>
      <w:r>
        <w:rPr>
          <w:rFonts w:asciiTheme="minorHAnsi" w:hAnsiTheme="minorHAnsi"/>
          <w:szCs w:val="22"/>
        </w:rPr>
        <w:t xml:space="preserve"> realizaci P</w:t>
      </w:r>
      <w:r w:rsidRPr="00F3718B">
        <w:rPr>
          <w:rFonts w:asciiTheme="minorHAnsi" w:hAnsiTheme="minorHAnsi"/>
          <w:szCs w:val="22"/>
        </w:rPr>
        <w:t>rojektu povinen dodržovat politiky Evropské unie, zejména pravidla hospodářské soutěže a veřejné podpory, principy udržitelného rozvoje a prosazování rovných příležitostí</w:t>
      </w:r>
      <w:r>
        <w:rPr>
          <w:rFonts w:asciiTheme="minorHAnsi" w:hAnsiTheme="minorHAnsi"/>
          <w:szCs w:val="22"/>
        </w:rPr>
        <w:t>.</w:t>
      </w:r>
    </w:p>
    <w:p w14:paraId="6DD19376" w14:textId="77777777" w:rsidR="000B55A9" w:rsidRPr="000B55A9" w:rsidRDefault="00471E1A" w:rsidP="001C5827">
      <w:pPr>
        <w:pStyle w:val="Odstavecseseznamem"/>
        <w:numPr>
          <w:ilvl w:val="2"/>
          <w:numId w:val="4"/>
        </w:numPr>
        <w:spacing w:before="120" w:after="120"/>
        <w:contextualSpacing w:val="0"/>
        <w:jc w:val="both"/>
      </w:pPr>
      <w:r>
        <w:rPr>
          <w:rFonts w:asciiTheme="minorHAnsi" w:hAnsiTheme="minorHAnsi"/>
          <w:szCs w:val="22"/>
        </w:rPr>
        <w:t>Příjemce je povinen zavázat své dodavatele předkládat k proplacení pouze faktury, které obsahují číslo Projektu. V odůvodněných případech je příjemci umožněno, aby doklady označil číslem Projektu sám před jejich uplatněním v žádosti o platbu.</w:t>
      </w:r>
    </w:p>
    <w:p w14:paraId="1C131253" w14:textId="77777777" w:rsidR="000B55A9" w:rsidRPr="000B55A9" w:rsidRDefault="00471E1A" w:rsidP="001C5827">
      <w:pPr>
        <w:pStyle w:val="Odstavecseseznamem"/>
        <w:numPr>
          <w:ilvl w:val="2"/>
          <w:numId w:val="4"/>
        </w:numPr>
        <w:spacing w:before="120" w:after="120"/>
        <w:contextualSpacing w:val="0"/>
        <w:jc w:val="both"/>
      </w:pPr>
      <w:r>
        <w:rPr>
          <w:rFonts w:asciiTheme="minorHAnsi" w:hAnsiTheme="minorHAnsi"/>
          <w:szCs w:val="22"/>
        </w:rPr>
        <w:t>Příjemce je povinen informovat poskytovatele dotace o jakýchkoliv kontrolách a auditech prováděných v souvislosti s Projektem. Příjemce je dále povinen poskytnout na vyžádání poskytovateli dotace a kontrolním a auditním orgánům veškeré informace a výsledky těchto kontrol a auditů včetně protokolů z kontrol a zpráv o auditech. Jedná se o povinnosti dle ust. § 14 odst. 4 písm. j)</w:t>
      </w:r>
      <w:r w:rsidR="00D628E0">
        <w:rPr>
          <w:rFonts w:asciiTheme="minorHAnsi" w:hAnsiTheme="minorHAnsi"/>
          <w:szCs w:val="22"/>
        </w:rPr>
        <w:t xml:space="preserve"> rozpočtových pravidel</w:t>
      </w:r>
      <w:r>
        <w:rPr>
          <w:rFonts w:asciiTheme="minorHAnsi" w:hAnsiTheme="minorHAnsi"/>
          <w:szCs w:val="22"/>
        </w:rPr>
        <w:t>.</w:t>
      </w:r>
    </w:p>
    <w:p w14:paraId="22B2C8C1" w14:textId="77777777" w:rsidR="00DB47EC" w:rsidRDefault="00471E1A" w:rsidP="001C5827">
      <w:pPr>
        <w:pStyle w:val="Odstavecseseznamem"/>
        <w:numPr>
          <w:ilvl w:val="2"/>
          <w:numId w:val="4"/>
        </w:numPr>
        <w:spacing w:before="120" w:after="120"/>
        <w:contextualSpacing w:val="0"/>
        <w:jc w:val="both"/>
      </w:pPr>
      <w:r w:rsidRPr="007D7EDA">
        <w:rPr>
          <w:rFonts w:asciiTheme="minorHAnsi" w:hAnsiTheme="minorHAnsi"/>
          <w:szCs w:val="22"/>
        </w:rPr>
        <w:t xml:space="preserve">Ve všech případech, kdy toto Rozhodnutí stanoví, že příjemce je povinen k jakékoliv etapové žádosti o platbu doložit určité dokumenty, platí </w:t>
      </w:r>
      <w:r>
        <w:rPr>
          <w:rFonts w:asciiTheme="minorHAnsi" w:hAnsiTheme="minorHAnsi"/>
          <w:szCs w:val="22"/>
        </w:rPr>
        <w:t xml:space="preserve">následující. Příjemce je </w:t>
      </w:r>
      <w:r w:rsidRPr="007D7EDA">
        <w:rPr>
          <w:rFonts w:asciiTheme="minorHAnsi" w:hAnsiTheme="minorHAnsi"/>
          <w:szCs w:val="22"/>
        </w:rPr>
        <w:t>povinen předkládat tyto dokumenty spolu s prvním podáním dané žádosti o platbu. Doložení dokumentů spolu s prvním podáním dané žádosti o platbu je povinnost dle § 14 odst. 4 písm. j) rozpočtových pravidel. Nebudou-li dokumenty doloženy spolu s prvním podáním dané žádosti o platbu, je příjemce povinen je doložit v rámci následných oprav dané žádosti o platbu. V případě nedoložení uvedených dokumentů ani v rámci oprav dané žádosti o p</w:t>
      </w:r>
      <w:r w:rsidR="00A1055D">
        <w:rPr>
          <w:rFonts w:asciiTheme="minorHAnsi" w:hAnsiTheme="minorHAnsi"/>
          <w:szCs w:val="22"/>
        </w:rPr>
        <w:t>latbu se jedná o </w:t>
      </w:r>
      <w:r>
        <w:rPr>
          <w:rFonts w:asciiTheme="minorHAnsi" w:hAnsiTheme="minorHAnsi"/>
          <w:szCs w:val="22"/>
        </w:rPr>
        <w:t xml:space="preserve">porušení povinnosti dle ust. §14 odst. 4 písm. g) rozpočtových pravidel a příjemci nebude vyplacena část dotace odpovídající </w:t>
      </w:r>
      <w:r w:rsidRPr="007D7EDA">
        <w:rPr>
          <w:rFonts w:asciiTheme="minorHAnsi" w:hAnsiTheme="minorHAnsi"/>
          <w:szCs w:val="22"/>
        </w:rPr>
        <w:t xml:space="preserve">100 % </w:t>
      </w:r>
      <w:r>
        <w:rPr>
          <w:rFonts w:asciiTheme="minorHAnsi" w:hAnsiTheme="minorHAnsi"/>
          <w:szCs w:val="22"/>
        </w:rPr>
        <w:t>dotace za danou eta</w:t>
      </w:r>
      <w:r w:rsidR="00C61F0A">
        <w:rPr>
          <w:rFonts w:asciiTheme="minorHAnsi" w:hAnsiTheme="minorHAnsi"/>
          <w:szCs w:val="22"/>
        </w:rPr>
        <w:t>pu Projektu, není-li dále uvedeno</w:t>
      </w:r>
      <w:r>
        <w:rPr>
          <w:rFonts w:asciiTheme="minorHAnsi" w:hAnsiTheme="minorHAnsi"/>
          <w:szCs w:val="22"/>
        </w:rPr>
        <w:t xml:space="preserve"> jinak.</w:t>
      </w:r>
      <w:r>
        <w:tab/>
      </w:r>
    </w:p>
    <w:p w14:paraId="3FCC5C58" w14:textId="77777777" w:rsidR="00B27F4F" w:rsidRPr="00B27F4F" w:rsidRDefault="00471E1A" w:rsidP="001C5827">
      <w:pPr>
        <w:pStyle w:val="Odstavecseseznamem"/>
        <w:numPr>
          <w:ilvl w:val="2"/>
          <w:numId w:val="4"/>
        </w:numPr>
        <w:spacing w:before="120" w:after="120"/>
        <w:contextualSpacing w:val="0"/>
        <w:jc w:val="both"/>
      </w:pPr>
      <w:bookmarkStart w:id="33" w:name="_Ref39652736"/>
      <w:r w:rsidRPr="007D7EDA">
        <w:rPr>
          <w:rFonts w:asciiTheme="minorHAnsi" w:hAnsiTheme="minorHAnsi"/>
          <w:szCs w:val="22"/>
        </w:rPr>
        <w:t xml:space="preserve">Ve všech případech, kdy toto Rozhodnutí stanoví, že </w:t>
      </w:r>
      <w:r>
        <w:rPr>
          <w:rFonts w:asciiTheme="minorHAnsi" w:hAnsiTheme="minorHAnsi"/>
          <w:szCs w:val="22"/>
        </w:rPr>
        <w:t xml:space="preserve">příjemce je povinen k poslední </w:t>
      </w:r>
      <w:r w:rsidRPr="007D7EDA">
        <w:rPr>
          <w:rFonts w:asciiTheme="minorHAnsi" w:hAnsiTheme="minorHAnsi"/>
          <w:szCs w:val="22"/>
        </w:rPr>
        <w:t xml:space="preserve">žádosti o platbu doložit určité dokumenty, platí </w:t>
      </w:r>
      <w:r>
        <w:rPr>
          <w:rFonts w:asciiTheme="minorHAnsi" w:hAnsiTheme="minorHAnsi"/>
          <w:szCs w:val="22"/>
        </w:rPr>
        <w:t xml:space="preserve">následující. Příjemce je </w:t>
      </w:r>
      <w:r w:rsidRPr="007D7EDA">
        <w:rPr>
          <w:rFonts w:asciiTheme="minorHAnsi" w:hAnsiTheme="minorHAnsi"/>
          <w:szCs w:val="22"/>
        </w:rPr>
        <w:t xml:space="preserve">povinen předkládat tyto dokumenty spolu s prvním podáním </w:t>
      </w:r>
      <w:r>
        <w:rPr>
          <w:rFonts w:asciiTheme="minorHAnsi" w:hAnsiTheme="minorHAnsi"/>
          <w:szCs w:val="22"/>
        </w:rPr>
        <w:t>poslední</w:t>
      </w:r>
      <w:r w:rsidRPr="007D7EDA">
        <w:rPr>
          <w:rFonts w:asciiTheme="minorHAnsi" w:hAnsiTheme="minorHAnsi"/>
          <w:szCs w:val="22"/>
        </w:rPr>
        <w:t xml:space="preserve"> žádosti o platbu. Doložení dokum</w:t>
      </w:r>
      <w:r>
        <w:rPr>
          <w:rFonts w:asciiTheme="minorHAnsi" w:hAnsiTheme="minorHAnsi"/>
          <w:szCs w:val="22"/>
        </w:rPr>
        <w:t>entů spolu s prvním podáním poslední</w:t>
      </w:r>
      <w:r w:rsidRPr="007D7EDA">
        <w:rPr>
          <w:rFonts w:asciiTheme="minorHAnsi" w:hAnsiTheme="minorHAnsi"/>
          <w:szCs w:val="22"/>
        </w:rPr>
        <w:t xml:space="preserve"> žádosti o platbu je povinnost dle § 14 odst. 4 písm. j) rozpočtových pravidel. V případě doložení těchto dokumen</w:t>
      </w:r>
      <w:r w:rsidR="00A1055D">
        <w:rPr>
          <w:rFonts w:asciiTheme="minorHAnsi" w:hAnsiTheme="minorHAnsi"/>
          <w:szCs w:val="22"/>
        </w:rPr>
        <w:t>tů v rámci oprav dané žádosti o </w:t>
      </w:r>
      <w:r w:rsidRPr="007D7EDA">
        <w:rPr>
          <w:rFonts w:asciiTheme="minorHAnsi" w:hAnsiTheme="minorHAnsi"/>
          <w:szCs w:val="22"/>
        </w:rPr>
        <w:t>platbu za předpokladu, že tyto mohly fakticky být předloženy již k jejímu prvnímu podání</w:t>
      </w:r>
      <w:r>
        <w:rPr>
          <w:rFonts w:asciiTheme="minorHAnsi" w:hAnsiTheme="minorHAnsi"/>
          <w:szCs w:val="22"/>
        </w:rPr>
        <w:t xml:space="preserve"> (s ohledem na datum jejich vzniku)</w:t>
      </w:r>
      <w:r w:rsidRPr="007D7EDA">
        <w:rPr>
          <w:rFonts w:asciiTheme="minorHAnsi" w:hAnsiTheme="minorHAnsi"/>
          <w:szCs w:val="22"/>
        </w:rPr>
        <w:t xml:space="preserve"> a splňovaly případné podmínky v tomto Rozhodnut</w:t>
      </w:r>
      <w:r>
        <w:rPr>
          <w:rFonts w:asciiTheme="minorHAnsi" w:hAnsiTheme="minorHAnsi"/>
          <w:szCs w:val="22"/>
        </w:rPr>
        <w:t xml:space="preserve">í uvedené (datum </w:t>
      </w:r>
      <w:r w:rsidRPr="007D7EDA">
        <w:rPr>
          <w:rFonts w:asciiTheme="minorHAnsi" w:hAnsiTheme="minorHAnsi"/>
          <w:szCs w:val="22"/>
        </w:rPr>
        <w:t xml:space="preserve">vydání, právní moci apod.), platí, že </w:t>
      </w:r>
      <w:r>
        <w:rPr>
          <w:rFonts w:asciiTheme="minorHAnsi" w:hAnsiTheme="minorHAnsi"/>
          <w:szCs w:val="22"/>
        </w:rPr>
        <w:t>byla porušena</w:t>
      </w:r>
      <w:r w:rsidRPr="007D7EDA">
        <w:rPr>
          <w:rFonts w:asciiTheme="minorHAnsi" w:hAnsiTheme="minorHAnsi"/>
          <w:szCs w:val="22"/>
        </w:rPr>
        <w:t xml:space="preserve"> </w:t>
      </w:r>
      <w:r>
        <w:rPr>
          <w:rFonts w:asciiTheme="minorHAnsi" w:hAnsiTheme="minorHAnsi"/>
          <w:szCs w:val="22"/>
        </w:rPr>
        <w:t>podmínka</w:t>
      </w:r>
      <w:r w:rsidRPr="007D7EDA">
        <w:rPr>
          <w:rFonts w:asciiTheme="minorHAnsi" w:hAnsiTheme="minorHAnsi"/>
          <w:szCs w:val="22"/>
        </w:rPr>
        <w:t xml:space="preserve"> dle ust. § 14 odst. 4 písm. j) rozpočtových pravidel. V případě doložení uv</w:t>
      </w:r>
      <w:r>
        <w:rPr>
          <w:rFonts w:asciiTheme="minorHAnsi" w:hAnsiTheme="minorHAnsi"/>
          <w:szCs w:val="22"/>
        </w:rPr>
        <w:t>edených dokumentů v rámci oprav</w:t>
      </w:r>
      <w:r w:rsidRPr="007D7EDA">
        <w:rPr>
          <w:rFonts w:asciiTheme="minorHAnsi" w:hAnsiTheme="minorHAnsi"/>
          <w:szCs w:val="22"/>
        </w:rPr>
        <w:t xml:space="preserve"> dané žádosti o platbu za předpokladu, že nemohly fakticky být předloženy již k jejímu prvnímu podání </w:t>
      </w:r>
      <w:r>
        <w:rPr>
          <w:rFonts w:asciiTheme="minorHAnsi" w:hAnsiTheme="minorHAnsi"/>
          <w:szCs w:val="22"/>
        </w:rPr>
        <w:t xml:space="preserve">(s ohledem na datum jejich vzniku) </w:t>
      </w:r>
      <w:r w:rsidRPr="007D7EDA">
        <w:rPr>
          <w:rFonts w:asciiTheme="minorHAnsi" w:hAnsiTheme="minorHAnsi"/>
          <w:szCs w:val="22"/>
        </w:rPr>
        <w:t>nebo ne</w:t>
      </w:r>
      <w:r>
        <w:rPr>
          <w:rFonts w:asciiTheme="minorHAnsi" w:hAnsiTheme="minorHAnsi"/>
          <w:szCs w:val="22"/>
        </w:rPr>
        <w:t xml:space="preserve">splňovaly případné podmínky v tomto Rozhodnutí uvedené (datum </w:t>
      </w:r>
      <w:r w:rsidRPr="007D7EDA">
        <w:rPr>
          <w:rFonts w:asciiTheme="minorHAnsi" w:hAnsiTheme="minorHAnsi"/>
          <w:szCs w:val="22"/>
        </w:rPr>
        <w:t xml:space="preserve">vydání, právní moci apod.), platí, že byla porušena podmínka dle § 14 odst. 4 písm. g) </w:t>
      </w:r>
      <w:r>
        <w:rPr>
          <w:rFonts w:asciiTheme="minorHAnsi" w:hAnsiTheme="minorHAnsi"/>
          <w:szCs w:val="22"/>
        </w:rPr>
        <w:t>rozpočtových pravidel a příjemci</w:t>
      </w:r>
      <w:r w:rsidRPr="007D7EDA">
        <w:rPr>
          <w:rFonts w:asciiTheme="minorHAnsi" w:hAnsiTheme="minorHAnsi"/>
          <w:szCs w:val="22"/>
        </w:rPr>
        <w:t xml:space="preserve"> nebu</w:t>
      </w:r>
      <w:r w:rsidR="00584BED">
        <w:rPr>
          <w:rFonts w:asciiTheme="minorHAnsi" w:hAnsiTheme="minorHAnsi"/>
          <w:szCs w:val="22"/>
        </w:rPr>
        <w:t>de vyplacena část dotace odpovída</w:t>
      </w:r>
      <w:r w:rsidR="00584BED" w:rsidRPr="00500088">
        <w:rPr>
          <w:rFonts w:asciiTheme="minorHAnsi" w:hAnsiTheme="minorHAnsi"/>
          <w:szCs w:val="22"/>
        </w:rPr>
        <w:t>jící</w:t>
      </w:r>
      <w:r w:rsidRPr="00500088">
        <w:rPr>
          <w:rFonts w:asciiTheme="minorHAnsi" w:hAnsiTheme="minorHAnsi"/>
          <w:szCs w:val="22"/>
        </w:rPr>
        <w:t xml:space="preserve"> 0,1 % p</w:t>
      </w:r>
      <w:r w:rsidRPr="007D7EDA">
        <w:rPr>
          <w:rFonts w:asciiTheme="minorHAnsi" w:hAnsiTheme="minorHAnsi"/>
          <w:szCs w:val="22"/>
        </w:rPr>
        <w:t>oskytnuté dotace. V případě nedoložení uvedených dokumentů ani v rámci oprav dané žádosti o platbu nebude příjemci vyplaceno 100 %</w:t>
      </w:r>
      <w:r>
        <w:rPr>
          <w:rFonts w:asciiTheme="minorHAnsi" w:hAnsiTheme="minorHAnsi"/>
          <w:szCs w:val="22"/>
        </w:rPr>
        <w:t xml:space="preserve"> poskytnuté dotace, není-li dále</w:t>
      </w:r>
      <w:r w:rsidRPr="007D7EDA">
        <w:rPr>
          <w:rFonts w:asciiTheme="minorHAnsi" w:hAnsiTheme="minorHAnsi"/>
          <w:szCs w:val="22"/>
        </w:rPr>
        <w:t xml:space="preserve"> uvedeno jinak</w:t>
      </w:r>
      <w:r>
        <w:rPr>
          <w:rFonts w:asciiTheme="minorHAnsi" w:hAnsiTheme="minorHAnsi"/>
          <w:szCs w:val="22"/>
        </w:rPr>
        <w:t>.</w:t>
      </w:r>
      <w:bookmarkEnd w:id="33"/>
    </w:p>
    <w:p w14:paraId="1DFF79B5" w14:textId="77777777" w:rsidR="00B27F4F" w:rsidRPr="00AC07A0" w:rsidRDefault="00471E1A" w:rsidP="00B27F4F">
      <w:pPr>
        <w:pStyle w:val="Odstavecseseznamem"/>
        <w:numPr>
          <w:ilvl w:val="2"/>
          <w:numId w:val="4"/>
        </w:numPr>
        <w:spacing w:before="120" w:after="120"/>
        <w:contextualSpacing w:val="0"/>
        <w:jc w:val="both"/>
      </w:pPr>
      <w:r w:rsidRPr="007D7EDA">
        <w:rPr>
          <w:rFonts w:asciiTheme="minorHAnsi" w:hAnsiTheme="minorHAnsi"/>
          <w:szCs w:val="22"/>
        </w:rPr>
        <w:t>Při nesplnění více článků tohoto Rozhodnutí se jednotlivé sankce sčítají. Celková výše dotace nevyplacená ze strany poskytovatele dotace dle ust. §14e rozpočtových pravidel může v součtu dosáhnout maximálně takové částky, která byla v rámci Projektu schválena k</w:t>
      </w:r>
      <w:r>
        <w:rPr>
          <w:rFonts w:asciiTheme="minorHAnsi" w:hAnsiTheme="minorHAnsi"/>
          <w:szCs w:val="22"/>
        </w:rPr>
        <w:t> </w:t>
      </w:r>
      <w:r w:rsidRPr="007D7EDA">
        <w:rPr>
          <w:rFonts w:asciiTheme="minorHAnsi" w:hAnsiTheme="minorHAnsi"/>
          <w:szCs w:val="22"/>
        </w:rPr>
        <w:t>proplacení</w:t>
      </w:r>
      <w:r>
        <w:rPr>
          <w:rFonts w:asciiTheme="minorHAnsi" w:hAnsiTheme="minorHAnsi"/>
          <w:szCs w:val="22"/>
        </w:rPr>
        <w:t>.</w:t>
      </w:r>
    </w:p>
    <w:p w14:paraId="6CECD125" w14:textId="77777777" w:rsidR="00BD7E9F" w:rsidRPr="00B27F4F" w:rsidRDefault="00471E1A" w:rsidP="00BD7E9F">
      <w:pPr>
        <w:pStyle w:val="Odstavecseseznamem"/>
        <w:numPr>
          <w:ilvl w:val="1"/>
          <w:numId w:val="4"/>
        </w:numPr>
        <w:spacing w:before="120" w:after="120"/>
        <w:contextualSpacing w:val="0"/>
      </w:pPr>
      <w:r>
        <w:rPr>
          <w:rFonts w:asciiTheme="minorHAnsi" w:hAnsiTheme="minorHAnsi"/>
          <w:b/>
          <w:szCs w:val="22"/>
        </w:rPr>
        <w:t>Aplikace</w:t>
      </w:r>
    </w:p>
    <w:p w14:paraId="542061B7" w14:textId="77777777" w:rsidR="00BD7E9F" w:rsidRPr="00B27F4F" w:rsidRDefault="00471E1A" w:rsidP="00BD7E9F">
      <w:pPr>
        <w:pStyle w:val="Odstavecseseznamem"/>
        <w:numPr>
          <w:ilvl w:val="2"/>
          <w:numId w:val="4"/>
        </w:numPr>
        <w:spacing w:before="120" w:after="120"/>
        <w:contextualSpacing w:val="0"/>
        <w:jc w:val="both"/>
      </w:pPr>
      <w:r w:rsidRPr="00640681">
        <w:rPr>
          <w:rFonts w:asciiTheme="minorHAnsi" w:hAnsiTheme="minorHAnsi"/>
          <w:szCs w:val="22"/>
        </w:rPr>
        <w:t>Příjemce je povinen zajistit, aby vztahy mezi příjemcem</w:t>
      </w:r>
      <w:r>
        <w:rPr>
          <w:rFonts w:asciiTheme="minorHAnsi" w:hAnsiTheme="minorHAnsi"/>
          <w:szCs w:val="22"/>
        </w:rPr>
        <w:t xml:space="preserve"> a</w:t>
      </w:r>
      <w:r w:rsidRPr="00640681">
        <w:rPr>
          <w:rFonts w:asciiTheme="minorHAnsi" w:hAnsiTheme="minorHAnsi"/>
          <w:szCs w:val="22"/>
        </w:rPr>
        <w:t xml:space="preserve"> </w:t>
      </w:r>
      <w:r>
        <w:rPr>
          <w:rFonts w:asciiTheme="minorHAnsi" w:hAnsiTheme="minorHAnsi"/>
          <w:szCs w:val="22"/>
        </w:rPr>
        <w:t>jeho partnery, jejichž seznam byl poskytnut poskytovateli dotace, po celou dobu realizace P</w:t>
      </w:r>
      <w:r w:rsidRPr="00640681">
        <w:rPr>
          <w:rFonts w:asciiTheme="minorHAnsi" w:hAnsiTheme="minorHAnsi"/>
          <w:szCs w:val="22"/>
        </w:rPr>
        <w:t>rojektu odpovídaly podmínkám Výzvy a tohoto Rozhodnutí</w:t>
      </w:r>
      <w:r>
        <w:rPr>
          <w:rFonts w:asciiTheme="minorHAnsi" w:hAnsiTheme="minorHAnsi"/>
          <w:szCs w:val="22"/>
        </w:rPr>
        <w:t>. Příjemce je povinen uzavřít s partnery s finančním příspěvkem smlouvu, ve které budou vymezeny vzájemné vztahy a role jednotlivých partnerů s finančním příspěvkem v Projektu. Ve smlouvě je příjemce povinen partnery s finančním příspěvkem zavázat k plnění podmínek tohoto Rozhodnutí.</w:t>
      </w:r>
    </w:p>
    <w:p w14:paraId="79518B42" w14:textId="77777777" w:rsidR="00BD7E9F" w:rsidRPr="00B27F4F" w:rsidRDefault="00471E1A" w:rsidP="00BD7E9F">
      <w:pPr>
        <w:pStyle w:val="Odstavecseseznamem"/>
        <w:numPr>
          <w:ilvl w:val="2"/>
          <w:numId w:val="4"/>
        </w:numPr>
        <w:spacing w:before="120" w:after="120"/>
        <w:contextualSpacing w:val="0"/>
        <w:jc w:val="both"/>
      </w:pPr>
      <w:r w:rsidRPr="00640681">
        <w:rPr>
          <w:rFonts w:asciiTheme="minorHAnsi" w:hAnsiTheme="minorHAnsi"/>
          <w:szCs w:val="22"/>
        </w:rPr>
        <w:t>Příjemce ve vztahu k poskytnuté dotaci odpovídá za s</w:t>
      </w:r>
      <w:r>
        <w:rPr>
          <w:rFonts w:asciiTheme="minorHAnsi" w:hAnsiTheme="minorHAnsi"/>
          <w:szCs w:val="22"/>
        </w:rPr>
        <w:t>plnění všech povinností partnerů s finančním příspěvkem</w:t>
      </w:r>
      <w:r w:rsidRPr="00640681">
        <w:rPr>
          <w:rFonts w:asciiTheme="minorHAnsi" w:hAnsiTheme="minorHAnsi"/>
          <w:szCs w:val="22"/>
        </w:rPr>
        <w:t xml:space="preserve">. Pokud </w:t>
      </w:r>
      <w:r>
        <w:rPr>
          <w:rFonts w:asciiTheme="minorHAnsi" w:hAnsiTheme="minorHAnsi"/>
          <w:szCs w:val="22"/>
        </w:rPr>
        <w:t xml:space="preserve">některý z těchto </w:t>
      </w:r>
      <w:r w:rsidRPr="00640681">
        <w:rPr>
          <w:rFonts w:asciiTheme="minorHAnsi" w:hAnsiTheme="minorHAnsi"/>
          <w:szCs w:val="22"/>
        </w:rPr>
        <w:t>partner</w:t>
      </w:r>
      <w:r>
        <w:rPr>
          <w:rFonts w:asciiTheme="minorHAnsi" w:hAnsiTheme="minorHAnsi"/>
          <w:szCs w:val="22"/>
        </w:rPr>
        <w:t>ů</w:t>
      </w:r>
      <w:r w:rsidRPr="00640681">
        <w:rPr>
          <w:rFonts w:asciiTheme="minorHAnsi" w:hAnsiTheme="minorHAnsi"/>
          <w:szCs w:val="22"/>
        </w:rPr>
        <w:t xml:space="preserve"> poruší příslušné podmínky tohoto Rozhodnutí, odpovídá </w:t>
      </w:r>
      <w:r>
        <w:rPr>
          <w:rFonts w:asciiTheme="minorHAnsi" w:hAnsiTheme="minorHAnsi"/>
          <w:szCs w:val="22"/>
        </w:rPr>
        <w:t xml:space="preserve">za toto porušení </w:t>
      </w:r>
      <w:r w:rsidRPr="00640681">
        <w:rPr>
          <w:rFonts w:asciiTheme="minorHAnsi" w:hAnsiTheme="minorHAnsi"/>
          <w:szCs w:val="22"/>
        </w:rPr>
        <w:t>příjemce jako by tuto povinnost porušil sám</w:t>
      </w:r>
      <w:r>
        <w:rPr>
          <w:rFonts w:asciiTheme="minorHAnsi" w:hAnsiTheme="minorHAnsi"/>
          <w:szCs w:val="22"/>
        </w:rPr>
        <w:t>.</w:t>
      </w:r>
    </w:p>
    <w:p w14:paraId="485864C1" w14:textId="77777777" w:rsidR="00BD7E9F" w:rsidRPr="00B27F4F" w:rsidRDefault="00471E1A" w:rsidP="00BD7E9F">
      <w:pPr>
        <w:pStyle w:val="Odstavecseseznamem"/>
        <w:numPr>
          <w:ilvl w:val="2"/>
          <w:numId w:val="4"/>
        </w:numPr>
        <w:spacing w:before="120" w:after="120"/>
        <w:contextualSpacing w:val="0"/>
        <w:jc w:val="both"/>
      </w:pPr>
      <w:r w:rsidRPr="00640681">
        <w:rPr>
          <w:rFonts w:asciiTheme="minorHAnsi" w:hAnsiTheme="minorHAnsi"/>
          <w:szCs w:val="22"/>
        </w:rPr>
        <w:t xml:space="preserve">Příjemce není oprávněn se svými </w:t>
      </w:r>
      <w:r>
        <w:rPr>
          <w:rFonts w:asciiTheme="minorHAnsi" w:hAnsiTheme="minorHAnsi"/>
          <w:szCs w:val="22"/>
        </w:rPr>
        <w:t xml:space="preserve">partnery s finančním příspěvkem </w:t>
      </w:r>
      <w:r w:rsidRPr="00640681">
        <w:rPr>
          <w:rFonts w:asciiTheme="minorHAnsi" w:hAnsiTheme="minorHAnsi"/>
          <w:szCs w:val="22"/>
        </w:rPr>
        <w:t xml:space="preserve">uzavírat v rámci tohoto Projektu smluvní vztahy, jejichž předmětem by bylo poskytování služeb, zboží nebo stavebních prací za úplatu, pokud by vzniklé výdaje měly být nárokovány jako způsobilé. </w:t>
      </w:r>
      <w:r>
        <w:rPr>
          <w:rFonts w:asciiTheme="minorHAnsi" w:hAnsiTheme="minorHAnsi"/>
          <w:szCs w:val="22"/>
        </w:rPr>
        <w:t>Porušení této povinnosti bude mít za následek nezpůsobilost takových výdajů.</w:t>
      </w:r>
    </w:p>
    <w:p w14:paraId="021E0AAC" w14:textId="77777777" w:rsidR="00BD7E9F" w:rsidRPr="00B27F4F" w:rsidRDefault="00471E1A" w:rsidP="00BD7E9F">
      <w:pPr>
        <w:pStyle w:val="Odstavecseseznamem"/>
        <w:numPr>
          <w:ilvl w:val="2"/>
          <w:numId w:val="4"/>
        </w:numPr>
        <w:spacing w:before="120" w:after="120"/>
        <w:contextualSpacing w:val="0"/>
        <w:jc w:val="both"/>
      </w:pPr>
      <w:r w:rsidRPr="00640681">
        <w:rPr>
          <w:rFonts w:asciiTheme="minorHAnsi" w:hAnsiTheme="minorHAnsi"/>
          <w:szCs w:val="22"/>
        </w:rPr>
        <w:t xml:space="preserve">Příjemce zajistí, aby veškerou dokumentaci a účetní doklady dle čl. </w:t>
      </w:r>
      <w:r>
        <w:rPr>
          <w:rFonts w:asciiTheme="minorHAnsi" w:hAnsiTheme="minorHAnsi"/>
          <w:szCs w:val="22"/>
        </w:rPr>
        <w:t>6.8.1</w:t>
      </w:r>
      <w:r w:rsidRPr="00640681">
        <w:rPr>
          <w:rFonts w:asciiTheme="minorHAnsi" w:hAnsiTheme="minorHAnsi"/>
          <w:szCs w:val="22"/>
        </w:rPr>
        <w:t xml:space="preserve"> archivoval</w:t>
      </w:r>
      <w:r>
        <w:rPr>
          <w:rFonts w:asciiTheme="minorHAnsi" w:hAnsiTheme="minorHAnsi"/>
          <w:szCs w:val="22"/>
        </w:rPr>
        <w:t>i rovněž partneři</w:t>
      </w:r>
      <w:r w:rsidRPr="00640681">
        <w:rPr>
          <w:rFonts w:asciiTheme="minorHAnsi" w:hAnsiTheme="minorHAnsi"/>
          <w:szCs w:val="22"/>
        </w:rPr>
        <w:t xml:space="preserve"> příjemce a aby k této dokumentaci umožnil</w:t>
      </w:r>
      <w:r>
        <w:rPr>
          <w:rFonts w:asciiTheme="minorHAnsi" w:hAnsiTheme="minorHAnsi"/>
          <w:szCs w:val="22"/>
        </w:rPr>
        <w:t>i</w:t>
      </w:r>
      <w:r w:rsidRPr="00640681">
        <w:rPr>
          <w:rFonts w:asciiTheme="minorHAnsi" w:hAnsiTheme="minorHAnsi"/>
          <w:szCs w:val="22"/>
        </w:rPr>
        <w:t xml:space="preserve"> po tuto dobu přístup</w:t>
      </w:r>
      <w:r>
        <w:rPr>
          <w:rFonts w:asciiTheme="minorHAnsi" w:hAnsiTheme="minorHAnsi"/>
          <w:szCs w:val="22"/>
        </w:rPr>
        <w:t>.</w:t>
      </w:r>
    </w:p>
    <w:p w14:paraId="558C11B2" w14:textId="77777777" w:rsidR="00BD7E9F" w:rsidRPr="00B27F4F" w:rsidRDefault="00471E1A" w:rsidP="00BD7E9F">
      <w:pPr>
        <w:pStyle w:val="Odstavecseseznamem"/>
        <w:numPr>
          <w:ilvl w:val="2"/>
          <w:numId w:val="4"/>
        </w:numPr>
        <w:spacing w:before="120" w:after="120"/>
        <w:contextualSpacing w:val="0"/>
        <w:jc w:val="both"/>
      </w:pPr>
      <w:r w:rsidRPr="00640681">
        <w:rPr>
          <w:rFonts w:asciiTheme="minorHAnsi" w:hAnsiTheme="minorHAnsi"/>
          <w:szCs w:val="22"/>
        </w:rPr>
        <w:t>Příjemce je povinen zajistit, aby po celou dobu realizace a udržitelnosti plnil</w:t>
      </w:r>
      <w:r>
        <w:rPr>
          <w:rFonts w:asciiTheme="minorHAnsi" w:hAnsiTheme="minorHAnsi"/>
          <w:szCs w:val="22"/>
        </w:rPr>
        <w:t>i i partneři</w:t>
      </w:r>
      <w:r w:rsidRPr="00640681">
        <w:rPr>
          <w:rFonts w:asciiTheme="minorHAnsi" w:hAnsiTheme="minorHAnsi"/>
          <w:szCs w:val="22"/>
        </w:rPr>
        <w:t xml:space="preserve"> příjemce povinnosti dle čl. </w:t>
      </w:r>
      <w:r>
        <w:rPr>
          <w:rFonts w:asciiTheme="minorHAnsi" w:hAnsiTheme="minorHAnsi"/>
          <w:szCs w:val="22"/>
        </w:rPr>
        <w:t>6.8.7.</w:t>
      </w:r>
    </w:p>
    <w:p w14:paraId="798FAFC1" w14:textId="77777777" w:rsidR="00BD7E9F" w:rsidRPr="00B27F4F" w:rsidRDefault="00471E1A" w:rsidP="00BD7E9F">
      <w:pPr>
        <w:pStyle w:val="Odstavecseseznamem"/>
        <w:numPr>
          <w:ilvl w:val="2"/>
          <w:numId w:val="4"/>
        </w:numPr>
        <w:spacing w:before="120" w:after="120"/>
        <w:contextualSpacing w:val="0"/>
        <w:jc w:val="both"/>
      </w:pPr>
      <w:r w:rsidRPr="00EB3AAD">
        <w:rPr>
          <w:rFonts w:asciiTheme="minorHAnsi" w:hAnsiTheme="minorHAnsi"/>
          <w:szCs w:val="22"/>
        </w:rPr>
        <w:t>Příjemce je povinen zajistit, aby podíl a přínosy každého partnera v Projektu byly vždy odůvodněné a míra zapojení jednotlivých partnerů do Projektu odpovídala jejich podílům na výsledcích Projektu</w:t>
      </w:r>
      <w:r>
        <w:rPr>
          <w:rFonts w:asciiTheme="minorHAnsi" w:hAnsiTheme="minorHAnsi"/>
          <w:szCs w:val="22"/>
        </w:rPr>
        <w:t>.</w:t>
      </w:r>
    </w:p>
    <w:p w14:paraId="18568B02" w14:textId="77777777" w:rsidR="00BD7E9F" w:rsidRPr="00B27F4F" w:rsidRDefault="00471E1A" w:rsidP="00BD7E9F">
      <w:pPr>
        <w:pStyle w:val="Odstavecseseznamem"/>
        <w:numPr>
          <w:ilvl w:val="2"/>
          <w:numId w:val="4"/>
        </w:numPr>
        <w:spacing w:before="120" w:after="120"/>
        <w:contextualSpacing w:val="0"/>
        <w:jc w:val="both"/>
      </w:pPr>
      <w:r w:rsidRPr="00EB3AAD">
        <w:rPr>
          <w:rFonts w:asciiTheme="minorHAnsi" w:hAnsiTheme="minorHAnsi"/>
          <w:szCs w:val="22"/>
        </w:rPr>
        <w:t>Příjemce odpovídá za dokumenty předkládané partnery a je zodpovědný za vypořádání případných nedostatků zjištěných v těchto dokumentech</w:t>
      </w:r>
      <w:r>
        <w:rPr>
          <w:rFonts w:asciiTheme="minorHAnsi" w:hAnsiTheme="minorHAnsi"/>
          <w:szCs w:val="22"/>
        </w:rPr>
        <w:t>.</w:t>
      </w:r>
    </w:p>
    <w:p w14:paraId="4B1F83FF" w14:textId="77777777" w:rsidR="00BD7E9F" w:rsidRPr="00B27F4F" w:rsidRDefault="00471E1A" w:rsidP="00BD7E9F">
      <w:pPr>
        <w:pStyle w:val="Odstavecseseznamem"/>
        <w:numPr>
          <w:ilvl w:val="2"/>
          <w:numId w:val="4"/>
        </w:numPr>
        <w:spacing w:before="120" w:after="120"/>
        <w:contextualSpacing w:val="0"/>
        <w:jc w:val="both"/>
      </w:pPr>
      <w:bookmarkStart w:id="34" w:name="_Ref39651957"/>
      <w:r>
        <w:rPr>
          <w:rFonts w:asciiTheme="minorHAnsi" w:hAnsiTheme="minorHAnsi"/>
          <w:szCs w:val="22"/>
        </w:rPr>
        <w:t>Příjemce je povinen na vlastní náklady zorganizovat závěrečné oponentní řízení dle Pravidel pro žadatele a příjemce z OPPIK – zvláštní část.</w:t>
      </w:r>
      <w:bookmarkEnd w:id="34"/>
    </w:p>
    <w:p w14:paraId="1317B74A" w14:textId="77777777" w:rsidR="00BD7E9F" w:rsidRPr="00B27F4F" w:rsidRDefault="00471E1A" w:rsidP="00BD7E9F">
      <w:pPr>
        <w:pStyle w:val="Odstavecseseznamem"/>
        <w:numPr>
          <w:ilvl w:val="2"/>
          <w:numId w:val="4"/>
        </w:numPr>
        <w:spacing w:before="120" w:after="120"/>
        <w:contextualSpacing w:val="0"/>
        <w:jc w:val="both"/>
      </w:pPr>
      <w:r>
        <w:rPr>
          <w:rFonts w:asciiTheme="minorHAnsi" w:hAnsiTheme="minorHAnsi"/>
          <w:szCs w:val="22"/>
        </w:rPr>
        <w:t>Porušení povinnosti dle čl. 6.13.8 bude mít za následek nevyplacení 100 % poskytnuté dotace.</w:t>
      </w:r>
    </w:p>
    <w:p w14:paraId="0FDF49B5" w14:textId="77777777" w:rsidR="00BD7E9F" w:rsidRPr="00B27F4F" w:rsidRDefault="00471E1A" w:rsidP="00BD7E9F">
      <w:pPr>
        <w:pStyle w:val="Odstavecseseznamem"/>
        <w:numPr>
          <w:ilvl w:val="2"/>
          <w:numId w:val="4"/>
        </w:numPr>
        <w:spacing w:before="120" w:after="120"/>
        <w:contextualSpacing w:val="0"/>
        <w:jc w:val="both"/>
      </w:pPr>
      <w:bookmarkStart w:id="35" w:name="_Ref39651970"/>
      <w:r>
        <w:rPr>
          <w:rFonts w:asciiTheme="minorHAnsi" w:hAnsiTheme="minorHAnsi"/>
          <w:szCs w:val="22"/>
        </w:rPr>
        <w:t xml:space="preserve">Příjemce je povinen akceptovat finanční vypořádání poskytnuté dotace na základě přepočtu dle skutečné míry podpory jednotlivých kategorií způsobilých výdajů stanovené v čl. 25 </w:t>
      </w:r>
      <w:r w:rsidRPr="007A6BC2">
        <w:t xml:space="preserve">Nařízení </w:t>
      </w:r>
      <w:r>
        <w:t>GBER</w:t>
      </w:r>
      <w:r>
        <w:rPr>
          <w:rFonts w:asciiTheme="minorHAnsi" w:hAnsiTheme="minorHAnsi"/>
          <w:szCs w:val="22"/>
        </w:rPr>
        <w:t xml:space="preserve"> prováděné v poslední žádosti o platbu Projektu. O vypořádání bude příjemce vždy informován, případně bude vyzván k vrácení části neoprávněně vyplacené dotace.</w:t>
      </w:r>
      <w:bookmarkEnd w:id="35"/>
    </w:p>
    <w:p w14:paraId="041B6499" w14:textId="77777777" w:rsidR="00BD7E9F" w:rsidRPr="00B27F4F" w:rsidRDefault="00471E1A" w:rsidP="00BD7E9F">
      <w:pPr>
        <w:pStyle w:val="Odstavecseseznamem"/>
        <w:numPr>
          <w:ilvl w:val="2"/>
          <w:numId w:val="4"/>
        </w:numPr>
        <w:spacing w:before="120" w:after="120"/>
        <w:contextualSpacing w:val="0"/>
        <w:jc w:val="both"/>
      </w:pPr>
      <w:r>
        <w:rPr>
          <w:rFonts w:asciiTheme="minorHAnsi" w:hAnsiTheme="minorHAnsi"/>
          <w:szCs w:val="22"/>
        </w:rPr>
        <w:t xml:space="preserve">Porušení povinnosti dle čl. 6.13.10 věty druhé, resp. nerespektování výzvy poskytovatele dotace bude </w:t>
      </w:r>
      <w:r w:rsidRPr="00044011">
        <w:rPr>
          <w:rFonts w:asciiTheme="minorHAnsi" w:hAnsiTheme="minorHAnsi"/>
          <w:szCs w:val="22"/>
        </w:rPr>
        <w:t>postiženo</w:t>
      </w:r>
      <w:r>
        <w:rPr>
          <w:rFonts w:asciiTheme="minorHAnsi" w:hAnsiTheme="minorHAnsi"/>
          <w:szCs w:val="22"/>
        </w:rPr>
        <w:t xml:space="preserve"> sníženým</w:t>
      </w:r>
      <w:r w:rsidRPr="00044011">
        <w:rPr>
          <w:rFonts w:asciiTheme="minorHAnsi" w:hAnsiTheme="minorHAnsi"/>
          <w:szCs w:val="22"/>
        </w:rPr>
        <w:t xml:space="preserve"> odvodem za porušení roz</w:t>
      </w:r>
      <w:r>
        <w:rPr>
          <w:rFonts w:asciiTheme="minorHAnsi" w:hAnsiTheme="minorHAnsi"/>
          <w:szCs w:val="22"/>
        </w:rPr>
        <w:t>počtové kázně dle ust. § 14 odst. 5 rozpočtových pravidel ve výši odpovídající částce, ve které nebyla neoprávněně vyplacená dotace na základě výzvy poskytovatele dotace vrácena.</w:t>
      </w:r>
    </w:p>
    <w:p w14:paraId="29EEEBC5" w14:textId="77777777" w:rsidR="00BD7E9F" w:rsidRPr="00B27F4F" w:rsidRDefault="00471E1A" w:rsidP="00BD7E9F">
      <w:pPr>
        <w:pStyle w:val="Odstavecseseznamem"/>
        <w:numPr>
          <w:ilvl w:val="2"/>
          <w:numId w:val="4"/>
        </w:numPr>
        <w:spacing w:before="120" w:after="120"/>
        <w:contextualSpacing w:val="0"/>
        <w:jc w:val="both"/>
      </w:pPr>
      <w:r>
        <w:rPr>
          <w:rFonts w:asciiTheme="minorHAnsi" w:hAnsiTheme="minorHAnsi"/>
          <w:szCs w:val="22"/>
        </w:rPr>
        <w:t>Příjemce je povinen dodržet v rámci realizace Projektu podmínky kódu intervence 063 dle Pravidel pro žadatele a příjemce z OP PIK – zvláštní část, podmínky účinné spolupráce, podíl způsobilých výdajů kategorie průmyslového výzkumu na celkových způsobilých výdajích a ostatní limity schváleného rozpočtu Projektu, který tvoří přílohu tohoto Rozhodnutí. Porušení těchto povinností bude mít za následek nezpůsobilost dotčených výdajů.</w:t>
      </w:r>
    </w:p>
    <w:p w14:paraId="4DD7A228" w14:textId="77777777" w:rsidR="00BD7E9F" w:rsidRPr="00B27F4F" w:rsidRDefault="00471E1A" w:rsidP="00BD7E9F">
      <w:pPr>
        <w:pStyle w:val="Odstavecseseznamem"/>
        <w:numPr>
          <w:ilvl w:val="2"/>
          <w:numId w:val="4"/>
        </w:numPr>
        <w:spacing w:before="120" w:after="120"/>
        <w:contextualSpacing w:val="0"/>
        <w:jc w:val="both"/>
      </w:pPr>
      <w:bookmarkStart w:id="36" w:name="_Ref39651993"/>
      <w:r>
        <w:rPr>
          <w:rFonts w:asciiTheme="minorHAnsi" w:hAnsiTheme="minorHAnsi"/>
          <w:szCs w:val="22"/>
        </w:rPr>
        <w:t>Příjemce je povinen převést příslušnou část vyplacené dotace na bankovní účty partnerů, a to nejpozději do 14 dnů od přijetí dotace na svůj účet.</w:t>
      </w:r>
      <w:bookmarkEnd w:id="36"/>
    </w:p>
    <w:p w14:paraId="6474BE35" w14:textId="77777777" w:rsidR="00BD7E9F" w:rsidRPr="00661785" w:rsidRDefault="00471E1A" w:rsidP="00BD7E9F">
      <w:pPr>
        <w:pStyle w:val="Odstavecseseznamem"/>
        <w:numPr>
          <w:ilvl w:val="2"/>
          <w:numId w:val="4"/>
        </w:numPr>
        <w:spacing w:before="120" w:after="120"/>
        <w:contextualSpacing w:val="0"/>
        <w:jc w:val="both"/>
      </w:pPr>
      <w:r>
        <w:rPr>
          <w:rFonts w:asciiTheme="minorHAnsi" w:hAnsiTheme="minorHAnsi"/>
          <w:szCs w:val="22"/>
        </w:rPr>
        <w:t>Porušení povinnosti dle čl. 6.13.</w:t>
      </w:r>
      <w:r w:rsidR="000E48BB">
        <w:rPr>
          <w:rFonts w:asciiTheme="minorHAnsi" w:hAnsiTheme="minorHAnsi"/>
          <w:szCs w:val="22"/>
        </w:rPr>
        <w:t>1</w:t>
      </w:r>
      <w:r>
        <w:rPr>
          <w:rFonts w:asciiTheme="minorHAnsi" w:hAnsiTheme="minorHAnsi"/>
          <w:szCs w:val="22"/>
        </w:rPr>
        <w:t xml:space="preserve">3 bude postiženo sníženým </w:t>
      </w:r>
      <w:r w:rsidRPr="00044011">
        <w:rPr>
          <w:rFonts w:asciiTheme="minorHAnsi" w:hAnsiTheme="minorHAnsi"/>
          <w:szCs w:val="22"/>
        </w:rPr>
        <w:t>odvodem za porušení roz</w:t>
      </w:r>
      <w:r>
        <w:rPr>
          <w:rFonts w:asciiTheme="minorHAnsi" w:hAnsiTheme="minorHAnsi"/>
          <w:szCs w:val="22"/>
        </w:rPr>
        <w:t>počtové kázně dle ust. § 14 odst. 5 rozpočtových pravidel ve výši odpovídající částce, ve které byla porušena povinnost dle čl. 6.13.</w:t>
      </w:r>
      <w:r w:rsidR="000E48BB">
        <w:rPr>
          <w:rFonts w:asciiTheme="minorHAnsi" w:hAnsiTheme="minorHAnsi"/>
          <w:szCs w:val="22"/>
        </w:rPr>
        <w:t>1</w:t>
      </w:r>
      <w:r>
        <w:rPr>
          <w:rFonts w:asciiTheme="minorHAnsi" w:hAnsiTheme="minorHAnsi"/>
          <w:szCs w:val="22"/>
        </w:rPr>
        <w:t>3.</w:t>
      </w:r>
    </w:p>
    <w:p w14:paraId="6DB1E3BF" w14:textId="77777777" w:rsidR="00BD7E9F" w:rsidRPr="00134C6A" w:rsidRDefault="00471E1A" w:rsidP="00BD7E9F">
      <w:pPr>
        <w:pStyle w:val="Odstavecseseznamem"/>
        <w:numPr>
          <w:ilvl w:val="2"/>
          <w:numId w:val="4"/>
        </w:numPr>
        <w:spacing w:before="120" w:after="120"/>
        <w:contextualSpacing w:val="0"/>
        <w:jc w:val="both"/>
      </w:pPr>
      <w:r>
        <w:rPr>
          <w:rFonts w:asciiTheme="minorHAnsi" w:hAnsiTheme="minorHAnsi"/>
          <w:szCs w:val="22"/>
        </w:rPr>
        <w:t>Příjemce je povinen k prvnímu podání závěrečné žádosti o platbu předložit Závěrečnou zprávu o realizaci výsledků výzkumu a vývoje. Vzor zprávy je přílohou Pravidel pro žadatele a příjemce dotace z OPPIK – zvláštní část.</w:t>
      </w:r>
    </w:p>
    <w:p w14:paraId="5C7B1730" w14:textId="77777777" w:rsidR="00BD7E9F" w:rsidRPr="00134C6A" w:rsidRDefault="00471E1A" w:rsidP="00BD7E9F">
      <w:pPr>
        <w:pStyle w:val="Odstavecseseznamem"/>
        <w:numPr>
          <w:ilvl w:val="2"/>
          <w:numId w:val="4"/>
        </w:numPr>
        <w:spacing w:before="120" w:after="120"/>
        <w:contextualSpacing w:val="0"/>
        <w:jc w:val="both"/>
      </w:pPr>
      <w:bookmarkStart w:id="37" w:name="_Ref40081725"/>
      <w:r>
        <w:rPr>
          <w:rFonts w:asciiTheme="minorHAnsi" w:hAnsiTheme="minorHAnsi"/>
          <w:szCs w:val="22"/>
        </w:rPr>
        <w:t>Příjemce je povinen zajistit, aby podpořená činnost zcela spadala do kategorie průmyslového výzkumu a/nebo experimentálního vývoje dle čl. 25 Nařízení GBER.</w:t>
      </w:r>
      <w:bookmarkEnd w:id="37"/>
      <w:r>
        <w:rPr>
          <w:rFonts w:asciiTheme="minorHAnsi" w:hAnsiTheme="minorHAnsi"/>
          <w:szCs w:val="22"/>
        </w:rPr>
        <w:t xml:space="preserve"> </w:t>
      </w:r>
    </w:p>
    <w:p w14:paraId="79356F91" w14:textId="77777777" w:rsidR="00BD7E9F" w:rsidRPr="003B4627" w:rsidRDefault="00471E1A" w:rsidP="00BD7E9F">
      <w:pPr>
        <w:pStyle w:val="Odstavecseseznamem"/>
        <w:numPr>
          <w:ilvl w:val="2"/>
          <w:numId w:val="4"/>
        </w:numPr>
        <w:spacing w:before="120" w:after="120"/>
        <w:contextualSpacing w:val="0"/>
        <w:jc w:val="both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 xml:space="preserve">Porušení povinností dle čl. 6.13.16 bude mít za následek nevyplacení 100 % poskytnuté dotace. </w:t>
      </w:r>
    </w:p>
    <w:p w14:paraId="1205F36E" w14:textId="77777777" w:rsidR="003B4627" w:rsidRDefault="00471E1A" w:rsidP="00BD7E9F">
      <w:pPr>
        <w:pStyle w:val="Odstavecseseznamem"/>
        <w:numPr>
          <w:ilvl w:val="2"/>
          <w:numId w:val="4"/>
        </w:numPr>
        <w:spacing w:before="120" w:after="120"/>
        <w:contextualSpacing w:val="0"/>
        <w:jc w:val="both"/>
        <w:rPr>
          <w:rFonts w:asciiTheme="minorHAnsi" w:hAnsiTheme="minorHAnsi"/>
          <w:szCs w:val="22"/>
        </w:rPr>
      </w:pPr>
      <w:r w:rsidRPr="003B4627">
        <w:rPr>
          <w:rFonts w:asciiTheme="minorHAnsi" w:hAnsiTheme="minorHAnsi"/>
          <w:szCs w:val="22"/>
        </w:rPr>
        <w:t>V případě, že Projekt byl podán a schválen jako fázovaný dle bodu 9.2.19 Výzvy, je příjemce</w:t>
      </w:r>
      <w:r w:rsidRPr="003B4627">
        <w:rPr>
          <w:rFonts w:asciiTheme="minorHAnsi" w:hAnsiTheme="minorHAnsi"/>
          <w:szCs w:val="22"/>
        </w:rPr>
        <w:br/>
        <w:t>povinen realizovat rovněž jeho druhou fázi. Příjemce je povinen realizovat druhou fázi za</w:t>
      </w:r>
      <w:r w:rsidRPr="003B4627">
        <w:rPr>
          <w:rFonts w:asciiTheme="minorHAnsi" w:hAnsiTheme="minorHAnsi"/>
          <w:szCs w:val="22"/>
        </w:rPr>
        <w:br/>
        <w:t>účelem ukončení Projektu jako celku a potvrzení naplnění cílů a výstupů Projektu jako celku</w:t>
      </w:r>
      <w:r w:rsidRPr="003B4627">
        <w:rPr>
          <w:rFonts w:asciiTheme="minorHAnsi" w:hAnsiTheme="minorHAnsi"/>
          <w:szCs w:val="22"/>
        </w:rPr>
        <w:br/>
        <w:t>dle podmínek rozhodnutí o poskytnutí dotace pro druhou část. Porušení této povinnosti bude</w:t>
      </w:r>
      <w:r w:rsidRPr="003B4627">
        <w:rPr>
          <w:rFonts w:asciiTheme="minorHAnsi" w:hAnsiTheme="minorHAnsi"/>
          <w:szCs w:val="22"/>
        </w:rPr>
        <w:br/>
        <w:t xml:space="preserve">postiženo odvodem za porušení rozpočtové kázně </w:t>
      </w:r>
      <w:r w:rsidR="009C2DA5">
        <w:rPr>
          <w:rFonts w:asciiTheme="minorHAnsi" w:hAnsiTheme="minorHAnsi"/>
          <w:szCs w:val="22"/>
        </w:rPr>
        <w:t>ve výši</w:t>
      </w:r>
      <w:r w:rsidRPr="003B4627">
        <w:rPr>
          <w:rFonts w:asciiTheme="minorHAnsi" w:hAnsiTheme="minorHAnsi"/>
          <w:szCs w:val="22"/>
        </w:rPr>
        <w:t xml:space="preserve"> 100 % poskytnuté dotace.</w:t>
      </w:r>
    </w:p>
    <w:p w14:paraId="09589037" w14:textId="77777777" w:rsidR="00B170F3" w:rsidRPr="003B4627" w:rsidRDefault="00B170F3" w:rsidP="00B170F3">
      <w:pPr>
        <w:pStyle w:val="Odstavecseseznamem"/>
        <w:spacing w:before="120" w:after="120"/>
        <w:ind w:left="794"/>
        <w:contextualSpacing w:val="0"/>
        <w:jc w:val="both"/>
        <w:rPr>
          <w:rFonts w:asciiTheme="minorHAnsi" w:hAnsiTheme="minorHAnsi"/>
          <w:szCs w:val="22"/>
        </w:rPr>
      </w:pPr>
    </w:p>
    <w:p w14:paraId="25A14BE0" w14:textId="77777777" w:rsidR="008205E8" w:rsidRDefault="00471E1A" w:rsidP="00D87A31">
      <w:pPr>
        <w:pStyle w:val="Nadpis3"/>
        <w:numPr>
          <w:ilvl w:val="0"/>
          <w:numId w:val="3"/>
        </w:numPr>
        <w:rPr>
          <w:i w:val="0"/>
        </w:rPr>
      </w:pPr>
      <w:r>
        <w:rPr>
          <w:i w:val="0"/>
        </w:rPr>
        <w:t>– OSTATNÍ USTANOVENÍ</w:t>
      </w:r>
    </w:p>
    <w:p w14:paraId="37E88533" w14:textId="77777777" w:rsidR="00DB47EC" w:rsidRPr="008205E8" w:rsidRDefault="00471E1A" w:rsidP="00D87A31">
      <w:pPr>
        <w:pStyle w:val="Odstavecseseznamem"/>
        <w:numPr>
          <w:ilvl w:val="0"/>
          <w:numId w:val="4"/>
        </w:numPr>
        <w:spacing w:before="240" w:after="240"/>
        <w:ind w:left="357" w:hanging="357"/>
        <w:contextualSpacing w:val="0"/>
        <w:jc w:val="center"/>
        <w:rPr>
          <w:b/>
          <w:sz w:val="24"/>
        </w:rPr>
      </w:pPr>
      <w:r w:rsidRPr="008205E8">
        <w:rPr>
          <w:b/>
          <w:sz w:val="24"/>
        </w:rPr>
        <w:t>Článek</w:t>
      </w:r>
      <w:r w:rsidRPr="008205E8">
        <w:rPr>
          <w:b/>
          <w:sz w:val="24"/>
        </w:rPr>
        <w:br/>
        <w:t>Veřejná podpora</w:t>
      </w:r>
    </w:p>
    <w:p w14:paraId="6E4AD189" w14:textId="77777777" w:rsidR="008205E8" w:rsidRPr="007D3538" w:rsidRDefault="00471E1A" w:rsidP="00C61F0A">
      <w:pPr>
        <w:pStyle w:val="Odstavecseseznamem"/>
        <w:numPr>
          <w:ilvl w:val="1"/>
          <w:numId w:val="4"/>
        </w:numPr>
        <w:spacing w:before="120" w:after="120"/>
        <w:contextualSpacing w:val="0"/>
        <w:jc w:val="both"/>
      </w:pPr>
      <w:bookmarkStart w:id="38" w:name="_Ref40008754"/>
      <w:r w:rsidRPr="007D3538">
        <w:t>Dotace je poskytnuta v souladu s nařízením GBER.</w:t>
      </w:r>
      <w:r w:rsidR="007D3538" w:rsidRPr="007D3538">
        <w:t xml:space="preserve"> </w:t>
      </w:r>
      <w:r w:rsidRPr="007D3538">
        <w:t>Dot</w:t>
      </w:r>
      <w:r w:rsidR="00C61F0A" w:rsidRPr="007D3538">
        <w:t>ace je poskytnuta v souladu s Rámcem pro s</w:t>
      </w:r>
      <w:r w:rsidR="00A1055D" w:rsidRPr="007D3538">
        <w:t>tátní podporu výzkumu, vývoje a </w:t>
      </w:r>
      <w:r w:rsidR="00C61F0A" w:rsidRPr="007D3538">
        <w:t>inovací 2014/C 198/1.</w:t>
      </w:r>
      <w:bookmarkEnd w:id="38"/>
    </w:p>
    <w:p w14:paraId="47557712" w14:textId="77777777" w:rsidR="008205E8" w:rsidRDefault="00471E1A" w:rsidP="00C61F0A">
      <w:pPr>
        <w:pStyle w:val="Odstavecseseznamem"/>
        <w:numPr>
          <w:ilvl w:val="1"/>
          <w:numId w:val="4"/>
        </w:numPr>
        <w:spacing w:before="120" w:after="120"/>
        <w:contextualSpacing w:val="0"/>
        <w:jc w:val="both"/>
      </w:pPr>
      <w:r>
        <w:t>Příjemce je vždy povinen vrátit bez zbytečného odkladu příslušnou část vyplacené dotace, pokud tato byla vyplacena v rozporu s pravidly veřejné podpory podle předchozího článku a je tudíž shledána jako protiprávní. O navrácení rozhodne poskytovatel buď na základě rozhodnutí Evropské Komise o protiprávní veřejné podpoře, z vlastního podnětu nebo z podnětu kontrolních a auditních orgánů, a to bez ohledu na to, zda došlo k zavinění ze strany příjemce nebo poskytovatele dotace. Pokud poskytovatel rozhodne o navrácení podpory a nedošlo-li k vyplacení celé částky poskytnuté dotace, nebude dosud nevyplacená část dotace příjemci vyplacena. Navrácením se rozumí navrácení relevantní č</w:t>
      </w:r>
      <w:r w:rsidR="00A1055D">
        <w:t>ástky poskytovateli dotace nebo </w:t>
      </w:r>
      <w:r>
        <w:t>jinému subjektu, který je zprostředkovatelem pr</w:t>
      </w:r>
      <w:r w:rsidR="00A1055D">
        <w:t>o tzv. konečné příjemce, anebo </w:t>
      </w:r>
      <w:r>
        <w:t>uhrazením částky představující kompenzaci za vzniklou výhodu u příjemce či konečného příjemce tak, aby tato výhoda bydla odstraněna.</w:t>
      </w:r>
    </w:p>
    <w:p w14:paraId="34C5C295" w14:textId="77777777" w:rsidR="008205E8" w:rsidRDefault="00471E1A" w:rsidP="00C61F0A">
      <w:pPr>
        <w:pStyle w:val="Odstavecseseznamem"/>
        <w:numPr>
          <w:ilvl w:val="1"/>
          <w:numId w:val="4"/>
        </w:numPr>
        <w:spacing w:before="120" w:after="120"/>
        <w:contextualSpacing w:val="0"/>
        <w:jc w:val="both"/>
      </w:pPr>
      <w:r w:rsidRPr="00DB6EC0">
        <w:t xml:space="preserve">Příjemce je povinen po celou dobu realizace a udržitelnosti Projektu dodržovat </w:t>
      </w:r>
      <w:r w:rsidR="00755846" w:rsidRPr="00DB6EC0">
        <w:t xml:space="preserve">pro něj relevantní a závazná ustanovení předpisů uvedených v čl. </w:t>
      </w:r>
      <w:r w:rsidR="00937AF7">
        <w:t>7.1</w:t>
      </w:r>
      <w:r w:rsidR="00755846" w:rsidRPr="00DB6EC0">
        <w:t>.</w:t>
      </w:r>
    </w:p>
    <w:p w14:paraId="21C6AE30" w14:textId="77777777" w:rsidR="003B4627" w:rsidRPr="00DB6EC0" w:rsidRDefault="00471E1A" w:rsidP="00C61F0A">
      <w:pPr>
        <w:pStyle w:val="Odstavecseseznamem"/>
        <w:numPr>
          <w:ilvl w:val="1"/>
          <w:numId w:val="4"/>
        </w:numPr>
        <w:spacing w:before="120" w:after="120"/>
        <w:contextualSpacing w:val="0"/>
        <w:jc w:val="both"/>
      </w:pPr>
      <w:r w:rsidRPr="003B4627">
        <w:t>V případě, že Projekt byl podán a schválen jako fázovaný (srov. bod 9.2 odst. 19 Výzvy) nesmí</w:t>
      </w:r>
      <w:r w:rsidRPr="003B4627">
        <w:br/>
        <w:t>příjemce v rámci realizace první fáze uzavřít smlouvy nebo jakkoliv se jinak zavázat ve smyslu</w:t>
      </w:r>
      <w:r w:rsidRPr="003B4627">
        <w:br/>
        <w:t>zahájení prací (srov. poznámka pod čarou č. 24 Výzvy) pro druhou fázi, a to až do té doby, než</w:t>
      </w:r>
      <w:r w:rsidRPr="003B4627">
        <w:br/>
        <w:t>bude zaregistrována žádost o podporu pro tuto druhou fázi. Porušení této povinnosti bude mít</w:t>
      </w:r>
      <w:r w:rsidRPr="003B4627">
        <w:br/>
        <w:t>za následek neposkytnutí dotace na druhou fázi projektu, případně nevyplacení 100 % dotace</w:t>
      </w:r>
      <w:r w:rsidRPr="003B4627">
        <w:br/>
        <w:t>poskytnuté pro druhou fázi.</w:t>
      </w:r>
    </w:p>
    <w:p w14:paraId="5E153C08" w14:textId="77777777" w:rsidR="008205E8" w:rsidRDefault="008205E8" w:rsidP="008205E8">
      <w:pPr>
        <w:spacing w:before="120" w:after="120"/>
      </w:pPr>
    </w:p>
    <w:p w14:paraId="6FACDB84" w14:textId="77777777" w:rsidR="00DB47EC" w:rsidRPr="008205E8" w:rsidRDefault="00471E1A" w:rsidP="00D87A31">
      <w:pPr>
        <w:pStyle w:val="Odstavecseseznamem"/>
        <w:numPr>
          <w:ilvl w:val="0"/>
          <w:numId w:val="4"/>
        </w:numPr>
        <w:spacing w:before="240" w:after="240"/>
        <w:ind w:left="357" w:hanging="357"/>
        <w:contextualSpacing w:val="0"/>
        <w:jc w:val="center"/>
        <w:rPr>
          <w:b/>
          <w:sz w:val="24"/>
        </w:rPr>
      </w:pPr>
      <w:r w:rsidRPr="008205E8">
        <w:rPr>
          <w:b/>
          <w:sz w:val="24"/>
        </w:rPr>
        <w:t>Článek</w:t>
      </w:r>
      <w:r w:rsidRPr="008205E8">
        <w:rPr>
          <w:b/>
          <w:sz w:val="24"/>
        </w:rPr>
        <w:br/>
        <w:t>Další ustanovení</w:t>
      </w:r>
    </w:p>
    <w:p w14:paraId="556E4446" w14:textId="77777777" w:rsidR="008205E8" w:rsidRDefault="00471E1A" w:rsidP="00D87A31">
      <w:pPr>
        <w:pStyle w:val="Odstavecseseznamem"/>
        <w:numPr>
          <w:ilvl w:val="1"/>
          <w:numId w:val="4"/>
        </w:numPr>
        <w:spacing w:before="120" w:after="120"/>
        <w:contextualSpacing w:val="0"/>
      </w:pPr>
      <w:r>
        <w:rPr>
          <w:b/>
        </w:rPr>
        <w:t>Pozastavení proplácení dotace</w:t>
      </w:r>
    </w:p>
    <w:p w14:paraId="023E0BDF" w14:textId="77777777" w:rsidR="008205E8" w:rsidRDefault="00471E1A" w:rsidP="00A1055D">
      <w:pPr>
        <w:pStyle w:val="Odstavecseseznamem"/>
        <w:numPr>
          <w:ilvl w:val="2"/>
          <w:numId w:val="4"/>
        </w:numPr>
        <w:spacing w:before="120" w:after="120"/>
        <w:contextualSpacing w:val="0"/>
        <w:jc w:val="both"/>
      </w:pPr>
      <w:r>
        <w:t>Poskytovatel dotace pozastaví proplácení dotace, pokud bude u příjemce zjištěno zahájení insolvenčního řízení a to až do doby, kdy bude toto insolvenční řízení pravomocně skončeno, aniž by byl prohlášen konkurs na jeho majetek. Poskytovatel dotace může ve výjimečném případě situaci posoudit jako tzv. šikanózní insolvenční návrh a pokračovat v proplácení dříve, než bude insolvenční řízení pravomocně skončeno.</w:t>
      </w:r>
    </w:p>
    <w:p w14:paraId="215A26B5" w14:textId="77777777" w:rsidR="008205E8" w:rsidRPr="008205E8" w:rsidRDefault="00471E1A" w:rsidP="00A1055D">
      <w:pPr>
        <w:pStyle w:val="Odstavecseseznamem"/>
        <w:numPr>
          <w:ilvl w:val="2"/>
          <w:numId w:val="4"/>
        </w:numPr>
        <w:spacing w:before="120" w:after="120"/>
        <w:contextualSpacing w:val="0"/>
        <w:jc w:val="both"/>
      </w:pPr>
      <w:r>
        <w:t xml:space="preserve">Poskytovatel dotace pozastaví proplácení dotace, pokud příjemce nebude při </w:t>
      </w:r>
      <w:r w:rsidRPr="00743941">
        <w:rPr>
          <w:rFonts w:asciiTheme="minorHAnsi" w:hAnsiTheme="minorHAnsi"/>
          <w:szCs w:val="22"/>
        </w:rPr>
        <w:t xml:space="preserve">podání žádosti o platbu postupovat dle pokynů </w:t>
      </w:r>
      <w:r>
        <w:rPr>
          <w:rFonts w:asciiTheme="minorHAnsi" w:hAnsiTheme="minorHAnsi"/>
          <w:szCs w:val="22"/>
        </w:rPr>
        <w:t>zprostředkujícího subjektu/poskytovatele dotace</w:t>
      </w:r>
      <w:r w:rsidRPr="00743941">
        <w:rPr>
          <w:rFonts w:asciiTheme="minorHAnsi" w:hAnsiTheme="minorHAnsi"/>
          <w:szCs w:val="22"/>
        </w:rPr>
        <w:t xml:space="preserve"> a dle jeho pokynů případně žádost o pla</w:t>
      </w:r>
      <w:r w:rsidR="005638CF">
        <w:rPr>
          <w:rFonts w:asciiTheme="minorHAnsi" w:hAnsiTheme="minorHAnsi"/>
          <w:szCs w:val="22"/>
        </w:rPr>
        <w:t>tbu neupraví ve smyslu</w:t>
      </w:r>
      <w:r w:rsidRPr="00743941">
        <w:rPr>
          <w:rFonts w:asciiTheme="minorHAnsi" w:hAnsiTheme="minorHAnsi"/>
          <w:szCs w:val="22"/>
        </w:rPr>
        <w:t xml:space="preserve"> čl. </w:t>
      </w:r>
      <w:r w:rsidR="00937AF7">
        <w:rPr>
          <w:rFonts w:asciiTheme="minorHAnsi" w:hAnsiTheme="minorHAnsi"/>
          <w:szCs w:val="22"/>
        </w:rPr>
        <w:t>6.9.7</w:t>
      </w:r>
      <w:r w:rsidRPr="00743941">
        <w:rPr>
          <w:rFonts w:asciiTheme="minorHAnsi" w:hAnsiTheme="minorHAnsi"/>
          <w:szCs w:val="22"/>
        </w:rPr>
        <w:t>, a to až do doby zjednání nápravy</w:t>
      </w:r>
      <w:r>
        <w:rPr>
          <w:rFonts w:asciiTheme="minorHAnsi" w:hAnsiTheme="minorHAnsi"/>
          <w:szCs w:val="22"/>
        </w:rPr>
        <w:t>.</w:t>
      </w:r>
    </w:p>
    <w:p w14:paraId="1A8BA62E" w14:textId="77777777" w:rsidR="008205E8" w:rsidRPr="008205E8" w:rsidRDefault="00471E1A" w:rsidP="00A1055D">
      <w:pPr>
        <w:pStyle w:val="Odstavecseseznamem"/>
        <w:numPr>
          <w:ilvl w:val="2"/>
          <w:numId w:val="4"/>
        </w:numPr>
        <w:spacing w:before="120" w:after="120"/>
        <w:contextualSpacing w:val="0"/>
        <w:jc w:val="both"/>
      </w:pPr>
      <w:r w:rsidRPr="00743941">
        <w:rPr>
          <w:rFonts w:asciiTheme="minorHAnsi" w:hAnsiTheme="minorHAnsi"/>
          <w:szCs w:val="22"/>
        </w:rPr>
        <w:t>Poskytovatel dotace pozastaví proplácení dotace, pokud příjemce na vyžádání neposkytl doplňující údaje a informace související s poskytnutou dotací a</w:t>
      </w:r>
      <w:r w:rsidR="00A1055D">
        <w:rPr>
          <w:rFonts w:asciiTheme="minorHAnsi" w:hAnsiTheme="minorHAnsi"/>
          <w:szCs w:val="22"/>
        </w:rPr>
        <w:t xml:space="preserve"> realizací Projektu, a to až do </w:t>
      </w:r>
      <w:r w:rsidRPr="00743941">
        <w:rPr>
          <w:rFonts w:asciiTheme="minorHAnsi" w:hAnsiTheme="minorHAnsi"/>
          <w:szCs w:val="22"/>
        </w:rPr>
        <w:t>doby zjednání nápravy</w:t>
      </w:r>
      <w:r>
        <w:rPr>
          <w:rFonts w:asciiTheme="minorHAnsi" w:hAnsiTheme="minorHAnsi"/>
          <w:szCs w:val="22"/>
        </w:rPr>
        <w:t>.</w:t>
      </w:r>
    </w:p>
    <w:p w14:paraId="7A72F492" w14:textId="77777777" w:rsidR="008205E8" w:rsidRPr="008205E8" w:rsidRDefault="00471E1A" w:rsidP="00A1055D">
      <w:pPr>
        <w:pStyle w:val="Odstavecseseznamem"/>
        <w:numPr>
          <w:ilvl w:val="2"/>
          <w:numId w:val="4"/>
        </w:numPr>
        <w:spacing w:before="120" w:after="120"/>
        <w:contextualSpacing w:val="0"/>
        <w:jc w:val="both"/>
      </w:pPr>
      <w:r w:rsidRPr="00743941">
        <w:rPr>
          <w:rFonts w:asciiTheme="minorHAnsi" w:hAnsiTheme="minorHAnsi"/>
          <w:szCs w:val="22"/>
        </w:rPr>
        <w:t>Poskytovatel dotace pozastaví proplácení dotace, pokud příjemce neumožnil v plném rozsahu poskytovateli dotace nebo jiným kontrolním orgánům provedení kontroly realizace Projektu v souladu se zákonem č. 320/2001 Sb., o finanční kontrole ve veřejné sprá</w:t>
      </w:r>
      <w:r w:rsidR="00A1055D">
        <w:rPr>
          <w:rFonts w:asciiTheme="minorHAnsi" w:hAnsiTheme="minorHAnsi"/>
          <w:szCs w:val="22"/>
        </w:rPr>
        <w:t>vě a </w:t>
      </w:r>
      <w:r>
        <w:rPr>
          <w:rFonts w:asciiTheme="minorHAnsi" w:hAnsiTheme="minorHAnsi"/>
          <w:szCs w:val="22"/>
        </w:rPr>
        <w:t>zákonem č. 255/2012 Sb., o </w:t>
      </w:r>
      <w:r w:rsidRPr="00743941">
        <w:rPr>
          <w:rFonts w:asciiTheme="minorHAnsi" w:hAnsiTheme="minorHAnsi"/>
          <w:szCs w:val="22"/>
        </w:rPr>
        <w:t>kontrole (kontrolní řád), a to až do doby zjednání nápravy. Poskytovatel dotace rovněž pozastaví proplácení dotace, pokud příjemce poskytovateli dotace nebo jiným kontrolním orgánům neposkytl potřebné informace a doklady související s realizací Projektu, neum</w:t>
      </w:r>
      <w:r>
        <w:rPr>
          <w:rFonts w:asciiTheme="minorHAnsi" w:hAnsiTheme="minorHAnsi"/>
          <w:szCs w:val="22"/>
        </w:rPr>
        <w:t>ožnil jim vstup do objektů a na </w:t>
      </w:r>
      <w:r w:rsidRPr="00743941">
        <w:rPr>
          <w:rFonts w:asciiTheme="minorHAnsi" w:hAnsiTheme="minorHAnsi"/>
          <w:szCs w:val="22"/>
        </w:rPr>
        <w:t>pozemky související s realizací Projektu, a to až doby zjednání nápravy</w:t>
      </w:r>
      <w:r>
        <w:rPr>
          <w:rFonts w:asciiTheme="minorHAnsi" w:hAnsiTheme="minorHAnsi"/>
          <w:szCs w:val="22"/>
        </w:rPr>
        <w:t>.</w:t>
      </w:r>
    </w:p>
    <w:p w14:paraId="271D7848" w14:textId="77777777" w:rsidR="008205E8" w:rsidRPr="008205E8" w:rsidRDefault="00471E1A" w:rsidP="00A1055D">
      <w:pPr>
        <w:pStyle w:val="Odstavecseseznamem"/>
        <w:numPr>
          <w:ilvl w:val="2"/>
          <w:numId w:val="4"/>
        </w:numPr>
        <w:spacing w:before="120" w:after="120"/>
        <w:contextualSpacing w:val="0"/>
        <w:jc w:val="both"/>
      </w:pPr>
      <w:r>
        <w:rPr>
          <w:rFonts w:asciiTheme="minorHAnsi" w:hAnsiTheme="minorHAnsi"/>
          <w:szCs w:val="22"/>
        </w:rPr>
        <w:t>Poskytovatel dotace pozastaví proplácení dotace, pokud u příjemce dojde k zahájení trestního stíhání souvisejícího s poskytnutou dotací, a to až do doby jeho pravomocného skončení.</w:t>
      </w:r>
    </w:p>
    <w:p w14:paraId="309C23B8" w14:textId="77777777" w:rsidR="008205E8" w:rsidRDefault="008205E8" w:rsidP="008205E8">
      <w:pPr>
        <w:spacing w:before="120" w:after="120"/>
      </w:pPr>
    </w:p>
    <w:p w14:paraId="71132135" w14:textId="77777777" w:rsidR="008205E8" w:rsidRPr="00DC0B0B" w:rsidRDefault="00471E1A" w:rsidP="00D87A31">
      <w:pPr>
        <w:pStyle w:val="Nadpis4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–</w:t>
      </w:r>
      <w:r w:rsidRPr="00DC0B0B">
        <w:rPr>
          <w:sz w:val="24"/>
          <w:szCs w:val="24"/>
        </w:rPr>
        <w:t xml:space="preserve"> ZÁVĚREČNÁ</w:t>
      </w:r>
      <w:r>
        <w:rPr>
          <w:sz w:val="24"/>
          <w:szCs w:val="24"/>
        </w:rPr>
        <w:t xml:space="preserve"> </w:t>
      </w:r>
      <w:r w:rsidRPr="00DC0B0B">
        <w:rPr>
          <w:sz w:val="24"/>
          <w:szCs w:val="24"/>
        </w:rPr>
        <w:t>ČÁST</w:t>
      </w:r>
    </w:p>
    <w:p w14:paraId="05EDE685" w14:textId="77777777" w:rsidR="008205E8" w:rsidRDefault="008205E8" w:rsidP="008205E8">
      <w:pPr>
        <w:spacing w:before="120" w:after="120"/>
      </w:pPr>
    </w:p>
    <w:p w14:paraId="12B11DF6" w14:textId="77777777" w:rsidR="00DB47EC" w:rsidRPr="008205E8" w:rsidRDefault="00471E1A" w:rsidP="00A1055D">
      <w:pPr>
        <w:pStyle w:val="Odstavecseseznamem"/>
        <w:numPr>
          <w:ilvl w:val="0"/>
          <w:numId w:val="4"/>
        </w:numPr>
        <w:spacing w:before="240" w:after="240"/>
        <w:ind w:left="357" w:hanging="357"/>
        <w:contextualSpacing w:val="0"/>
        <w:jc w:val="center"/>
        <w:rPr>
          <w:b/>
          <w:sz w:val="24"/>
        </w:rPr>
      </w:pPr>
      <w:r w:rsidRPr="008205E8">
        <w:rPr>
          <w:b/>
          <w:sz w:val="24"/>
        </w:rPr>
        <w:t>Článek</w:t>
      </w:r>
      <w:r w:rsidRPr="008205E8">
        <w:rPr>
          <w:b/>
          <w:sz w:val="24"/>
        </w:rPr>
        <w:br/>
        <w:t>Seznam příloh k Rozhodnutí</w:t>
      </w:r>
    </w:p>
    <w:p w14:paraId="2FD72F33" w14:textId="77777777" w:rsidR="003B4627" w:rsidRPr="003B4627" w:rsidRDefault="00471E1A" w:rsidP="003B4627">
      <w:pPr>
        <w:spacing w:before="120" w:after="120"/>
        <w:jc w:val="both"/>
        <w:rPr>
          <w:rFonts w:cs="Calibri"/>
          <w:color w:val="212121"/>
          <w:szCs w:val="22"/>
          <w:shd w:val="clear" w:color="auto" w:fill="FFFFFF"/>
        </w:rPr>
      </w:pPr>
      <w:r w:rsidRPr="003B4627">
        <w:rPr>
          <w:rFonts w:cs="Calibri"/>
          <w:color w:val="212121"/>
          <w:szCs w:val="22"/>
          <w:shd w:val="clear" w:color="auto" w:fill="FFFFFF"/>
        </w:rPr>
        <w:t>9.1.    Pravidla způsobilosti a publicity – obecná část (</w:t>
      </w:r>
      <w:r w:rsidR="00C22FEA">
        <w:rPr>
          <w:rFonts w:cs="Calibri"/>
          <w:color w:val="212121"/>
          <w:szCs w:val="22"/>
          <w:shd w:val="clear" w:color="auto" w:fill="FFFFFF"/>
        </w:rPr>
        <w:t>č.j. MPO 262118/21/61160/61100, platnost od 11.3.2021</w:t>
      </w:r>
      <w:r w:rsidRPr="003B4627">
        <w:rPr>
          <w:rFonts w:cs="Calibri"/>
          <w:color w:val="212121"/>
          <w:szCs w:val="22"/>
          <w:shd w:val="clear" w:color="auto" w:fill="FFFFFF"/>
        </w:rPr>
        <w:t>)</w:t>
      </w:r>
    </w:p>
    <w:p w14:paraId="6D3A8048" w14:textId="77777777" w:rsidR="003B4627" w:rsidRPr="003B4627" w:rsidRDefault="00471E1A" w:rsidP="003B4627">
      <w:pPr>
        <w:spacing w:before="120" w:after="120"/>
        <w:jc w:val="both"/>
        <w:rPr>
          <w:rFonts w:cs="Calibri"/>
          <w:color w:val="212121"/>
          <w:szCs w:val="22"/>
          <w:shd w:val="clear" w:color="auto" w:fill="FFFFFF"/>
        </w:rPr>
      </w:pPr>
      <w:r w:rsidRPr="003B4627">
        <w:rPr>
          <w:rFonts w:cs="Calibri"/>
          <w:color w:val="212121"/>
          <w:szCs w:val="22"/>
          <w:shd w:val="clear" w:color="auto" w:fill="FFFFFF"/>
        </w:rPr>
        <w:t>9.2.    Pravidla pro výběr dodavatelů (účinné v den zahájení výběrového řízení či objednávky zboží, služeb nebo stavebních prací, pokud výběrové řízení nebylo zahájeno)</w:t>
      </w:r>
    </w:p>
    <w:p w14:paraId="7858324E" w14:textId="77777777" w:rsidR="003B4627" w:rsidRPr="003B4627" w:rsidRDefault="00471E1A" w:rsidP="003B4627">
      <w:pPr>
        <w:spacing w:before="120" w:after="120"/>
        <w:jc w:val="both"/>
        <w:rPr>
          <w:rFonts w:cs="Calibri"/>
          <w:color w:val="212121"/>
          <w:szCs w:val="22"/>
          <w:shd w:val="clear" w:color="auto" w:fill="FFFFFF"/>
        </w:rPr>
      </w:pPr>
      <w:r w:rsidRPr="003B4627">
        <w:rPr>
          <w:rFonts w:cs="Calibri"/>
          <w:color w:val="212121"/>
          <w:szCs w:val="22"/>
          <w:shd w:val="clear" w:color="auto" w:fill="FFFFFF"/>
        </w:rPr>
        <w:t>9.3.    Kategorizace nedostatků při zadávání zakázek se stanovením výše odvodu za porušení rozpočtové kázně (platná v den zahájení výběrového řízení či objednávky zboží, služeb nebo stavebních prací, pokud výběrové řízení nebylo zahájeno)</w:t>
      </w:r>
    </w:p>
    <w:p w14:paraId="6A8EC6C1" w14:textId="77777777" w:rsidR="003B4627" w:rsidRPr="003B4627" w:rsidRDefault="00471E1A" w:rsidP="003B4627">
      <w:pPr>
        <w:spacing w:before="120" w:after="120"/>
        <w:jc w:val="both"/>
        <w:rPr>
          <w:rFonts w:cs="Calibri"/>
          <w:color w:val="212121"/>
          <w:szCs w:val="22"/>
          <w:shd w:val="clear" w:color="auto" w:fill="FFFFFF"/>
        </w:rPr>
      </w:pPr>
      <w:r w:rsidRPr="003B4627">
        <w:rPr>
          <w:rFonts w:cs="Calibri"/>
          <w:color w:val="212121"/>
          <w:szCs w:val="22"/>
          <w:shd w:val="clear" w:color="auto" w:fill="FFFFFF"/>
        </w:rPr>
        <w:t>9.4.    Pravidla pro žadatele a příjemce dotace z OPPIK – obecná část (č.j. MPO 571427/20/61010/61000 ze dne 21. 9. 2020)</w:t>
      </w:r>
    </w:p>
    <w:p w14:paraId="026BD407" w14:textId="77777777" w:rsidR="003B4627" w:rsidRPr="003B4627" w:rsidRDefault="00471E1A" w:rsidP="003B4627">
      <w:pPr>
        <w:spacing w:before="120" w:after="120"/>
        <w:jc w:val="both"/>
        <w:rPr>
          <w:rFonts w:cs="Calibri"/>
          <w:color w:val="212121"/>
          <w:szCs w:val="22"/>
          <w:shd w:val="clear" w:color="auto" w:fill="FFFFFF"/>
        </w:rPr>
      </w:pPr>
      <w:r w:rsidRPr="003B4627">
        <w:rPr>
          <w:rFonts w:cs="Calibri"/>
          <w:color w:val="212121"/>
          <w:szCs w:val="22"/>
          <w:shd w:val="clear" w:color="auto" w:fill="FFFFFF"/>
        </w:rPr>
        <w:t>9.5.</w:t>
      </w:r>
      <w:r>
        <w:rPr>
          <w:rFonts w:cs="Calibri"/>
          <w:color w:val="212121"/>
          <w:szCs w:val="22"/>
          <w:shd w:val="clear" w:color="auto" w:fill="FFFFFF"/>
        </w:rPr>
        <w:t xml:space="preserve"> </w:t>
      </w:r>
      <w:r w:rsidRPr="003B4627">
        <w:rPr>
          <w:rFonts w:cs="Calibri"/>
          <w:color w:val="212121"/>
          <w:szCs w:val="22"/>
          <w:shd w:val="clear" w:color="auto" w:fill="FFFFFF"/>
        </w:rPr>
        <w:t>Pravidla pro žadatele a příjemce dotace z OPPIK – zvláštní část (dle č. j. MPO 431457/20/61200/61000 ze dne 1. 9. 2020)</w:t>
      </w:r>
    </w:p>
    <w:p w14:paraId="7DB1B1F5" w14:textId="77777777" w:rsidR="003B4627" w:rsidRPr="003B4627" w:rsidRDefault="00471E1A" w:rsidP="003B4627">
      <w:pPr>
        <w:spacing w:before="120" w:after="120"/>
        <w:jc w:val="both"/>
        <w:rPr>
          <w:rFonts w:cs="Calibri"/>
          <w:color w:val="212121"/>
          <w:szCs w:val="22"/>
          <w:shd w:val="clear" w:color="auto" w:fill="FFFFFF"/>
        </w:rPr>
      </w:pPr>
      <w:r w:rsidRPr="003B4627">
        <w:rPr>
          <w:rFonts w:cs="Calibri"/>
          <w:color w:val="212121"/>
          <w:szCs w:val="22"/>
          <w:shd w:val="clear" w:color="auto" w:fill="FFFFFF"/>
        </w:rPr>
        <w:t>9.6.    Kategorizace typu změn Projektu (platné od 21. 9. 2020)</w:t>
      </w:r>
    </w:p>
    <w:p w14:paraId="250504A9" w14:textId="77777777" w:rsidR="003B4627" w:rsidRPr="003B4627" w:rsidRDefault="00471E1A" w:rsidP="003B4627">
      <w:pPr>
        <w:spacing w:before="120" w:after="120"/>
        <w:jc w:val="both"/>
        <w:rPr>
          <w:rFonts w:cs="Calibri"/>
          <w:color w:val="212121"/>
          <w:szCs w:val="22"/>
          <w:shd w:val="clear" w:color="auto" w:fill="FFFFFF"/>
        </w:rPr>
      </w:pPr>
      <w:r w:rsidRPr="003B4627">
        <w:rPr>
          <w:rFonts w:cs="Calibri"/>
          <w:color w:val="212121"/>
          <w:szCs w:val="22"/>
          <w:shd w:val="clear" w:color="auto" w:fill="FFFFFF"/>
        </w:rPr>
        <w:t>9.7.    Vymezení způsobilých výdajů – Příloha č. 1 Výzvy VIII. programu Aplikace</w:t>
      </w:r>
    </w:p>
    <w:p w14:paraId="4C908D27" w14:textId="77777777" w:rsidR="003B4627" w:rsidRPr="003B4627" w:rsidRDefault="00471E1A" w:rsidP="003B4627">
      <w:pPr>
        <w:spacing w:before="120" w:after="120"/>
        <w:jc w:val="both"/>
        <w:rPr>
          <w:rFonts w:cs="Calibri"/>
          <w:color w:val="212121"/>
          <w:szCs w:val="22"/>
          <w:shd w:val="clear" w:color="auto" w:fill="FFFFFF"/>
        </w:rPr>
      </w:pPr>
      <w:r w:rsidRPr="003B4627">
        <w:rPr>
          <w:rFonts w:cs="Calibri"/>
          <w:color w:val="212121"/>
          <w:szCs w:val="22"/>
          <w:shd w:val="clear" w:color="auto" w:fill="FFFFFF"/>
        </w:rPr>
        <w:t>9.8.    Rozpočet projektu</w:t>
      </w:r>
    </w:p>
    <w:p w14:paraId="6083EF20" w14:textId="77777777" w:rsidR="003B4627" w:rsidRPr="003B4627" w:rsidRDefault="00471E1A" w:rsidP="003B4627">
      <w:pPr>
        <w:spacing w:before="120" w:after="120"/>
        <w:jc w:val="both"/>
        <w:rPr>
          <w:rFonts w:cs="Calibri"/>
          <w:color w:val="212121"/>
          <w:szCs w:val="22"/>
          <w:shd w:val="clear" w:color="auto" w:fill="FFFFFF"/>
        </w:rPr>
      </w:pPr>
      <w:r w:rsidRPr="003B4627">
        <w:rPr>
          <w:rFonts w:cs="Calibri"/>
          <w:color w:val="212121"/>
          <w:szCs w:val="22"/>
          <w:shd w:val="clear" w:color="auto" w:fill="FFFFFF"/>
        </w:rPr>
        <w:t>9.9.    Prohlášení k Rozhodnutí o poskytnutí dotace</w:t>
      </w:r>
    </w:p>
    <w:p w14:paraId="40799649" w14:textId="77777777" w:rsidR="003B4627" w:rsidRPr="003B4627" w:rsidRDefault="00471E1A" w:rsidP="003B4627">
      <w:pPr>
        <w:spacing w:before="120" w:after="120"/>
        <w:jc w:val="both"/>
        <w:rPr>
          <w:rFonts w:cs="Calibri"/>
          <w:color w:val="212121"/>
          <w:szCs w:val="22"/>
          <w:shd w:val="clear" w:color="auto" w:fill="FFFFFF"/>
        </w:rPr>
      </w:pPr>
      <w:r w:rsidRPr="003B4627">
        <w:rPr>
          <w:rFonts w:cs="Calibri"/>
          <w:color w:val="212121"/>
          <w:szCs w:val="22"/>
          <w:shd w:val="clear" w:color="auto" w:fill="FFFFFF"/>
        </w:rPr>
        <w:t>9.10.    Prohlášení k žádosti o podporu bez deminimis</w:t>
      </w:r>
    </w:p>
    <w:p w14:paraId="13874B6F" w14:textId="77777777" w:rsidR="003B4627" w:rsidRPr="003B4627" w:rsidRDefault="00471E1A" w:rsidP="003B4627">
      <w:pPr>
        <w:spacing w:before="120" w:after="120"/>
        <w:jc w:val="both"/>
        <w:rPr>
          <w:rFonts w:cs="Calibri"/>
          <w:color w:val="212121"/>
          <w:szCs w:val="22"/>
          <w:shd w:val="clear" w:color="auto" w:fill="FFFFFF"/>
        </w:rPr>
      </w:pPr>
      <w:r w:rsidRPr="003B4627">
        <w:rPr>
          <w:rFonts w:cs="Calibri"/>
          <w:color w:val="212121"/>
          <w:szCs w:val="22"/>
          <w:shd w:val="clear" w:color="auto" w:fill="FFFFFF"/>
        </w:rPr>
        <w:t>9.11.   Smlouva o spolupráci</w:t>
      </w:r>
    </w:p>
    <w:p w14:paraId="7D633E9F" w14:textId="433E7C29" w:rsidR="008205E8" w:rsidRDefault="00471E1A" w:rsidP="003B4627">
      <w:pPr>
        <w:spacing w:before="120" w:after="120"/>
        <w:jc w:val="both"/>
        <w:rPr>
          <w:rFonts w:cs="Calibri"/>
          <w:color w:val="212121"/>
          <w:szCs w:val="22"/>
          <w:shd w:val="clear" w:color="auto" w:fill="FFFFFF"/>
        </w:rPr>
      </w:pPr>
      <w:r w:rsidRPr="003B4627">
        <w:rPr>
          <w:rFonts w:cs="Calibri"/>
          <w:color w:val="212121"/>
          <w:szCs w:val="22"/>
          <w:shd w:val="clear" w:color="auto" w:fill="FFFFFF"/>
        </w:rPr>
        <w:t>9.1</w:t>
      </w:r>
      <w:r w:rsidR="00986AFB">
        <w:rPr>
          <w:rFonts w:cs="Calibri"/>
          <w:color w:val="212121"/>
          <w:szCs w:val="22"/>
          <w:shd w:val="clear" w:color="auto" w:fill="FFFFFF"/>
        </w:rPr>
        <w:t>2</w:t>
      </w:r>
      <w:r w:rsidRPr="003B4627">
        <w:rPr>
          <w:rFonts w:cs="Calibri"/>
          <w:color w:val="212121"/>
          <w:szCs w:val="22"/>
          <w:shd w:val="clear" w:color="auto" w:fill="FFFFFF"/>
        </w:rPr>
        <w:t>.   Formulář pro posouzení podmínky podniku v</w:t>
      </w:r>
      <w:r w:rsidR="00986AFB">
        <w:rPr>
          <w:rFonts w:cs="Calibri"/>
          <w:color w:val="212121"/>
          <w:szCs w:val="22"/>
          <w:shd w:val="clear" w:color="auto" w:fill="FFFFFF"/>
        </w:rPr>
        <w:t> </w:t>
      </w:r>
      <w:r w:rsidRPr="003B4627">
        <w:rPr>
          <w:rFonts w:cs="Calibri"/>
          <w:color w:val="212121"/>
          <w:szCs w:val="22"/>
          <w:shd w:val="clear" w:color="auto" w:fill="FFFFFF"/>
        </w:rPr>
        <w:t>obtížích</w:t>
      </w:r>
    </w:p>
    <w:p w14:paraId="734BDD16" w14:textId="77777777" w:rsidR="00986AFB" w:rsidRDefault="00986AFB" w:rsidP="003B4627">
      <w:pPr>
        <w:spacing w:before="120" w:after="120"/>
        <w:jc w:val="both"/>
      </w:pPr>
    </w:p>
    <w:p w14:paraId="63665DB5" w14:textId="77777777" w:rsidR="008205E8" w:rsidRPr="00A1055D" w:rsidRDefault="00471E1A" w:rsidP="008205E8">
      <w:pPr>
        <w:pStyle w:val="Nadpis3"/>
        <w:rPr>
          <w:i w:val="0"/>
        </w:rPr>
      </w:pPr>
      <w:r w:rsidRPr="00A1055D">
        <w:rPr>
          <w:i w:val="0"/>
        </w:rPr>
        <w:t>Poučení</w:t>
      </w:r>
    </w:p>
    <w:p w14:paraId="6925E402" w14:textId="77777777" w:rsidR="008205E8" w:rsidRPr="00A140EF" w:rsidRDefault="008205E8" w:rsidP="008205E8">
      <w:pPr>
        <w:rPr>
          <w:b/>
        </w:rPr>
      </w:pPr>
    </w:p>
    <w:p w14:paraId="6DA91935" w14:textId="77777777" w:rsidR="008205E8" w:rsidRDefault="00471E1A" w:rsidP="00584BED">
      <w:pPr>
        <w:jc w:val="both"/>
      </w:pPr>
      <w:r>
        <w:t xml:space="preserve">Proti Rozhodnutí poskytovatele není přípustné odvolání ani rozklad. Obnova řízení se nepřipouští. Přezkumné řízení se nepřipouští, s výjimkou postupu podle § 153 odst. 1 písm. a) správního řádu. </w:t>
      </w:r>
    </w:p>
    <w:p w14:paraId="0B390975" w14:textId="77777777" w:rsidR="008205E8" w:rsidRDefault="00471E1A" w:rsidP="008205E8">
      <w:r>
        <w:t xml:space="preserve">Toto Rozhodnutí nabývá právní moci dnem doručení. </w:t>
      </w:r>
    </w:p>
    <w:p w14:paraId="262C8314" w14:textId="77777777" w:rsidR="008205E8" w:rsidRDefault="008205E8" w:rsidP="008205E8"/>
    <w:p w14:paraId="14AD6B3D" w14:textId="77777777" w:rsidR="008205E8" w:rsidRDefault="00471E1A" w:rsidP="008205E8">
      <w:r>
        <w:t>V Praze, dne……………………</w:t>
      </w:r>
    </w:p>
    <w:p w14:paraId="5BF7B5E3" w14:textId="77777777" w:rsidR="008205E8" w:rsidRDefault="008205E8" w:rsidP="008205E8"/>
    <w:p w14:paraId="49099E2E" w14:textId="77777777" w:rsidR="008205E8" w:rsidRDefault="008205E8" w:rsidP="008205E8"/>
    <w:p w14:paraId="110626F3" w14:textId="77777777" w:rsidR="008205E8" w:rsidRDefault="008205E8" w:rsidP="008205E8"/>
    <w:p w14:paraId="341102C2" w14:textId="77777777" w:rsidR="008205E8" w:rsidRDefault="008205E8" w:rsidP="008205E8"/>
    <w:p w14:paraId="0BA39516" w14:textId="77777777" w:rsidR="008205E8" w:rsidRDefault="00471E1A" w:rsidP="008205E8">
      <w:r>
        <w:t xml:space="preserve">                                                                                                          </w:t>
      </w:r>
    </w:p>
    <w:p w14:paraId="1D9B20D8" w14:textId="77777777" w:rsidR="008205E8" w:rsidRDefault="00471E1A" w:rsidP="008205E8">
      <w:pPr>
        <w:jc w:val="center"/>
      </w:pPr>
      <w:r>
        <w:t>Za Ministerstvo průmyslu a obchodu</w:t>
      </w:r>
    </w:p>
    <w:p w14:paraId="6347CC9E" w14:textId="77777777" w:rsidR="008205E8" w:rsidRDefault="008205E8" w:rsidP="008205E8">
      <w:pPr>
        <w:jc w:val="center"/>
      </w:pPr>
    </w:p>
    <w:p w14:paraId="5481B48C" w14:textId="77777777" w:rsidR="008205E8" w:rsidRDefault="00471E1A" w:rsidP="008205E8">
      <w:pPr>
        <w:jc w:val="center"/>
      </w:pPr>
      <w:r w:rsidRPr="00A140EF">
        <w:t>Ředitel odboru</w:t>
      </w:r>
    </w:p>
    <w:p w14:paraId="0EF82EF6" w14:textId="77777777" w:rsidR="008205E8" w:rsidRDefault="00471E1A" w:rsidP="008205E8">
      <w:pPr>
        <w:jc w:val="center"/>
      </w:pPr>
      <w:r>
        <w:t>……………………………………</w:t>
      </w:r>
    </w:p>
    <w:p w14:paraId="622E4D83" w14:textId="77777777" w:rsidR="008205E8" w:rsidRDefault="00471E1A" w:rsidP="008205E8">
      <w:pPr>
        <w:jc w:val="center"/>
      </w:pPr>
      <w:r>
        <w:t>…………………………………</w:t>
      </w:r>
    </w:p>
    <w:sectPr w:rsidR="008205E8" w:rsidSect="00F65F3C">
      <w:headerReference w:type="default" r:id="rId10"/>
      <w:footerReference w:type="default" r:id="rId11"/>
      <w:pgSz w:w="11906" w:h="16838"/>
      <w:pgMar w:top="1417" w:right="1417" w:bottom="1135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CB6DA9" w14:textId="77777777" w:rsidR="00471E1A" w:rsidRDefault="00471E1A">
      <w:r>
        <w:separator/>
      </w:r>
    </w:p>
  </w:endnote>
  <w:endnote w:type="continuationSeparator" w:id="0">
    <w:p w14:paraId="1146615B" w14:textId="77777777" w:rsidR="00471E1A" w:rsidRDefault="00471E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4247AE" w14:textId="77777777" w:rsidR="009812E7" w:rsidRPr="00AA423B" w:rsidRDefault="00471E1A" w:rsidP="00DB47EC">
    <w:pPr>
      <w:tabs>
        <w:tab w:val="center" w:pos="4536"/>
        <w:tab w:val="right" w:pos="9072"/>
      </w:tabs>
      <w:spacing w:before="240"/>
      <w:jc w:val="center"/>
      <w:textAlignment w:val="auto"/>
      <w:rPr>
        <w:rFonts w:ascii="Arial" w:hAnsi="Arial" w:cs="Arial"/>
      </w:rPr>
    </w:pPr>
    <w:r w:rsidRPr="00AA423B">
      <w:rPr>
        <w:rFonts w:ascii="Arial" w:hAnsi="Arial" w:cs="Arial"/>
        <w:b/>
        <w:bCs/>
        <w:color w:val="000099"/>
        <w:spacing w:val="70"/>
        <w:sz w:val="18"/>
      </w:rPr>
      <w:t>INVESTICE DO V</w:t>
    </w:r>
    <w:r>
      <w:rPr>
        <w:rFonts w:ascii="Arial" w:hAnsi="Arial" w:cs="Arial"/>
        <w:b/>
        <w:bCs/>
        <w:color w:val="000099"/>
        <w:spacing w:val="70"/>
        <w:sz w:val="18"/>
      </w:rPr>
      <w:t>AŠÍ</w:t>
    </w:r>
    <w:r w:rsidRPr="00AA423B">
      <w:rPr>
        <w:rFonts w:ascii="Arial" w:hAnsi="Arial" w:cs="Arial"/>
        <w:b/>
        <w:bCs/>
        <w:color w:val="000099"/>
        <w:spacing w:val="70"/>
        <w:sz w:val="18"/>
      </w:rPr>
      <w:t xml:space="preserve"> BUDOUCNOSTI</w:t>
    </w:r>
  </w:p>
  <w:p w14:paraId="70C4AAEF" w14:textId="77777777" w:rsidR="009812E7" w:rsidRDefault="009812E7" w:rsidP="00F65F3C">
    <w:pPr>
      <w:jc w:val="center"/>
      <w:rPr>
        <w:rStyle w:val="slostrnky"/>
        <w:rFonts w:ascii="Arial" w:eastAsiaTheme="majorEastAsia" w:hAnsi="Arial" w:cs="Arial"/>
      </w:rPr>
    </w:pPr>
  </w:p>
  <w:p w14:paraId="43DE9307" w14:textId="77777777" w:rsidR="009812E7" w:rsidRDefault="00471E1A" w:rsidP="00F65F3C">
    <w:pPr>
      <w:jc w:val="center"/>
      <w:rPr>
        <w:rStyle w:val="slostrnky"/>
        <w:rFonts w:ascii="Arial" w:eastAsiaTheme="majorEastAsia" w:hAnsi="Arial" w:cs="Arial"/>
      </w:rPr>
    </w:pPr>
    <w:r>
      <w:rPr>
        <w:rStyle w:val="slostrnky"/>
        <w:rFonts w:ascii="Arial" w:eastAsiaTheme="majorEastAsia" w:hAnsi="Arial" w:cs="Arial"/>
      </w:rPr>
      <w:fldChar w:fldCharType="begin"/>
    </w:r>
    <w:r>
      <w:rPr>
        <w:rStyle w:val="slostrnky"/>
        <w:rFonts w:ascii="Arial" w:eastAsiaTheme="majorEastAsia" w:hAnsi="Arial" w:cs="Arial"/>
      </w:rPr>
      <w:instrText xml:space="preserve"> PAGE </w:instrText>
    </w:r>
    <w:r>
      <w:rPr>
        <w:rStyle w:val="slostrnky"/>
        <w:rFonts w:ascii="Arial" w:eastAsiaTheme="majorEastAsia" w:hAnsi="Arial" w:cs="Arial"/>
      </w:rPr>
      <w:fldChar w:fldCharType="separate"/>
    </w:r>
    <w:r w:rsidR="004E1606">
      <w:rPr>
        <w:rStyle w:val="slostrnky"/>
        <w:rFonts w:ascii="Arial" w:eastAsiaTheme="majorEastAsia" w:hAnsi="Arial" w:cs="Arial"/>
        <w:noProof/>
      </w:rPr>
      <w:t>17</w:t>
    </w:r>
    <w:r>
      <w:rPr>
        <w:rStyle w:val="slostrnky"/>
        <w:rFonts w:ascii="Arial" w:eastAsiaTheme="majorEastAsia" w:hAnsi="Arial" w:cs="Arial"/>
      </w:rPr>
      <w:fldChar w:fldCharType="end"/>
    </w:r>
    <w:r>
      <w:rPr>
        <w:rStyle w:val="slostrnky"/>
        <w:rFonts w:ascii="Arial" w:eastAsiaTheme="majorEastAsia" w:hAnsi="Arial" w:cs="Arial"/>
      </w:rPr>
      <w:t>/</w:t>
    </w:r>
    <w:r>
      <w:rPr>
        <w:rStyle w:val="slostrnky"/>
        <w:rFonts w:ascii="Arial" w:eastAsiaTheme="majorEastAsia" w:hAnsi="Arial" w:cs="Arial"/>
      </w:rPr>
      <w:fldChar w:fldCharType="begin"/>
    </w:r>
    <w:r>
      <w:rPr>
        <w:rStyle w:val="slostrnky"/>
        <w:rFonts w:ascii="Arial" w:eastAsiaTheme="majorEastAsia" w:hAnsi="Arial" w:cs="Arial"/>
      </w:rPr>
      <w:instrText xml:space="preserve"> NUMPAGES </w:instrText>
    </w:r>
    <w:r>
      <w:rPr>
        <w:rStyle w:val="slostrnky"/>
        <w:rFonts w:ascii="Arial" w:eastAsiaTheme="majorEastAsia" w:hAnsi="Arial" w:cs="Arial"/>
      </w:rPr>
      <w:fldChar w:fldCharType="separate"/>
    </w:r>
    <w:r w:rsidR="004E1606">
      <w:rPr>
        <w:rStyle w:val="slostrnky"/>
        <w:rFonts w:ascii="Arial" w:eastAsiaTheme="majorEastAsia" w:hAnsi="Arial" w:cs="Arial"/>
        <w:noProof/>
      </w:rPr>
      <w:t>17</w:t>
    </w:r>
    <w:r>
      <w:rPr>
        <w:rStyle w:val="slostrnky"/>
        <w:rFonts w:ascii="Arial" w:eastAsiaTheme="majorEastAsia" w:hAnsi="Arial" w:cs="Arial"/>
      </w:rPr>
      <w:fldChar w:fldCharType="end"/>
    </w:r>
  </w:p>
  <w:p w14:paraId="4CBB454A" w14:textId="77777777" w:rsidR="009812E7" w:rsidRDefault="009812E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F27BF7" w14:textId="77777777" w:rsidR="00471E1A" w:rsidRDefault="00471E1A" w:rsidP="002F1D34">
      <w:r>
        <w:separator/>
      </w:r>
    </w:p>
  </w:footnote>
  <w:footnote w:type="continuationSeparator" w:id="0">
    <w:p w14:paraId="13FD1AD1" w14:textId="77777777" w:rsidR="00471E1A" w:rsidRDefault="00471E1A" w:rsidP="002F1D34">
      <w:r>
        <w:continuationSeparator/>
      </w:r>
    </w:p>
  </w:footnote>
  <w:footnote w:id="1">
    <w:p w14:paraId="2A91D0C0" w14:textId="77777777" w:rsidR="009812E7" w:rsidRPr="00C56192" w:rsidRDefault="00471E1A" w:rsidP="00AA5794">
      <w:pPr>
        <w:pStyle w:val="Textpoznpodarou"/>
        <w:jc w:val="both"/>
        <w:rPr>
          <w:sz w:val="16"/>
          <w:szCs w:val="16"/>
        </w:rPr>
      </w:pPr>
      <w:r w:rsidRPr="00950431">
        <w:rPr>
          <w:rStyle w:val="Znakapoznpodarou"/>
          <w:sz w:val="16"/>
          <w:szCs w:val="16"/>
        </w:rPr>
        <w:footnoteRef/>
      </w:r>
      <w:r w:rsidRPr="00950431">
        <w:rPr>
          <w:sz w:val="16"/>
          <w:szCs w:val="16"/>
        </w:rPr>
        <w:t xml:space="preserve"> Výše podpory z prostředků poskytnutých ze státního rozpočtu na předfinancování výdajů, kte</w:t>
      </w:r>
      <w:r>
        <w:rPr>
          <w:sz w:val="16"/>
          <w:szCs w:val="16"/>
        </w:rPr>
        <w:t>ré mají být kryty prostředky z N</w:t>
      </w:r>
      <w:r w:rsidRPr="00950431">
        <w:rPr>
          <w:sz w:val="16"/>
          <w:szCs w:val="16"/>
        </w:rPr>
        <w:t>árodního fondu (§</w:t>
      </w:r>
      <w:r>
        <w:rPr>
          <w:sz w:val="16"/>
          <w:szCs w:val="16"/>
        </w:rPr>
        <w:t xml:space="preserve"> </w:t>
      </w:r>
      <w:r w:rsidRPr="00950431">
        <w:rPr>
          <w:sz w:val="16"/>
          <w:szCs w:val="16"/>
        </w:rPr>
        <w:t>44 odst. 2 písm. f) rozpočtových pravidel)</w:t>
      </w:r>
      <w:r>
        <w:rPr>
          <w:sz w:val="16"/>
          <w:szCs w:val="16"/>
        </w:rPr>
        <w:t>.</w:t>
      </w:r>
    </w:p>
  </w:footnote>
  <w:footnote w:id="2">
    <w:p w14:paraId="37022CE4" w14:textId="77777777" w:rsidR="009812E7" w:rsidRPr="00B22F26" w:rsidRDefault="00471E1A" w:rsidP="00AA5794">
      <w:pPr>
        <w:pStyle w:val="Textpoznpodarou"/>
        <w:jc w:val="both"/>
        <w:rPr>
          <w:rFonts w:asciiTheme="minorHAnsi" w:hAnsiTheme="minorHAnsi"/>
          <w:sz w:val="16"/>
          <w:szCs w:val="16"/>
        </w:rPr>
      </w:pPr>
      <w:r w:rsidRPr="00C56192">
        <w:rPr>
          <w:rStyle w:val="Znakapoznpodarou"/>
          <w:sz w:val="16"/>
          <w:szCs w:val="16"/>
        </w:rPr>
        <w:footnoteRef/>
      </w:r>
      <w:r w:rsidRPr="00C56192">
        <w:rPr>
          <w:sz w:val="16"/>
          <w:szCs w:val="16"/>
        </w:rPr>
        <w:t xml:space="preserve"> </w:t>
      </w:r>
      <w:r w:rsidRPr="00BA749D">
        <w:rPr>
          <w:rFonts w:asciiTheme="minorHAnsi" w:hAnsiTheme="minorHAnsi"/>
          <w:sz w:val="16"/>
          <w:szCs w:val="16"/>
        </w:rPr>
        <w:t xml:space="preserve">Podpora de </w:t>
      </w:r>
      <w:r>
        <w:rPr>
          <w:rFonts w:asciiTheme="minorHAnsi" w:hAnsiTheme="minorHAnsi"/>
          <w:sz w:val="16"/>
          <w:szCs w:val="16"/>
        </w:rPr>
        <w:t>minimis nesmí u jednoho podniku ve smyslu článku 2, odst. 2 Nařízení</w:t>
      </w:r>
      <w:r w:rsidRPr="00E87692">
        <w:t xml:space="preserve"> </w:t>
      </w:r>
      <w:r w:rsidRPr="00E87692">
        <w:rPr>
          <w:rFonts w:asciiTheme="minorHAnsi" w:hAnsiTheme="minorHAnsi"/>
          <w:sz w:val="16"/>
          <w:szCs w:val="16"/>
        </w:rPr>
        <w:t>Komise č. 1407/2013 ze dne 18. prosin</w:t>
      </w:r>
      <w:r>
        <w:rPr>
          <w:rFonts w:asciiTheme="minorHAnsi" w:hAnsiTheme="minorHAnsi"/>
          <w:sz w:val="16"/>
          <w:szCs w:val="16"/>
        </w:rPr>
        <w:t>ce 2013 o </w:t>
      </w:r>
      <w:r w:rsidRPr="00E87692">
        <w:rPr>
          <w:rFonts w:asciiTheme="minorHAnsi" w:hAnsiTheme="minorHAnsi"/>
          <w:sz w:val="16"/>
          <w:szCs w:val="16"/>
        </w:rPr>
        <w:t>použití článků 107 a 108 Smlouvy o fungování Evropské unie na podporu de minimis</w:t>
      </w:r>
      <w:r>
        <w:rPr>
          <w:rFonts w:asciiTheme="minorHAnsi" w:hAnsiTheme="minorHAnsi"/>
          <w:sz w:val="16"/>
          <w:szCs w:val="16"/>
        </w:rPr>
        <w:t xml:space="preserve"> (dále jen „Nařízení de minimis“) přesáhnout částku v </w:t>
      </w:r>
      <w:r w:rsidRPr="00BA749D">
        <w:rPr>
          <w:rFonts w:asciiTheme="minorHAnsi" w:hAnsiTheme="minorHAnsi"/>
          <w:sz w:val="16"/>
          <w:szCs w:val="16"/>
        </w:rPr>
        <w:t xml:space="preserve">CZK, která odpovídá ekvivalentu 200 000 EUR </w:t>
      </w:r>
      <w:r w:rsidRPr="00BA749D">
        <w:rPr>
          <w:rFonts w:asciiTheme="minorHAnsi" w:hAnsiTheme="minorHAnsi"/>
          <w:bCs/>
          <w:sz w:val="16"/>
          <w:szCs w:val="16"/>
        </w:rPr>
        <w:t>poskytnutých jednomu podniku za období posledních třech po sobě následujících účetních o</w:t>
      </w:r>
      <w:r>
        <w:rPr>
          <w:rFonts w:asciiTheme="minorHAnsi" w:hAnsiTheme="minorHAnsi"/>
          <w:bCs/>
          <w:sz w:val="16"/>
          <w:szCs w:val="16"/>
        </w:rPr>
        <w:t>bdobí všemi poskytovateli veřejné podpory v rámci ČR (v případě jednoho podniku provozujícího silniční nákladní dopravu odpovídá maximální podpora ekvivalentu 100 000 EUR ve shodném období)</w:t>
      </w:r>
      <w:r>
        <w:rPr>
          <w:rFonts w:asciiTheme="minorHAnsi" w:hAnsiTheme="minorHAnsi"/>
          <w:sz w:val="16"/>
          <w:szCs w:val="16"/>
        </w:rPr>
        <w:t xml:space="preserve">. </w:t>
      </w:r>
      <w:r w:rsidRPr="00BA749D">
        <w:rPr>
          <w:rFonts w:asciiTheme="minorHAnsi" w:hAnsiTheme="minorHAnsi"/>
          <w:sz w:val="16"/>
          <w:szCs w:val="16"/>
        </w:rPr>
        <w:t>Poskytovatel dotace si vyhrazuje v případě od</w:t>
      </w:r>
      <w:r w:rsidRPr="00C56192">
        <w:rPr>
          <w:rFonts w:asciiTheme="minorHAnsi" w:hAnsiTheme="minorHAnsi"/>
          <w:sz w:val="16"/>
          <w:szCs w:val="16"/>
        </w:rPr>
        <w:t>chylek způsobených nežádoucím vývojem kurzu právo upravit limity vyjádřené v CZK prostřednictvím Dodatku k tomuto Rozhodnutí a právo vyplatit příjemci částku nižší než jakou má uvedenu v</w:t>
      </w:r>
      <w:r>
        <w:rPr>
          <w:rFonts w:asciiTheme="minorHAnsi" w:hAnsiTheme="minorHAnsi"/>
          <w:sz w:val="16"/>
          <w:szCs w:val="16"/>
        </w:rPr>
        <w:t> tomto Rozhodnutí</w:t>
      </w:r>
      <w:r w:rsidRPr="00C56192">
        <w:rPr>
          <w:rFonts w:asciiTheme="minorHAnsi" w:hAnsiTheme="minorHAnsi"/>
          <w:sz w:val="16"/>
          <w:szCs w:val="16"/>
        </w:rPr>
        <w:t xml:space="preserve"> v CZK, avšak pouze z důvodu, aby výše popsaný limit vyjádřený ekvivalentní hodnotou 200 000 EUR nebyl překročen a nedošlo tak k poskytnutí neoprávněné podpory.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45A783" w14:textId="77777777" w:rsidR="00FB401C" w:rsidRDefault="00FB401C" w:rsidP="00FB401C">
    <w:pPr>
      <w:pStyle w:val="Zhlav"/>
    </w:pPr>
  </w:p>
  <w:p w14:paraId="64382621" w14:textId="77777777" w:rsidR="009812E7" w:rsidRPr="00FB401C" w:rsidRDefault="00471E1A" w:rsidP="00FB401C">
    <w:pPr>
      <w:pStyle w:val="Zhlav"/>
    </w:pPr>
    <w:r>
      <w:rPr>
        <w:noProof/>
        <w:szCs w:val="22"/>
        <w:lang w:eastAsia="ja-JP"/>
      </w:rPr>
      <w:drawing>
        <wp:anchor distT="0" distB="0" distL="114300" distR="114300" simplePos="0" relativeHeight="251658240" behindDoc="0" locked="0" layoutInCell="1" allowOverlap="1" wp14:anchorId="25DE789E" wp14:editId="62C60DDA">
          <wp:simplePos x="0" y="0"/>
          <wp:positionH relativeFrom="margin">
            <wp:posOffset>5215890</wp:posOffset>
          </wp:positionH>
          <wp:positionV relativeFrom="paragraph">
            <wp:posOffset>7620</wp:posOffset>
          </wp:positionV>
          <wp:extent cx="799465" cy="428625"/>
          <wp:effectExtent l="0" t="0" r="635" b="9525"/>
          <wp:wrapSquare wrapText="bothSides"/>
          <wp:docPr id="11" name="Obráze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10585340" name="Obrázek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99465" cy="428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sz w:val="20"/>
        <w:lang w:eastAsia="ja-JP"/>
      </w:rPr>
      <w:drawing>
        <wp:inline distT="0" distB="0" distL="0" distR="0" wp14:anchorId="630E56D5" wp14:editId="38262623">
          <wp:extent cx="1836420" cy="504825"/>
          <wp:effectExtent l="0" t="0" r="0" b="9525"/>
          <wp:docPr id="10" name="Obráze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8153170" name="Obrázek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36420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97382A"/>
    <w:multiLevelType w:val="multilevel"/>
    <w:tmpl w:val="1AB27AD8"/>
    <w:lvl w:ilvl="0">
      <w:start w:val="1"/>
      <w:numFmt w:val="decimal"/>
      <w:pStyle w:val="OPPINadpis1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OPPINadpis2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OPPINadpis3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OPPINadpis4"/>
      <w:suff w:val="space"/>
      <w:lvlText w:val="%1.%2.%3.%4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198B2D39"/>
    <w:multiLevelType w:val="hybridMultilevel"/>
    <w:tmpl w:val="3304AADC"/>
    <w:lvl w:ilvl="0" w:tplc="79D440D2">
      <w:start w:val="1"/>
      <w:numFmt w:val="upperRoman"/>
      <w:lvlText w:val="HLAVA %1."/>
      <w:lvlJc w:val="left"/>
      <w:pPr>
        <w:ind w:left="720" w:hanging="360"/>
      </w:pPr>
      <w:rPr>
        <w:rFonts w:hint="default"/>
      </w:rPr>
    </w:lvl>
    <w:lvl w:ilvl="1" w:tplc="30987DF6" w:tentative="1">
      <w:start w:val="1"/>
      <w:numFmt w:val="lowerLetter"/>
      <w:lvlText w:val="%2."/>
      <w:lvlJc w:val="left"/>
      <w:pPr>
        <w:ind w:left="1440" w:hanging="360"/>
      </w:pPr>
    </w:lvl>
    <w:lvl w:ilvl="2" w:tplc="C1D4693E" w:tentative="1">
      <w:start w:val="1"/>
      <w:numFmt w:val="lowerRoman"/>
      <w:lvlText w:val="%3."/>
      <w:lvlJc w:val="right"/>
      <w:pPr>
        <w:ind w:left="2160" w:hanging="180"/>
      </w:pPr>
    </w:lvl>
    <w:lvl w:ilvl="3" w:tplc="EAC65308" w:tentative="1">
      <w:start w:val="1"/>
      <w:numFmt w:val="decimal"/>
      <w:lvlText w:val="%4."/>
      <w:lvlJc w:val="left"/>
      <w:pPr>
        <w:ind w:left="2880" w:hanging="360"/>
      </w:pPr>
    </w:lvl>
    <w:lvl w:ilvl="4" w:tplc="BC98BFB6" w:tentative="1">
      <w:start w:val="1"/>
      <w:numFmt w:val="lowerLetter"/>
      <w:lvlText w:val="%5."/>
      <w:lvlJc w:val="left"/>
      <w:pPr>
        <w:ind w:left="3600" w:hanging="360"/>
      </w:pPr>
    </w:lvl>
    <w:lvl w:ilvl="5" w:tplc="61321DD4" w:tentative="1">
      <w:start w:val="1"/>
      <w:numFmt w:val="lowerRoman"/>
      <w:lvlText w:val="%6."/>
      <w:lvlJc w:val="right"/>
      <w:pPr>
        <w:ind w:left="4320" w:hanging="180"/>
      </w:pPr>
    </w:lvl>
    <w:lvl w:ilvl="6" w:tplc="CF0213DE" w:tentative="1">
      <w:start w:val="1"/>
      <w:numFmt w:val="decimal"/>
      <w:lvlText w:val="%7."/>
      <w:lvlJc w:val="left"/>
      <w:pPr>
        <w:ind w:left="5040" w:hanging="360"/>
      </w:pPr>
    </w:lvl>
    <w:lvl w:ilvl="7" w:tplc="9042AE0A" w:tentative="1">
      <w:start w:val="1"/>
      <w:numFmt w:val="lowerLetter"/>
      <w:lvlText w:val="%8."/>
      <w:lvlJc w:val="left"/>
      <w:pPr>
        <w:ind w:left="5760" w:hanging="360"/>
      </w:pPr>
    </w:lvl>
    <w:lvl w:ilvl="8" w:tplc="5D92060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57197F"/>
    <w:multiLevelType w:val="multilevel"/>
    <w:tmpl w:val="60D8ACE4"/>
    <w:lvl w:ilvl="0">
      <w:start w:val="1"/>
      <w:numFmt w:val="decimal"/>
      <w:pStyle w:val="Styl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 w15:restartNumberingAfterBreak="0">
    <w:nsid w:val="4C313141"/>
    <w:multiLevelType w:val="hybridMultilevel"/>
    <w:tmpl w:val="CB16A534"/>
    <w:lvl w:ilvl="0" w:tplc="92009E16">
      <w:start w:val="1"/>
      <w:numFmt w:val="decimal"/>
      <w:lvlText w:val="2.%1"/>
      <w:lvlJc w:val="right"/>
      <w:pPr>
        <w:ind w:left="720" w:hanging="360"/>
      </w:pPr>
      <w:rPr>
        <w:rFonts w:hint="default"/>
      </w:rPr>
    </w:lvl>
    <w:lvl w:ilvl="1" w:tplc="1CF68856" w:tentative="1">
      <w:start w:val="1"/>
      <w:numFmt w:val="lowerLetter"/>
      <w:lvlText w:val="%2."/>
      <w:lvlJc w:val="left"/>
      <w:pPr>
        <w:ind w:left="1440" w:hanging="360"/>
      </w:pPr>
    </w:lvl>
    <w:lvl w:ilvl="2" w:tplc="D0FE4696" w:tentative="1">
      <w:start w:val="1"/>
      <w:numFmt w:val="lowerRoman"/>
      <w:lvlText w:val="%3."/>
      <w:lvlJc w:val="right"/>
      <w:pPr>
        <w:ind w:left="2160" w:hanging="180"/>
      </w:pPr>
    </w:lvl>
    <w:lvl w:ilvl="3" w:tplc="79FC2ECC" w:tentative="1">
      <w:start w:val="1"/>
      <w:numFmt w:val="decimal"/>
      <w:lvlText w:val="%4."/>
      <w:lvlJc w:val="left"/>
      <w:pPr>
        <w:ind w:left="2880" w:hanging="360"/>
      </w:pPr>
    </w:lvl>
    <w:lvl w:ilvl="4" w:tplc="BF886D42" w:tentative="1">
      <w:start w:val="1"/>
      <w:numFmt w:val="lowerLetter"/>
      <w:lvlText w:val="%5."/>
      <w:lvlJc w:val="left"/>
      <w:pPr>
        <w:ind w:left="3600" w:hanging="360"/>
      </w:pPr>
    </w:lvl>
    <w:lvl w:ilvl="5" w:tplc="0834118E" w:tentative="1">
      <w:start w:val="1"/>
      <w:numFmt w:val="lowerRoman"/>
      <w:lvlText w:val="%6."/>
      <w:lvlJc w:val="right"/>
      <w:pPr>
        <w:ind w:left="4320" w:hanging="180"/>
      </w:pPr>
    </w:lvl>
    <w:lvl w:ilvl="6" w:tplc="B4B0484C" w:tentative="1">
      <w:start w:val="1"/>
      <w:numFmt w:val="decimal"/>
      <w:lvlText w:val="%7."/>
      <w:lvlJc w:val="left"/>
      <w:pPr>
        <w:ind w:left="5040" w:hanging="360"/>
      </w:pPr>
    </w:lvl>
    <w:lvl w:ilvl="7" w:tplc="1E064E50" w:tentative="1">
      <w:start w:val="1"/>
      <w:numFmt w:val="lowerLetter"/>
      <w:lvlText w:val="%8."/>
      <w:lvlJc w:val="left"/>
      <w:pPr>
        <w:ind w:left="5760" w:hanging="360"/>
      </w:pPr>
    </w:lvl>
    <w:lvl w:ilvl="8" w:tplc="CF7EA2A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454ADD"/>
    <w:multiLevelType w:val="multilevel"/>
    <w:tmpl w:val="436842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ind w:left="794" w:hanging="794"/>
      </w:pPr>
      <w:rPr>
        <w:rFonts w:hint="default"/>
      </w:rPr>
    </w:lvl>
    <w:lvl w:ilvl="3">
      <w:start w:val="1"/>
      <w:numFmt w:val="upperRoman"/>
      <w:lvlText w:val="%4."/>
      <w:lvlJc w:val="left"/>
      <w:pPr>
        <w:ind w:left="1418" w:hanging="28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D34"/>
    <w:rsid w:val="00005E43"/>
    <w:rsid w:val="00033B78"/>
    <w:rsid w:val="00040B8F"/>
    <w:rsid w:val="00044011"/>
    <w:rsid w:val="00045A47"/>
    <w:rsid w:val="00070AC3"/>
    <w:rsid w:val="00072D05"/>
    <w:rsid w:val="000968B5"/>
    <w:rsid w:val="000B2EAB"/>
    <w:rsid w:val="000B55A9"/>
    <w:rsid w:val="000C25E1"/>
    <w:rsid w:val="000C4761"/>
    <w:rsid w:val="000D4903"/>
    <w:rsid w:val="000E48BB"/>
    <w:rsid w:val="000E5399"/>
    <w:rsid w:val="000E638D"/>
    <w:rsid w:val="00107CA4"/>
    <w:rsid w:val="00113359"/>
    <w:rsid w:val="001320B7"/>
    <w:rsid w:val="00134C6A"/>
    <w:rsid w:val="0014276F"/>
    <w:rsid w:val="00154692"/>
    <w:rsid w:val="00170ABF"/>
    <w:rsid w:val="00186D5C"/>
    <w:rsid w:val="00196FEE"/>
    <w:rsid w:val="001A3602"/>
    <w:rsid w:val="001A5C85"/>
    <w:rsid w:val="001C0414"/>
    <w:rsid w:val="001C5827"/>
    <w:rsid w:val="001D6E5B"/>
    <w:rsid w:val="001E001E"/>
    <w:rsid w:val="001E4B53"/>
    <w:rsid w:val="00210276"/>
    <w:rsid w:val="002347FD"/>
    <w:rsid w:val="00234A16"/>
    <w:rsid w:val="00243272"/>
    <w:rsid w:val="002667E1"/>
    <w:rsid w:val="002804BE"/>
    <w:rsid w:val="00284FFD"/>
    <w:rsid w:val="0029457C"/>
    <w:rsid w:val="002B3409"/>
    <w:rsid w:val="002C4416"/>
    <w:rsid w:val="002D34C9"/>
    <w:rsid w:val="002F1D34"/>
    <w:rsid w:val="0030688F"/>
    <w:rsid w:val="0031170F"/>
    <w:rsid w:val="00313D16"/>
    <w:rsid w:val="00324711"/>
    <w:rsid w:val="0032625F"/>
    <w:rsid w:val="00327C18"/>
    <w:rsid w:val="00330974"/>
    <w:rsid w:val="00333508"/>
    <w:rsid w:val="00340BB6"/>
    <w:rsid w:val="003548CE"/>
    <w:rsid w:val="00382638"/>
    <w:rsid w:val="00391092"/>
    <w:rsid w:val="003A21B8"/>
    <w:rsid w:val="003B3BE9"/>
    <w:rsid w:val="003B4627"/>
    <w:rsid w:val="003C3D19"/>
    <w:rsid w:val="003D018E"/>
    <w:rsid w:val="003F5F77"/>
    <w:rsid w:val="00412FE3"/>
    <w:rsid w:val="00414966"/>
    <w:rsid w:val="00443307"/>
    <w:rsid w:val="00471E1A"/>
    <w:rsid w:val="004B7725"/>
    <w:rsid w:val="004C5605"/>
    <w:rsid w:val="004C7FFD"/>
    <w:rsid w:val="004E0823"/>
    <w:rsid w:val="004E1606"/>
    <w:rsid w:val="004F2539"/>
    <w:rsid w:val="004F465F"/>
    <w:rsid w:val="00500088"/>
    <w:rsid w:val="00527A6A"/>
    <w:rsid w:val="005638CF"/>
    <w:rsid w:val="0057205C"/>
    <w:rsid w:val="005739F0"/>
    <w:rsid w:val="00577438"/>
    <w:rsid w:val="00584BED"/>
    <w:rsid w:val="00596AC8"/>
    <w:rsid w:val="005D009F"/>
    <w:rsid w:val="005E02A3"/>
    <w:rsid w:val="005E2E96"/>
    <w:rsid w:val="00604A80"/>
    <w:rsid w:val="00605377"/>
    <w:rsid w:val="0061661F"/>
    <w:rsid w:val="00640681"/>
    <w:rsid w:val="00652090"/>
    <w:rsid w:val="00655BD5"/>
    <w:rsid w:val="00661785"/>
    <w:rsid w:val="00661896"/>
    <w:rsid w:val="00662313"/>
    <w:rsid w:val="006761DC"/>
    <w:rsid w:val="006A2F1E"/>
    <w:rsid w:val="006E4A80"/>
    <w:rsid w:val="006E6549"/>
    <w:rsid w:val="00705076"/>
    <w:rsid w:val="00705E2B"/>
    <w:rsid w:val="00726466"/>
    <w:rsid w:val="00743941"/>
    <w:rsid w:val="00755846"/>
    <w:rsid w:val="007A6BC2"/>
    <w:rsid w:val="007D3538"/>
    <w:rsid w:val="007D6E0F"/>
    <w:rsid w:val="007D7EDA"/>
    <w:rsid w:val="007E18B2"/>
    <w:rsid w:val="007F04A5"/>
    <w:rsid w:val="007F4CAD"/>
    <w:rsid w:val="00811E15"/>
    <w:rsid w:val="008205E8"/>
    <w:rsid w:val="008440D6"/>
    <w:rsid w:val="008C2BDD"/>
    <w:rsid w:val="008C3E09"/>
    <w:rsid w:val="008D14DA"/>
    <w:rsid w:val="008E2555"/>
    <w:rsid w:val="008E4944"/>
    <w:rsid w:val="00900264"/>
    <w:rsid w:val="009072B7"/>
    <w:rsid w:val="00937AF7"/>
    <w:rsid w:val="00950431"/>
    <w:rsid w:val="00951BC2"/>
    <w:rsid w:val="009812E7"/>
    <w:rsid w:val="0098277E"/>
    <w:rsid w:val="00986AFB"/>
    <w:rsid w:val="009925BA"/>
    <w:rsid w:val="009A2550"/>
    <w:rsid w:val="009C2DA5"/>
    <w:rsid w:val="009E234F"/>
    <w:rsid w:val="009E25B8"/>
    <w:rsid w:val="009E752F"/>
    <w:rsid w:val="00A1055D"/>
    <w:rsid w:val="00A13E15"/>
    <w:rsid w:val="00A140EF"/>
    <w:rsid w:val="00A237EE"/>
    <w:rsid w:val="00A46801"/>
    <w:rsid w:val="00A645B7"/>
    <w:rsid w:val="00A7346A"/>
    <w:rsid w:val="00A9785E"/>
    <w:rsid w:val="00AA423B"/>
    <w:rsid w:val="00AA5794"/>
    <w:rsid w:val="00AC07A0"/>
    <w:rsid w:val="00AC26E2"/>
    <w:rsid w:val="00B170F3"/>
    <w:rsid w:val="00B1713F"/>
    <w:rsid w:val="00B22F26"/>
    <w:rsid w:val="00B24D3A"/>
    <w:rsid w:val="00B26721"/>
    <w:rsid w:val="00B27F4F"/>
    <w:rsid w:val="00B30ACE"/>
    <w:rsid w:val="00B32E05"/>
    <w:rsid w:val="00B34AB7"/>
    <w:rsid w:val="00B36130"/>
    <w:rsid w:val="00B457F9"/>
    <w:rsid w:val="00B518E2"/>
    <w:rsid w:val="00BA749D"/>
    <w:rsid w:val="00BC121A"/>
    <w:rsid w:val="00BC553D"/>
    <w:rsid w:val="00BD5F2F"/>
    <w:rsid w:val="00BD7E9F"/>
    <w:rsid w:val="00C00EC2"/>
    <w:rsid w:val="00C16625"/>
    <w:rsid w:val="00C22FEA"/>
    <w:rsid w:val="00C43D76"/>
    <w:rsid w:val="00C510F3"/>
    <w:rsid w:val="00C56192"/>
    <w:rsid w:val="00C61F0A"/>
    <w:rsid w:val="00C84D17"/>
    <w:rsid w:val="00C86D48"/>
    <w:rsid w:val="00C87BC7"/>
    <w:rsid w:val="00C91FC3"/>
    <w:rsid w:val="00C94D1E"/>
    <w:rsid w:val="00C97556"/>
    <w:rsid w:val="00CB48C0"/>
    <w:rsid w:val="00CC0114"/>
    <w:rsid w:val="00CC5FB5"/>
    <w:rsid w:val="00CC6470"/>
    <w:rsid w:val="00CD2B9C"/>
    <w:rsid w:val="00D00572"/>
    <w:rsid w:val="00D0629D"/>
    <w:rsid w:val="00D10AAF"/>
    <w:rsid w:val="00D22491"/>
    <w:rsid w:val="00D24726"/>
    <w:rsid w:val="00D25280"/>
    <w:rsid w:val="00D30009"/>
    <w:rsid w:val="00D32928"/>
    <w:rsid w:val="00D35C7A"/>
    <w:rsid w:val="00D401CF"/>
    <w:rsid w:val="00D40862"/>
    <w:rsid w:val="00D47B80"/>
    <w:rsid w:val="00D52881"/>
    <w:rsid w:val="00D628E0"/>
    <w:rsid w:val="00D76A96"/>
    <w:rsid w:val="00D80893"/>
    <w:rsid w:val="00D87A31"/>
    <w:rsid w:val="00DB47EC"/>
    <w:rsid w:val="00DB6EC0"/>
    <w:rsid w:val="00DC0B0B"/>
    <w:rsid w:val="00DC723F"/>
    <w:rsid w:val="00DF6DEC"/>
    <w:rsid w:val="00E87692"/>
    <w:rsid w:val="00EB3AAD"/>
    <w:rsid w:val="00EC64EE"/>
    <w:rsid w:val="00ED3491"/>
    <w:rsid w:val="00EE3271"/>
    <w:rsid w:val="00EF5368"/>
    <w:rsid w:val="00F20A41"/>
    <w:rsid w:val="00F24E01"/>
    <w:rsid w:val="00F36E99"/>
    <w:rsid w:val="00F3718B"/>
    <w:rsid w:val="00F427DB"/>
    <w:rsid w:val="00F4633B"/>
    <w:rsid w:val="00F471DC"/>
    <w:rsid w:val="00F65F3C"/>
    <w:rsid w:val="00F8361E"/>
    <w:rsid w:val="00FA203D"/>
    <w:rsid w:val="00FB401C"/>
    <w:rsid w:val="00FB5AA1"/>
    <w:rsid w:val="00FB685B"/>
    <w:rsid w:val="00FC44CD"/>
    <w:rsid w:val="00FC7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FDA3F"/>
  <w15:docId w15:val="{4FE2F598-5169-47B9-ADD9-7D4D5875B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F1D3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alibri" w:eastAsia="Times New Roman" w:hAnsi="Calibri" w:cs="Times New Roman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2F1D34"/>
    <w:pPr>
      <w:keepNext/>
      <w:jc w:val="both"/>
      <w:outlineLvl w:val="0"/>
    </w:pPr>
    <w:rPr>
      <w:rFonts w:asciiTheme="minorHAnsi" w:hAnsiTheme="minorHAnsi"/>
      <w:b/>
    </w:rPr>
  </w:style>
  <w:style w:type="paragraph" w:styleId="Nadpis2">
    <w:name w:val="heading 2"/>
    <w:basedOn w:val="Normln"/>
    <w:next w:val="Normln"/>
    <w:link w:val="Nadpis2Char"/>
    <w:qFormat/>
    <w:rsid w:val="002F1D34"/>
    <w:pPr>
      <w:keepNext/>
      <w:jc w:val="both"/>
      <w:outlineLvl w:val="1"/>
    </w:pPr>
    <w:rPr>
      <w:b/>
      <w:bCs/>
      <w:sz w:val="24"/>
      <w:u w:val="single"/>
    </w:rPr>
  </w:style>
  <w:style w:type="paragraph" w:styleId="Nadpis3">
    <w:name w:val="heading 3"/>
    <w:basedOn w:val="Normln"/>
    <w:next w:val="Normln"/>
    <w:link w:val="Nadpis3Char"/>
    <w:qFormat/>
    <w:rsid w:val="002F1D34"/>
    <w:pPr>
      <w:keepNext/>
      <w:spacing w:line="360" w:lineRule="auto"/>
      <w:jc w:val="center"/>
      <w:outlineLvl w:val="2"/>
    </w:pPr>
    <w:rPr>
      <w:rFonts w:asciiTheme="minorHAnsi" w:hAnsiTheme="minorHAnsi"/>
      <w:b/>
      <w:i/>
      <w:sz w:val="24"/>
    </w:rPr>
  </w:style>
  <w:style w:type="paragraph" w:styleId="Nadpis4">
    <w:name w:val="heading 4"/>
    <w:basedOn w:val="Normln"/>
    <w:next w:val="Normln"/>
    <w:link w:val="Nadpis4Char"/>
    <w:qFormat/>
    <w:rsid w:val="002F1D34"/>
    <w:pPr>
      <w:keepNext/>
      <w:jc w:val="center"/>
      <w:outlineLvl w:val="3"/>
    </w:pPr>
    <w:rPr>
      <w:b/>
      <w:bCs/>
      <w:sz w:val="28"/>
    </w:rPr>
  </w:style>
  <w:style w:type="paragraph" w:styleId="Nadpis5">
    <w:name w:val="heading 5"/>
    <w:basedOn w:val="Normln"/>
    <w:next w:val="Normln"/>
    <w:link w:val="Nadpis5Char"/>
    <w:qFormat/>
    <w:rsid w:val="002F1D34"/>
    <w:pPr>
      <w:keepNext/>
      <w:jc w:val="both"/>
      <w:outlineLvl w:val="4"/>
    </w:pPr>
    <w:rPr>
      <w:b/>
      <w:bCs/>
      <w:sz w:val="24"/>
    </w:rPr>
  </w:style>
  <w:style w:type="paragraph" w:styleId="Nadpis6">
    <w:name w:val="heading 6"/>
    <w:basedOn w:val="Normln"/>
    <w:next w:val="Normln"/>
    <w:link w:val="Nadpis6Char"/>
    <w:unhideWhenUsed/>
    <w:qFormat/>
    <w:rsid w:val="002F1D3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2F1D34"/>
    <w:rPr>
      <w:rFonts w:eastAsia="Times New Roman" w:cs="Times New Roman"/>
      <w:b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2F1D34"/>
    <w:rPr>
      <w:rFonts w:ascii="Calibri" w:eastAsia="Times New Roman" w:hAnsi="Calibri" w:cs="Times New Roman"/>
      <w:b/>
      <w:bCs/>
      <w:sz w:val="24"/>
      <w:szCs w:val="20"/>
      <w:u w:val="single"/>
      <w:lang w:eastAsia="cs-CZ"/>
    </w:rPr>
  </w:style>
  <w:style w:type="character" w:customStyle="1" w:styleId="Nadpis3Char">
    <w:name w:val="Nadpis 3 Char"/>
    <w:basedOn w:val="Standardnpsmoodstavce"/>
    <w:link w:val="Nadpis3"/>
    <w:rsid w:val="002F1D34"/>
    <w:rPr>
      <w:rFonts w:eastAsia="Times New Roman" w:cs="Times New Roman"/>
      <w:b/>
      <w:i/>
      <w:sz w:val="24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2F1D34"/>
    <w:rPr>
      <w:rFonts w:ascii="Calibri" w:eastAsia="Times New Roman" w:hAnsi="Calibri" w:cs="Times New Roman"/>
      <w:b/>
      <w:bCs/>
      <w:sz w:val="28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rsid w:val="002F1D34"/>
    <w:rPr>
      <w:rFonts w:ascii="Calibri" w:eastAsia="Times New Roman" w:hAnsi="Calibri" w:cs="Times New Roman"/>
      <w:b/>
      <w:bCs/>
      <w:sz w:val="24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rsid w:val="002F1D34"/>
    <w:rPr>
      <w:rFonts w:asciiTheme="majorHAnsi" w:eastAsiaTheme="majorEastAsia" w:hAnsiTheme="majorHAnsi" w:cstheme="majorBidi"/>
      <w:color w:val="243F60" w:themeColor="accent1" w:themeShade="7F"/>
      <w:szCs w:val="20"/>
      <w:lang w:eastAsia="cs-CZ"/>
    </w:rPr>
  </w:style>
  <w:style w:type="paragraph" w:styleId="Zkladntext">
    <w:name w:val="Body Text"/>
    <w:basedOn w:val="Normln"/>
    <w:link w:val="ZkladntextChar"/>
    <w:semiHidden/>
    <w:rsid w:val="002F1D34"/>
    <w:pPr>
      <w:jc w:val="both"/>
    </w:pPr>
    <w:rPr>
      <w:sz w:val="40"/>
    </w:rPr>
  </w:style>
  <w:style w:type="character" w:customStyle="1" w:styleId="ZkladntextChar">
    <w:name w:val="Základní text Char"/>
    <w:basedOn w:val="Standardnpsmoodstavce"/>
    <w:link w:val="Zkladntext"/>
    <w:semiHidden/>
    <w:rsid w:val="002F1D34"/>
    <w:rPr>
      <w:rFonts w:ascii="Calibri" w:eastAsia="Times New Roman" w:hAnsi="Calibri" w:cs="Times New Roman"/>
      <w:sz w:val="40"/>
      <w:szCs w:val="20"/>
      <w:lang w:eastAsia="cs-CZ"/>
    </w:rPr>
  </w:style>
  <w:style w:type="paragraph" w:styleId="Zkladntext2">
    <w:name w:val="Body Text 2"/>
    <w:basedOn w:val="Normln"/>
    <w:link w:val="Zkladntext2Char"/>
    <w:semiHidden/>
    <w:rsid w:val="002F1D34"/>
    <w:rPr>
      <w:sz w:val="40"/>
    </w:rPr>
  </w:style>
  <w:style w:type="character" w:customStyle="1" w:styleId="Zkladntext2Char">
    <w:name w:val="Základní text 2 Char"/>
    <w:basedOn w:val="Standardnpsmoodstavce"/>
    <w:link w:val="Zkladntext2"/>
    <w:semiHidden/>
    <w:rsid w:val="002F1D34"/>
    <w:rPr>
      <w:rFonts w:ascii="Calibri" w:eastAsia="Times New Roman" w:hAnsi="Calibri" w:cs="Times New Roman"/>
      <w:sz w:val="40"/>
      <w:szCs w:val="20"/>
      <w:lang w:eastAsia="cs-CZ"/>
    </w:rPr>
  </w:style>
  <w:style w:type="character" w:customStyle="1" w:styleId="nadpis10">
    <w:name w:val="nadpis1"/>
    <w:rsid w:val="002F1D34"/>
    <w:rPr>
      <w:b/>
      <w:bCs/>
    </w:rPr>
  </w:style>
  <w:style w:type="paragraph" w:styleId="Zhlav">
    <w:name w:val="header"/>
    <w:aliases w:val="hdr,hdr1,hdr2,hdr3,hdr4,hdr5,hdr6"/>
    <w:basedOn w:val="Normln"/>
    <w:link w:val="ZhlavChar"/>
    <w:uiPriority w:val="99"/>
    <w:rsid w:val="002F1D34"/>
    <w:pPr>
      <w:tabs>
        <w:tab w:val="center" w:pos="4536"/>
        <w:tab w:val="right" w:pos="9072"/>
      </w:tabs>
    </w:pPr>
  </w:style>
  <w:style w:type="character" w:customStyle="1" w:styleId="ZhlavChar">
    <w:name w:val="Záhlaví Char"/>
    <w:aliases w:val="hdr Char,hdr1 Char,hdr2 Char,hdr3 Char,hdr4 Char,hdr5 Char,hdr6 Char"/>
    <w:basedOn w:val="Standardnpsmoodstavce"/>
    <w:link w:val="Zhlav"/>
    <w:uiPriority w:val="99"/>
    <w:rsid w:val="002F1D34"/>
    <w:rPr>
      <w:rFonts w:ascii="Calibri" w:eastAsia="Times New Roman" w:hAnsi="Calibri" w:cs="Times New Roman"/>
      <w:szCs w:val="20"/>
      <w:lang w:eastAsia="cs-CZ"/>
    </w:rPr>
  </w:style>
  <w:style w:type="paragraph" w:styleId="Zpat">
    <w:name w:val="footer"/>
    <w:basedOn w:val="Normln"/>
    <w:link w:val="ZpatChar"/>
    <w:semiHidden/>
    <w:rsid w:val="002F1D3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semiHidden/>
    <w:rsid w:val="002F1D34"/>
    <w:rPr>
      <w:rFonts w:ascii="Calibri" w:eastAsia="Times New Roman" w:hAnsi="Calibri" w:cs="Times New Roman"/>
      <w:szCs w:val="20"/>
      <w:lang w:eastAsia="cs-CZ"/>
    </w:rPr>
  </w:style>
  <w:style w:type="character" w:styleId="slostrnky">
    <w:name w:val="page number"/>
    <w:basedOn w:val="Standardnpsmoodstavce"/>
    <w:semiHidden/>
    <w:rsid w:val="002F1D34"/>
  </w:style>
  <w:style w:type="paragraph" w:styleId="Zkladntext3">
    <w:name w:val="Body Text 3"/>
    <w:basedOn w:val="Normln"/>
    <w:link w:val="Zkladntext3Char"/>
    <w:semiHidden/>
    <w:rsid w:val="002F1D34"/>
    <w:pPr>
      <w:jc w:val="both"/>
    </w:pPr>
    <w:rPr>
      <w:rFonts w:ascii="Arial" w:hAnsi="Arial" w:cs="Arial"/>
      <w:b/>
      <w:bCs/>
      <w:sz w:val="32"/>
      <w:u w:val="single"/>
    </w:rPr>
  </w:style>
  <w:style w:type="character" w:customStyle="1" w:styleId="Zkladntext3Char">
    <w:name w:val="Základní text 3 Char"/>
    <w:basedOn w:val="Standardnpsmoodstavce"/>
    <w:link w:val="Zkladntext3"/>
    <w:semiHidden/>
    <w:rsid w:val="002F1D34"/>
    <w:rPr>
      <w:rFonts w:ascii="Arial" w:eastAsia="Times New Roman" w:hAnsi="Arial" w:cs="Arial"/>
      <w:b/>
      <w:bCs/>
      <w:sz w:val="32"/>
      <w:szCs w:val="20"/>
      <w:u w:val="single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rsid w:val="002F1D34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2F1D34"/>
    <w:rPr>
      <w:rFonts w:ascii="Calibri" w:eastAsia="Times New Roman" w:hAnsi="Calibri" w:cs="Times New Roman"/>
      <w:szCs w:val="20"/>
      <w:lang w:eastAsia="cs-CZ"/>
    </w:rPr>
  </w:style>
  <w:style w:type="character" w:styleId="Znakapoznpodarou">
    <w:name w:val="footnote reference"/>
    <w:semiHidden/>
    <w:rsid w:val="002F1D34"/>
    <w:rPr>
      <w:vertAlign w:val="superscript"/>
    </w:rPr>
  </w:style>
  <w:style w:type="character" w:styleId="Hypertextovodkaz">
    <w:name w:val="Hyperlink"/>
    <w:uiPriority w:val="99"/>
    <w:rsid w:val="002F1D34"/>
    <w:rPr>
      <w:color w:val="0000FF"/>
      <w:u w:val="single"/>
    </w:rPr>
  </w:style>
  <w:style w:type="character" w:styleId="Odkaznakoment">
    <w:name w:val="annotation reference"/>
    <w:uiPriority w:val="99"/>
    <w:semiHidden/>
    <w:unhideWhenUsed/>
    <w:rsid w:val="002F1D34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2F1D34"/>
  </w:style>
  <w:style w:type="character" w:customStyle="1" w:styleId="TextkomenteChar">
    <w:name w:val="Text komentáře Char"/>
    <w:basedOn w:val="Standardnpsmoodstavce"/>
    <w:link w:val="Textkomente"/>
    <w:rsid w:val="002F1D34"/>
    <w:rPr>
      <w:rFonts w:ascii="Calibri" w:eastAsia="Times New Roman" w:hAnsi="Calibri" w:cs="Times New Roman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2F1D3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2F1D34"/>
    <w:rPr>
      <w:rFonts w:ascii="Calibri" w:eastAsia="Times New Roman" w:hAnsi="Calibri" w:cs="Times New Roman"/>
      <w:b/>
      <w:bCs/>
      <w:szCs w:val="20"/>
      <w:lang w:eastAsia="cs-CZ"/>
    </w:rPr>
  </w:style>
  <w:style w:type="paragraph" w:styleId="Textbubliny">
    <w:name w:val="Balloon Text"/>
    <w:basedOn w:val="Normln"/>
    <w:link w:val="TextbublinyChar"/>
    <w:semiHidden/>
    <w:unhideWhenUsed/>
    <w:rsid w:val="002F1D3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rsid w:val="002F1D34"/>
    <w:rPr>
      <w:rFonts w:ascii="Tahoma" w:eastAsia="Times New Roman" w:hAnsi="Tahoma" w:cs="Tahoma"/>
      <w:sz w:val="16"/>
      <w:szCs w:val="16"/>
      <w:lang w:eastAsia="cs-CZ"/>
    </w:rPr>
  </w:style>
  <w:style w:type="paragraph" w:styleId="Revize">
    <w:name w:val="Revision"/>
    <w:hidden/>
    <w:uiPriority w:val="99"/>
    <w:semiHidden/>
    <w:rsid w:val="002F1D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aliases w:val="Barevný seznam – zvýraznění 11,Nad,Odstavec cíl se seznamem,Odstavec se seznamem1,Odstavec se seznamem5,Odstavec_muj"/>
    <w:basedOn w:val="Normln"/>
    <w:link w:val="OdstavecseseznamemChar"/>
    <w:uiPriority w:val="34"/>
    <w:qFormat/>
    <w:rsid w:val="002F1D34"/>
    <w:pPr>
      <w:ind w:left="720"/>
      <w:contextualSpacing/>
    </w:pPr>
  </w:style>
  <w:style w:type="paragraph" w:styleId="Zkladntextodsazen">
    <w:name w:val="Body Text Indent"/>
    <w:basedOn w:val="Normln"/>
    <w:link w:val="ZkladntextodsazenChar"/>
    <w:unhideWhenUsed/>
    <w:rsid w:val="002F1D34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2F1D34"/>
    <w:rPr>
      <w:rFonts w:ascii="Calibri" w:eastAsia="Times New Roman" w:hAnsi="Calibri" w:cs="Times New Roman"/>
      <w:szCs w:val="20"/>
      <w:lang w:eastAsia="cs-CZ"/>
    </w:rPr>
  </w:style>
  <w:style w:type="paragraph" w:styleId="Zkladntextodsazen2">
    <w:name w:val="Body Text Indent 2"/>
    <w:basedOn w:val="Normln"/>
    <w:link w:val="Zkladntextodsazen2Char"/>
    <w:semiHidden/>
    <w:unhideWhenUsed/>
    <w:rsid w:val="002F1D34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2F1D34"/>
    <w:rPr>
      <w:rFonts w:ascii="Calibri" w:eastAsia="Times New Roman" w:hAnsi="Calibri" w:cs="Times New Roman"/>
      <w:szCs w:val="20"/>
      <w:lang w:eastAsia="cs-CZ"/>
    </w:rPr>
  </w:style>
  <w:style w:type="character" w:styleId="Zdraznn">
    <w:name w:val="Emphasis"/>
    <w:qFormat/>
    <w:rsid w:val="002F1D34"/>
    <w:rPr>
      <w:i/>
      <w:iCs/>
    </w:rPr>
  </w:style>
  <w:style w:type="paragraph" w:styleId="Zkladntextodsazen3">
    <w:name w:val="Body Text Indent 3"/>
    <w:basedOn w:val="Normln"/>
    <w:link w:val="Zkladntextodsazen3Char"/>
    <w:semiHidden/>
    <w:rsid w:val="002F1D34"/>
    <w:pPr>
      <w:ind w:left="709"/>
    </w:pPr>
    <w:rPr>
      <w:rFonts w:ascii="Arial" w:hAnsi="Arial" w:cs="Arial"/>
      <w:sz w:val="24"/>
    </w:rPr>
  </w:style>
  <w:style w:type="character" w:customStyle="1" w:styleId="Zkladntextodsazen3Char">
    <w:name w:val="Základní text odsazený 3 Char"/>
    <w:basedOn w:val="Standardnpsmoodstavce"/>
    <w:link w:val="Zkladntextodsazen3"/>
    <w:semiHidden/>
    <w:rsid w:val="002F1D34"/>
    <w:rPr>
      <w:rFonts w:ascii="Arial" w:eastAsia="Times New Roman" w:hAnsi="Arial" w:cs="Arial"/>
      <w:sz w:val="24"/>
      <w:szCs w:val="20"/>
      <w:lang w:eastAsia="cs-CZ"/>
    </w:rPr>
  </w:style>
  <w:style w:type="paragraph" w:styleId="Nzev">
    <w:name w:val="Title"/>
    <w:basedOn w:val="Normln"/>
    <w:link w:val="NzevChar"/>
    <w:qFormat/>
    <w:rsid w:val="002F1D34"/>
    <w:pPr>
      <w:jc w:val="center"/>
    </w:pPr>
    <w:rPr>
      <w:rFonts w:ascii="Arial" w:hAnsi="Arial"/>
      <w:b/>
    </w:rPr>
  </w:style>
  <w:style w:type="character" w:customStyle="1" w:styleId="NzevChar">
    <w:name w:val="Název Char"/>
    <w:basedOn w:val="Standardnpsmoodstavce"/>
    <w:link w:val="Nzev"/>
    <w:rsid w:val="002F1D34"/>
    <w:rPr>
      <w:rFonts w:ascii="Arial" w:eastAsia="Times New Roman" w:hAnsi="Arial" w:cs="Times New Roman"/>
      <w:b/>
      <w:szCs w:val="20"/>
      <w:lang w:eastAsia="cs-CZ"/>
    </w:rPr>
  </w:style>
  <w:style w:type="paragraph" w:customStyle="1" w:styleId="Styl1">
    <w:name w:val="Styl1"/>
    <w:basedOn w:val="Nadpis1"/>
    <w:rsid w:val="002F1D34"/>
    <w:pPr>
      <w:numPr>
        <w:numId w:val="1"/>
      </w:numPr>
      <w:overflowPunct/>
      <w:autoSpaceDE/>
      <w:autoSpaceDN/>
      <w:adjustRightInd/>
      <w:spacing w:before="360"/>
      <w:jc w:val="left"/>
      <w:textAlignment w:val="auto"/>
    </w:pPr>
    <w:rPr>
      <w:rFonts w:ascii="Arial" w:hAnsi="Arial"/>
      <w:b w:val="0"/>
    </w:rPr>
  </w:style>
  <w:style w:type="paragraph" w:customStyle="1" w:styleId="OPPINadpis1">
    <w:name w:val="OPPINadpis1"/>
    <w:basedOn w:val="Normln"/>
    <w:rsid w:val="002F1D34"/>
    <w:pPr>
      <w:numPr>
        <w:numId w:val="2"/>
      </w:numPr>
      <w:overflowPunct/>
      <w:autoSpaceDE/>
      <w:autoSpaceDN/>
      <w:adjustRightInd/>
      <w:textAlignment w:val="auto"/>
    </w:pPr>
    <w:rPr>
      <w:b/>
      <w:sz w:val="24"/>
      <w:szCs w:val="24"/>
    </w:rPr>
  </w:style>
  <w:style w:type="paragraph" w:customStyle="1" w:styleId="OPPINadpis2">
    <w:name w:val="OPPINadpis2"/>
    <w:basedOn w:val="OPPINadpis1"/>
    <w:rsid w:val="002F1D34"/>
    <w:pPr>
      <w:numPr>
        <w:ilvl w:val="1"/>
      </w:numPr>
    </w:pPr>
  </w:style>
  <w:style w:type="paragraph" w:customStyle="1" w:styleId="OPPINadpis3">
    <w:name w:val="OPPINadpis3"/>
    <w:basedOn w:val="OPPINadpis2"/>
    <w:rsid w:val="002F1D34"/>
    <w:pPr>
      <w:numPr>
        <w:ilvl w:val="2"/>
      </w:numPr>
      <w:tabs>
        <w:tab w:val="num" w:pos="2160"/>
      </w:tabs>
      <w:ind w:left="2160" w:hanging="180"/>
    </w:pPr>
    <w:rPr>
      <w:b w:val="0"/>
    </w:rPr>
  </w:style>
  <w:style w:type="paragraph" w:customStyle="1" w:styleId="OPPINadpis4">
    <w:name w:val="OPPINadpis4"/>
    <w:basedOn w:val="OPPINadpis3"/>
    <w:rsid w:val="002F1D34"/>
    <w:pPr>
      <w:numPr>
        <w:ilvl w:val="3"/>
      </w:numPr>
      <w:tabs>
        <w:tab w:val="num" w:pos="2160"/>
      </w:tabs>
      <w:ind w:left="2160" w:hanging="180"/>
    </w:pPr>
  </w:style>
  <w:style w:type="paragraph" w:customStyle="1" w:styleId="normln0">
    <w:name w:val="normální"/>
    <w:basedOn w:val="Normln"/>
    <w:rsid w:val="002F1D34"/>
    <w:pPr>
      <w:tabs>
        <w:tab w:val="left" w:pos="0"/>
      </w:tabs>
      <w:spacing w:line="360" w:lineRule="auto"/>
      <w:jc w:val="both"/>
    </w:pPr>
    <w:rPr>
      <w:rFonts w:ascii="Arial" w:hAnsi="Arial"/>
      <w:bCs/>
      <w:sz w:val="24"/>
    </w:rPr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2F1D34"/>
    <w:pPr>
      <w:pBdr>
        <w:bottom w:val="single" w:sz="6" w:space="1" w:color="auto"/>
      </w:pBdr>
      <w:overflowPunct/>
      <w:autoSpaceDE/>
      <w:autoSpaceDN/>
      <w:adjustRightInd/>
      <w:jc w:val="center"/>
      <w:textAlignment w:val="auto"/>
    </w:pPr>
    <w:rPr>
      <w:rFonts w:ascii="Arial" w:hAnsi="Arial" w:cs="Arial"/>
      <w:vanish/>
      <w:sz w:val="16"/>
      <w:szCs w:val="16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2F1D34"/>
    <w:rPr>
      <w:rFonts w:ascii="Arial" w:eastAsia="Times New Roman" w:hAnsi="Arial" w:cs="Arial"/>
      <w:vanish/>
      <w:sz w:val="16"/>
      <w:szCs w:val="16"/>
      <w:lang w:eastAsia="cs-CZ"/>
    </w:rPr>
  </w:style>
  <w:style w:type="table" w:styleId="Mkatabulky">
    <w:name w:val="Table Grid"/>
    <w:basedOn w:val="Normlntabulka"/>
    <w:uiPriority w:val="59"/>
    <w:rsid w:val="002F1D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F1D3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character" w:styleId="PromnnHTML">
    <w:name w:val="HTML Variable"/>
    <w:basedOn w:val="Standardnpsmoodstavce"/>
    <w:uiPriority w:val="99"/>
    <w:semiHidden/>
    <w:unhideWhenUsed/>
    <w:rsid w:val="002F1D34"/>
    <w:rPr>
      <w:b/>
      <w:bCs/>
      <w:i w:val="0"/>
      <w:iCs w:val="0"/>
    </w:rPr>
  </w:style>
  <w:style w:type="character" w:styleId="Zstupntext">
    <w:name w:val="Placeholder Text"/>
    <w:basedOn w:val="Standardnpsmoodstavce"/>
    <w:uiPriority w:val="99"/>
    <w:semiHidden/>
    <w:rsid w:val="002F1D34"/>
    <w:rPr>
      <w:rFonts w:cs="Times New Roman"/>
      <w:color w:val="808080"/>
    </w:rPr>
  </w:style>
  <w:style w:type="paragraph" w:customStyle="1" w:styleId="StylzarovnnnastedPed482b">
    <w:name w:val="Styl zarovnání na střed Před:  482 b."/>
    <w:basedOn w:val="Normln"/>
    <w:rsid w:val="002F1D34"/>
    <w:pPr>
      <w:overflowPunct/>
      <w:autoSpaceDE/>
      <w:autoSpaceDN/>
      <w:adjustRightInd/>
      <w:spacing w:before="1134" w:line="340" w:lineRule="exact"/>
      <w:jc w:val="center"/>
      <w:textAlignment w:val="auto"/>
    </w:pPr>
    <w:rPr>
      <w:rFonts w:asciiTheme="minorHAnsi" w:hAnsiTheme="minorHAnsi"/>
      <w:lang w:eastAsia="en-US"/>
    </w:rPr>
  </w:style>
  <w:style w:type="character" w:customStyle="1" w:styleId="OdstavecseseznamemChar">
    <w:name w:val="Odstavec se seznamem Char"/>
    <w:aliases w:val="Barevný seznam – zvýraznění 11 Char,Nad Char,Odstavec cíl se seznamem Char,Odstavec se seznamem1 Char,Odstavec se seznamem5 Char,Odstavec_muj Char"/>
    <w:link w:val="Odstavecseseznamem"/>
    <w:uiPriority w:val="34"/>
    <w:locked/>
    <w:rsid w:val="002F1D34"/>
    <w:rPr>
      <w:rFonts w:ascii="Calibri" w:eastAsia="Times New Roman" w:hAnsi="Calibri" w:cs="Times New Roman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sir.justice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ov.gov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26A891-1972-41E5-9AAB-EF7F7010A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17</Pages>
  <Words>6280</Words>
  <Characters>37058</Characters>
  <Application>Microsoft Office Word</Application>
  <DocSecurity>0</DocSecurity>
  <Lines>308</Lines>
  <Paragraphs>86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Enriqua</dc:creator>
  <cp:lastModifiedBy>Nikol</cp:lastModifiedBy>
  <cp:revision>4</cp:revision>
  <dcterms:created xsi:type="dcterms:W3CDTF">2021-03-19T07:47:00Z</dcterms:created>
  <dcterms:modified xsi:type="dcterms:W3CDTF">2021-03-22T11:43:00Z</dcterms:modified>
</cp:coreProperties>
</file>