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BA" w:rsidRDefault="002A6B86">
      <w:pPr>
        <w:pStyle w:val="Zkladntext"/>
        <w:tabs>
          <w:tab w:val="left" w:pos="5340"/>
        </w:tabs>
        <w:ind w:left="126"/>
        <w:rPr>
          <w:rFonts w:ascii="Times New Roman"/>
        </w:rPr>
      </w:pPr>
      <w:r>
        <w:rPr>
          <w:rFonts w:ascii="Times New Roman"/>
          <w:noProof/>
          <w:lang w:val="cs-CZ" w:eastAsia="cs-CZ"/>
        </w:rPr>
        <w:drawing>
          <wp:inline distT="0" distB="0" distL="0" distR="0">
            <wp:extent cx="2452859" cy="8437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859" cy="84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position w:val="42"/>
        </w:rPr>
      </w:r>
      <w:r>
        <w:rPr>
          <w:rFonts w:ascii="Times New Roman"/>
          <w:position w:val="42"/>
        </w:rPr>
        <w:pict>
          <v:group id="_x0000_s1059" style="width:134.65pt;height:51.95pt;mso-position-horizontal-relative:char;mso-position-vertical-relative:line" coordsize="2693,1039">
            <v:rect id="_x0000_s1062" style="position:absolute;top:21;width:2693;height:1017" fillcolor="#fefef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20;width:1072;height:1019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top:21;width:2693;height:1017" filled="f" stroked="f">
              <v:textbox inset="0,0,0,0">
                <w:txbxContent>
                  <w:p w:rsidR="003A71BA" w:rsidRDefault="002A6B86">
                    <w:pPr>
                      <w:spacing w:before="78" w:line="228" w:lineRule="auto"/>
                      <w:ind w:left="1100" w:right="-44"/>
                      <w:rPr>
                        <w:sz w:val="11"/>
                      </w:rPr>
                    </w:pPr>
                    <w:r>
                      <w:rPr>
                        <w:sz w:val="11"/>
                      </w:rPr>
                      <w:t>prof. RNDr. Jaroslav Koča, DrSc. DN: P273020, Jaroslav, Koča, "prof. RNDr. Jaroslav Koča, DrSc.", 009, GRANTOVÁ AGENTURA</w:t>
                    </w:r>
                    <w:r>
                      <w:rPr>
                        <w:spacing w:val="-18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ČESKÉ</w:t>
                    </w:r>
                    <w:r>
                      <w:rPr>
                        <w:spacing w:val="-17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REPUBLIKY NTRCZ-48549037, CZ 20.04.2021</w:t>
                    </w:r>
                    <w:r>
                      <w:rPr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sz w:val="11"/>
                      </w:rPr>
                      <w:t>15:52:48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A71BA" w:rsidRDefault="003A71BA">
      <w:pPr>
        <w:pStyle w:val="Zkladntext"/>
        <w:spacing w:before="10"/>
        <w:rPr>
          <w:rFonts w:ascii="Times New Roman"/>
          <w:sz w:val="3"/>
        </w:rPr>
      </w:pPr>
    </w:p>
    <w:p w:rsidR="003A71BA" w:rsidRDefault="002A6B86">
      <w:pPr>
        <w:pStyle w:val="Zkladntext"/>
        <w:spacing w:line="78" w:lineRule="exact"/>
        <w:ind w:left="102"/>
        <w:rPr>
          <w:rFonts w:ascii="Times New Roman"/>
          <w:sz w:val="7"/>
        </w:rPr>
      </w:pPr>
      <w:r>
        <w:rPr>
          <w:rFonts w:ascii="Times New Roman"/>
          <w:position w:val="-1"/>
          <w:sz w:val="7"/>
        </w:rPr>
      </w:r>
      <w:r>
        <w:rPr>
          <w:rFonts w:ascii="Times New Roman"/>
          <w:position w:val="-1"/>
          <w:sz w:val="7"/>
        </w:rPr>
        <w:pict>
          <v:group id="_x0000_s1055" style="width:511.55pt;height:2.35pt;mso-position-horizontal-relative:char;mso-position-vertical-relative:line" coordsize="10231,47">
            <v:line id="_x0000_s1058" style="position:absolute" from="8,8" to="10223,8" strokeweight=".27128mm"/>
            <v:line id="_x0000_s1057" style="position:absolute" from="0,23" to="10231,23" strokeweight=".81456mm"/>
            <v:line id="_x0000_s1056" style="position:absolute" from="10223,8" to="10223,38" strokeweight=".27128mm"/>
            <w10:wrap type="none"/>
            <w10:anchorlock/>
          </v:group>
        </w:pict>
      </w:r>
    </w:p>
    <w:p w:rsidR="003A71BA" w:rsidRDefault="003A71BA">
      <w:pPr>
        <w:pStyle w:val="Zkladntext"/>
        <w:spacing w:before="10"/>
        <w:rPr>
          <w:rFonts w:ascii="Times New Roman"/>
          <w:sz w:val="9"/>
        </w:rPr>
      </w:pPr>
    </w:p>
    <w:p w:rsidR="003A71BA" w:rsidRDefault="002A6B86">
      <w:pPr>
        <w:pStyle w:val="Nadpis1"/>
        <w:spacing w:before="138" w:line="304" w:lineRule="auto"/>
        <w:ind w:left="4526" w:hanging="4277"/>
      </w:pPr>
      <w:r>
        <w:t>Dodatek č. 1 z roku 2021 ke Smlouvě o poskytnutí dotace na podporu grantového projektu č. 20-07487S panelu č. P103</w:t>
      </w:r>
    </w:p>
    <w:p w:rsidR="003A71BA" w:rsidRDefault="003A71BA">
      <w:pPr>
        <w:pStyle w:val="Zkladntext"/>
        <w:rPr>
          <w:b/>
        </w:rPr>
      </w:pPr>
    </w:p>
    <w:p w:rsidR="003A71BA" w:rsidRDefault="003A71BA">
      <w:pPr>
        <w:sectPr w:rsidR="003A71BA">
          <w:footerReference w:type="default" r:id="rId9"/>
          <w:type w:val="continuous"/>
          <w:pgSz w:w="11910" w:h="16840"/>
          <w:pgMar w:top="700" w:right="700" w:bottom="500" w:left="720" w:header="708" w:footer="307" w:gutter="0"/>
          <w:pgNumType w:start="1"/>
          <w:cols w:space="708"/>
        </w:sectPr>
      </w:pPr>
    </w:p>
    <w:p w:rsidR="003A71BA" w:rsidRDefault="003A71BA">
      <w:pPr>
        <w:pStyle w:val="Zkladntext"/>
        <w:spacing w:before="6"/>
        <w:rPr>
          <w:b/>
          <w:sz w:val="25"/>
        </w:rPr>
      </w:pPr>
    </w:p>
    <w:p w:rsidR="003A71BA" w:rsidRDefault="002A6B86">
      <w:pPr>
        <w:pStyle w:val="Zkladntext"/>
        <w:jc w:val="right"/>
      </w:pPr>
      <w:r>
        <w:rPr>
          <w:w w:val="95"/>
        </w:rPr>
        <w:t>Strany</w:t>
      </w:r>
    </w:p>
    <w:p w:rsidR="003A71BA" w:rsidRDefault="003A71BA">
      <w:pPr>
        <w:pStyle w:val="Zkladntext"/>
        <w:spacing w:before="5"/>
        <w:rPr>
          <w:sz w:val="25"/>
        </w:rPr>
      </w:pPr>
    </w:p>
    <w:p w:rsidR="003A71BA" w:rsidRDefault="002A6B86">
      <w:pPr>
        <w:pStyle w:val="Zkladntext"/>
        <w:ind w:right="86"/>
        <w:jc w:val="right"/>
      </w:pPr>
      <w:r>
        <w:rPr>
          <w:spacing w:val="-1"/>
        </w:rPr>
        <w:t>1.</w:t>
      </w:r>
    </w:p>
    <w:p w:rsidR="003A71BA" w:rsidRDefault="002A6B86">
      <w:pPr>
        <w:pStyle w:val="Zkladntext"/>
        <w:rPr>
          <w:sz w:val="28"/>
        </w:rPr>
      </w:pPr>
      <w:r>
        <w:br w:type="column"/>
      </w:r>
    </w:p>
    <w:p w:rsidR="003A71BA" w:rsidRDefault="003A71BA">
      <w:pPr>
        <w:pStyle w:val="Zkladntext"/>
        <w:rPr>
          <w:sz w:val="28"/>
        </w:rPr>
      </w:pPr>
    </w:p>
    <w:p w:rsidR="003A71BA" w:rsidRDefault="002A6B86">
      <w:pPr>
        <w:pStyle w:val="Nadpis1"/>
        <w:spacing w:before="172"/>
        <w:ind w:left="-3"/>
      </w:pPr>
      <w:r>
        <w:t>Česká republika – Grantová agentura České republiky</w:t>
      </w:r>
    </w:p>
    <w:p w:rsidR="003A71BA" w:rsidRDefault="002A6B86">
      <w:pPr>
        <w:spacing w:before="63"/>
        <w:ind w:left="-3"/>
        <w:rPr>
          <w:b/>
          <w:sz w:val="20"/>
        </w:rPr>
      </w:pPr>
      <w:r>
        <w:rPr>
          <w:sz w:val="20"/>
        </w:rPr>
        <w:t xml:space="preserve">se sídlem: </w:t>
      </w:r>
      <w:r>
        <w:rPr>
          <w:b/>
          <w:sz w:val="20"/>
        </w:rPr>
        <w:t>Evropská 2589/33b, 160 00 Praha 6</w:t>
      </w:r>
    </w:p>
    <w:p w:rsidR="003A71BA" w:rsidRDefault="002A6B86">
      <w:pPr>
        <w:spacing w:before="62"/>
        <w:ind w:left="-3"/>
        <w:rPr>
          <w:b/>
          <w:sz w:val="20"/>
        </w:rPr>
      </w:pPr>
      <w:r>
        <w:rPr>
          <w:sz w:val="20"/>
        </w:rPr>
        <w:t xml:space="preserve">IČO: </w:t>
      </w:r>
      <w:r>
        <w:rPr>
          <w:b/>
          <w:sz w:val="20"/>
        </w:rPr>
        <w:t>48549037</w:t>
      </w:r>
    </w:p>
    <w:p w:rsidR="003A71BA" w:rsidRDefault="002A6B86">
      <w:pPr>
        <w:pStyle w:val="Zkladntext"/>
        <w:spacing w:before="62" w:line="304" w:lineRule="auto"/>
        <w:ind w:left="-3" w:right="1490"/>
      </w:pPr>
      <w:r>
        <w:t xml:space="preserve">Zastoupená: prof. RNDr. Jaroslav Koča, DrSc., předseda Grantové agentury České republiky (dále jen „ </w:t>
      </w:r>
      <w:r>
        <w:rPr>
          <w:b/>
        </w:rPr>
        <w:t>Poskytovatel</w:t>
      </w:r>
      <w:r>
        <w:t>“)</w:t>
      </w:r>
    </w:p>
    <w:p w:rsidR="003A71BA" w:rsidRDefault="003A71BA">
      <w:pPr>
        <w:spacing w:line="304" w:lineRule="auto"/>
        <w:sectPr w:rsidR="003A71BA">
          <w:type w:val="continuous"/>
          <w:pgSz w:w="11910" w:h="16840"/>
          <w:pgMar w:top="700" w:right="700" w:bottom="500" w:left="720" w:header="708" w:footer="708" w:gutter="0"/>
          <w:cols w:num="2" w:space="708" w:equalWidth="0">
            <w:col w:w="705" w:space="40"/>
            <w:col w:w="9745"/>
          </w:cols>
        </w:sectPr>
      </w:pPr>
    </w:p>
    <w:p w:rsidR="003A71BA" w:rsidRDefault="003A71BA">
      <w:pPr>
        <w:pStyle w:val="Zkladntext"/>
        <w:spacing w:before="1"/>
        <w:rPr>
          <w:sz w:val="13"/>
        </w:rPr>
      </w:pPr>
    </w:p>
    <w:p w:rsidR="003A71BA" w:rsidRDefault="002A6B86">
      <w:pPr>
        <w:pStyle w:val="Zkladntext"/>
        <w:spacing w:before="143"/>
        <w:ind w:left="741"/>
      </w:pPr>
      <w:r>
        <w:rPr>
          <w:w w:val="99"/>
        </w:rPr>
        <w:t>a</w:t>
      </w:r>
    </w:p>
    <w:p w:rsidR="003A71BA" w:rsidRDefault="003A71BA">
      <w:pPr>
        <w:pStyle w:val="Zkladntext"/>
        <w:spacing w:before="5"/>
        <w:rPr>
          <w:sz w:val="18"/>
        </w:rPr>
      </w:pPr>
    </w:p>
    <w:p w:rsidR="003A71BA" w:rsidRDefault="002A6B86">
      <w:pPr>
        <w:pStyle w:val="Nadpis1"/>
        <w:spacing w:before="142"/>
        <w:ind w:left="449"/>
      </w:pPr>
      <w:r>
        <w:rPr>
          <w:b w:val="0"/>
        </w:rPr>
        <w:t xml:space="preserve">2. </w:t>
      </w:r>
      <w:r>
        <w:t>Vysoké učení technické v Brně</w:t>
      </w:r>
    </w:p>
    <w:p w:rsidR="003A71BA" w:rsidRDefault="002A6B86">
      <w:pPr>
        <w:spacing w:before="63"/>
        <w:ind w:left="741"/>
        <w:rPr>
          <w:b/>
          <w:sz w:val="20"/>
        </w:rPr>
      </w:pPr>
      <w:r>
        <w:rPr>
          <w:sz w:val="20"/>
        </w:rPr>
        <w:t xml:space="preserve">se sídlem: </w:t>
      </w:r>
      <w:r>
        <w:rPr>
          <w:b/>
          <w:sz w:val="20"/>
        </w:rPr>
        <w:t>Antonínská 548/1, 601 90 Brno, CZ</w:t>
      </w:r>
    </w:p>
    <w:p w:rsidR="003A71BA" w:rsidRDefault="002A6B86">
      <w:pPr>
        <w:spacing w:before="62"/>
        <w:ind w:left="741"/>
        <w:rPr>
          <w:b/>
          <w:sz w:val="20"/>
        </w:rPr>
      </w:pPr>
      <w:r>
        <w:rPr>
          <w:sz w:val="20"/>
        </w:rPr>
        <w:t xml:space="preserve">IČO: </w:t>
      </w:r>
      <w:r>
        <w:rPr>
          <w:b/>
          <w:sz w:val="20"/>
        </w:rPr>
        <w:t>00216305</w:t>
      </w:r>
    </w:p>
    <w:p w:rsidR="003A71BA" w:rsidRDefault="002A6B86">
      <w:pPr>
        <w:spacing w:before="62" w:line="304" w:lineRule="auto"/>
        <w:ind w:left="741" w:right="5060"/>
        <w:rPr>
          <w:b/>
          <w:sz w:val="20"/>
        </w:rPr>
      </w:pPr>
      <w:r>
        <w:rPr>
          <w:sz w:val="20"/>
        </w:rPr>
        <w:t xml:space="preserve">Zastoupený(á): prof. RNDr. Ing. Petr Štěpánek, CSc. č. účtu: </w:t>
      </w:r>
      <w:r>
        <w:rPr>
          <w:b/>
          <w:sz w:val="20"/>
        </w:rPr>
        <w:t>94-37220621/0710</w:t>
      </w:r>
    </w:p>
    <w:p w:rsidR="003A71BA" w:rsidRDefault="002A6B86">
      <w:pPr>
        <w:spacing w:before="1"/>
        <w:ind w:left="741"/>
        <w:rPr>
          <w:sz w:val="20"/>
        </w:rPr>
      </w:pPr>
      <w:r>
        <w:rPr>
          <w:sz w:val="20"/>
        </w:rPr>
        <w:t xml:space="preserve">(dále jen „ </w:t>
      </w:r>
      <w:r>
        <w:rPr>
          <w:b/>
          <w:sz w:val="20"/>
        </w:rPr>
        <w:t>Příjemce</w:t>
      </w:r>
      <w:r>
        <w:rPr>
          <w:sz w:val="20"/>
        </w:rPr>
        <w:t>“)</w:t>
      </w:r>
    </w:p>
    <w:p w:rsidR="003A71BA" w:rsidRDefault="003A71BA">
      <w:pPr>
        <w:pStyle w:val="Zkladntext"/>
        <w:spacing w:before="9"/>
        <w:rPr>
          <w:sz w:val="30"/>
        </w:rPr>
      </w:pPr>
    </w:p>
    <w:p w:rsidR="003A71BA" w:rsidRDefault="002A6B86">
      <w:pPr>
        <w:pStyle w:val="Zkladntext"/>
        <w:ind w:left="741"/>
      </w:pPr>
      <w:r>
        <w:t>uzavřely dnešního dne tento</w:t>
      </w:r>
    </w:p>
    <w:p w:rsidR="003A71BA" w:rsidRDefault="003A71BA">
      <w:pPr>
        <w:pStyle w:val="Zkladntext"/>
        <w:spacing w:before="6"/>
        <w:rPr>
          <w:sz w:val="25"/>
        </w:rPr>
      </w:pPr>
    </w:p>
    <w:p w:rsidR="003A71BA" w:rsidRDefault="002A6B86">
      <w:pPr>
        <w:pStyle w:val="Nadpis1"/>
        <w:spacing w:line="544" w:lineRule="auto"/>
        <w:ind w:left="4233" w:right="1018" w:hanging="3339"/>
      </w:pPr>
      <w:r>
        <w:t>dodatek č. 1 z roku 2021 ke Smlouvě o poskytnutí dotace na podporu grantového</w:t>
      </w:r>
      <w:r>
        <w:t xml:space="preserve"> projektu (dále jen „Dodatek“):</w:t>
      </w:r>
    </w:p>
    <w:p w:rsidR="003A71BA" w:rsidRDefault="002A6B86">
      <w:pPr>
        <w:spacing w:before="2"/>
        <w:ind w:left="5089" w:right="5118"/>
        <w:jc w:val="center"/>
        <w:rPr>
          <w:b/>
          <w:sz w:val="20"/>
        </w:rPr>
      </w:pPr>
      <w:r>
        <w:rPr>
          <w:b/>
          <w:sz w:val="20"/>
        </w:rPr>
        <w:t>I.</w:t>
      </w:r>
    </w:p>
    <w:p w:rsidR="003A71BA" w:rsidRDefault="003A71BA">
      <w:pPr>
        <w:pStyle w:val="Zkladntext"/>
        <w:spacing w:before="6"/>
        <w:rPr>
          <w:b/>
          <w:sz w:val="25"/>
        </w:rPr>
      </w:pPr>
    </w:p>
    <w:p w:rsidR="003A71BA" w:rsidRDefault="002A6B86">
      <w:pPr>
        <w:pStyle w:val="Odstavecseseznamem"/>
        <w:numPr>
          <w:ilvl w:val="0"/>
          <w:numId w:val="3"/>
        </w:numPr>
        <w:tabs>
          <w:tab w:val="left" w:pos="742"/>
        </w:tabs>
        <w:spacing w:line="304" w:lineRule="auto"/>
        <w:ind w:right="199"/>
        <w:rPr>
          <w:sz w:val="20"/>
        </w:rPr>
      </w:pPr>
      <w:r>
        <w:rPr>
          <w:sz w:val="20"/>
        </w:rPr>
        <w:t xml:space="preserve">Mezi shora uvedenými stranami byla uzavřena Smlouva o poskytnutí dotace na podporu grantového projektu č. </w:t>
      </w:r>
      <w:r>
        <w:rPr>
          <w:b/>
          <w:sz w:val="20"/>
        </w:rPr>
        <w:t xml:space="preserve">20-07487S </w:t>
      </w:r>
      <w:r>
        <w:rPr>
          <w:sz w:val="20"/>
        </w:rPr>
        <w:t xml:space="preserve">(dále jen „ </w:t>
      </w:r>
      <w:r>
        <w:rPr>
          <w:b/>
          <w:sz w:val="20"/>
        </w:rPr>
        <w:t>Smlouva</w:t>
      </w:r>
      <w:r>
        <w:rPr>
          <w:sz w:val="20"/>
        </w:rPr>
        <w:t xml:space="preserve">“), jejímž předmětem bylo řešení grantového projektu (dále jen „ </w:t>
      </w:r>
      <w:r>
        <w:rPr>
          <w:b/>
          <w:sz w:val="20"/>
        </w:rPr>
        <w:t>Projekt</w:t>
      </w:r>
      <w:r>
        <w:rPr>
          <w:sz w:val="20"/>
        </w:rPr>
        <w:t>“):</w:t>
      </w:r>
    </w:p>
    <w:p w:rsidR="003A71BA" w:rsidRDefault="002A6B86">
      <w:pPr>
        <w:pStyle w:val="Nadpis1"/>
        <w:spacing w:line="304" w:lineRule="auto"/>
        <w:ind w:left="1356" w:right="283"/>
      </w:pPr>
      <w:r>
        <w:pict>
          <v:shape id="_x0000_s1054" style="position:absolute;left:0;text-align:left;margin-left:90pt;margin-top:1.7pt;width:4.65pt;height:4.65pt;z-index:251661312;mso-position-horizontal-relative:page" coordorigin="1800,34" coordsize="93,93" path="m1846,34r-18,3l1814,47r-10,15l1800,80r4,18l1814,113r14,10l1846,126r18,-3l1879,113r10,-15l1892,80r-3,-18l1879,47,1864,37r-18,-3xe" fillcolor="black" stroked="f">
            <v:path arrowok="t"/>
            <w10:wrap anchorx="page"/>
          </v:shape>
        </w:pict>
      </w:r>
      <w:r>
        <w:rPr>
          <w:b w:val="0"/>
        </w:rPr>
        <w:t xml:space="preserve">Název Projektu: </w:t>
      </w:r>
      <w:r>
        <w:t>Škálovatelné techniky pro analýzu komplexních vlastností počítačových systémů</w:t>
      </w:r>
    </w:p>
    <w:p w:rsidR="003A71BA" w:rsidRDefault="002A6B86">
      <w:pPr>
        <w:spacing w:before="1"/>
        <w:ind w:left="1356"/>
        <w:rPr>
          <w:b/>
          <w:sz w:val="20"/>
        </w:rPr>
      </w:pPr>
      <w:r>
        <w:pict>
          <v:shape id="_x0000_s1053" style="position:absolute;left:0;text-align:left;margin-left:90pt;margin-top:1.75pt;width:4.65pt;height:4.65pt;z-index:251662336;mso-position-horizontal-relative:page" coordorigin="1800,35" coordsize="93,93" path="m1846,35r-18,3l1814,48r-10,15l1800,81r4,18l1814,114r14,10l1846,127r18,-3l1879,114r10,-15l1892,81r-3,-18l1879,48,1864,38r-18,-3xe" fillcolor="black" stroked="f">
            <v:path arrowok="t"/>
            <w10:wrap anchorx="page"/>
          </v:shape>
        </w:pict>
      </w:r>
      <w:r>
        <w:rPr>
          <w:sz w:val="20"/>
        </w:rPr>
        <w:t xml:space="preserve">Registrační číslo Projektu: </w:t>
      </w:r>
      <w:r>
        <w:rPr>
          <w:b/>
          <w:sz w:val="20"/>
        </w:rPr>
        <w:t>20-07487S</w:t>
      </w:r>
    </w:p>
    <w:p w:rsidR="003A71BA" w:rsidRDefault="002A6B86">
      <w:pPr>
        <w:spacing w:before="62"/>
        <w:ind w:left="1356"/>
        <w:rPr>
          <w:b/>
          <w:sz w:val="20"/>
        </w:rPr>
      </w:pPr>
      <w:r>
        <w:pict>
          <v:shape id="_x0000_s1052" style="position:absolute;left:0;text-align:left;margin-left:90pt;margin-top:4.8pt;width:4.65pt;height:4.65pt;z-index:251663360;mso-position-horizontal-relative:page" coordorigin="1800,96" coordsize="93,93" path="m1846,96r-18,3l1814,109r-10,15l1800,142r4,18l1814,175r14,9l1846,188r18,-4l1879,175r10,-15l1892,142r-3,-18l1879,109,1864,99r-18,-3xe" fillcolor="black" stroked="f">
            <v:path arrowok="t"/>
            <w10:wrap anchorx="page"/>
          </v:shape>
        </w:pict>
      </w:r>
      <w:r>
        <w:rPr>
          <w:sz w:val="20"/>
        </w:rPr>
        <w:t xml:space="preserve">Řešitel Projektu: </w:t>
      </w:r>
      <w:r>
        <w:rPr>
          <w:b/>
          <w:sz w:val="20"/>
        </w:rPr>
        <w:t>XXXX</w:t>
      </w:r>
    </w:p>
    <w:p w:rsidR="003A71BA" w:rsidRDefault="002A6B86">
      <w:pPr>
        <w:pStyle w:val="Odstavecseseznamem"/>
        <w:numPr>
          <w:ilvl w:val="0"/>
          <w:numId w:val="3"/>
        </w:numPr>
        <w:tabs>
          <w:tab w:val="left" w:pos="742"/>
        </w:tabs>
        <w:spacing w:before="63" w:line="304" w:lineRule="auto"/>
        <w:ind w:right="346"/>
        <w:rPr>
          <w:sz w:val="20"/>
        </w:rPr>
      </w:pPr>
      <w:r>
        <w:rPr>
          <w:sz w:val="20"/>
        </w:rPr>
        <w:t>Pojmy použité v textu tohoto Dodatku mají stejný význam jako obdobné pojmy použité a definované         v rámci Smlouvy, nebo na které Smlouva</w:t>
      </w:r>
      <w:r>
        <w:rPr>
          <w:spacing w:val="-1"/>
          <w:sz w:val="20"/>
        </w:rPr>
        <w:t xml:space="preserve"> </w:t>
      </w:r>
      <w:r>
        <w:rPr>
          <w:sz w:val="20"/>
        </w:rPr>
        <w:t>odkazuje.</w:t>
      </w:r>
    </w:p>
    <w:p w:rsidR="003A71BA" w:rsidRDefault="002A6B86">
      <w:pPr>
        <w:pStyle w:val="Nadpis1"/>
        <w:spacing w:before="231"/>
        <w:ind w:right="5112"/>
        <w:jc w:val="center"/>
      </w:pPr>
      <w:r>
        <w:t>II.</w:t>
      </w:r>
    </w:p>
    <w:p w:rsidR="003A71BA" w:rsidRDefault="003A71BA">
      <w:pPr>
        <w:pStyle w:val="Zkladntext"/>
        <w:spacing w:before="5"/>
        <w:rPr>
          <w:b/>
          <w:sz w:val="25"/>
        </w:rPr>
      </w:pPr>
    </w:p>
    <w:p w:rsidR="003A71BA" w:rsidRDefault="002A6B86">
      <w:pPr>
        <w:pStyle w:val="Odstavecseseznamem"/>
        <w:numPr>
          <w:ilvl w:val="0"/>
          <w:numId w:val="2"/>
        </w:numPr>
        <w:tabs>
          <w:tab w:val="left" w:pos="742"/>
        </w:tabs>
        <w:spacing w:line="307" w:lineRule="auto"/>
        <w:ind w:right="249"/>
        <w:rPr>
          <w:i/>
          <w:sz w:val="20"/>
        </w:rPr>
      </w:pPr>
      <w:r>
        <w:rPr>
          <w:sz w:val="20"/>
        </w:rPr>
        <w:t xml:space="preserve">Smluvní strany v souladu se Smlouvou, tímto Dodatkem a dílčí zprávou / dílčí finanční zprávou / </w:t>
      </w:r>
      <w:r>
        <w:rPr>
          <w:spacing w:val="2"/>
          <w:sz w:val="20"/>
        </w:rPr>
        <w:t>pr</w:t>
      </w:r>
      <w:r>
        <w:rPr>
          <w:spacing w:val="2"/>
          <w:sz w:val="20"/>
        </w:rPr>
        <w:t xml:space="preserve">ůběžnou odbornou zprávou </w:t>
      </w:r>
      <w:r>
        <w:rPr>
          <w:sz w:val="20"/>
        </w:rPr>
        <w:t xml:space="preserve">o </w:t>
      </w:r>
      <w:r>
        <w:rPr>
          <w:spacing w:val="2"/>
          <w:sz w:val="20"/>
        </w:rPr>
        <w:t>řešení Projektu upřesňují výši podpory poskytované Příjemci</w:t>
      </w:r>
      <w:r>
        <w:rPr>
          <w:spacing w:val="59"/>
          <w:sz w:val="20"/>
        </w:rPr>
        <w:t xml:space="preserve"> </w:t>
      </w:r>
      <w:r>
        <w:rPr>
          <w:sz w:val="20"/>
        </w:rPr>
        <w:t xml:space="preserve">Poskytovatelem v rámci Projektu pro následující roky řešení Projektu v Rozpisu grantových prostředků Projektu, který tvoří nedílnou součást tohoto Dodatku, a to takto: </w:t>
      </w:r>
      <w:r>
        <w:rPr>
          <w:i/>
          <w:sz w:val="20"/>
        </w:rPr>
        <w:t>„</w:t>
      </w:r>
      <w:r>
        <w:rPr>
          <w:i/>
          <w:sz w:val="20"/>
        </w:rPr>
        <w:t xml:space="preserve">Pro kalendářní rok 2021 řešení Projektu činí výše podpory z veřejných prostředků poskytované Poskytovatelem </w:t>
      </w:r>
      <w:r>
        <w:rPr>
          <w:b/>
          <w:sz w:val="20"/>
        </w:rPr>
        <w:t xml:space="preserve">3180000 </w:t>
      </w:r>
      <w:r>
        <w:rPr>
          <w:i/>
          <w:sz w:val="20"/>
        </w:rPr>
        <w:t>Kč. Pro případně dále následující roky řešení Projektu může výše podpory z veřejných prostředků poskytované Poskytovatelem dosáhnout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až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výše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stanovené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Rozpisu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grantových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prostředků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Projektu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pro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daný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rok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řešení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Projektu,</w:t>
      </w:r>
    </w:p>
    <w:p w:rsidR="003A71BA" w:rsidRDefault="003A71BA">
      <w:pPr>
        <w:spacing w:line="307" w:lineRule="auto"/>
        <w:rPr>
          <w:sz w:val="20"/>
        </w:rPr>
        <w:sectPr w:rsidR="003A71BA">
          <w:type w:val="continuous"/>
          <w:pgSz w:w="11910" w:h="16840"/>
          <w:pgMar w:top="700" w:right="700" w:bottom="500" w:left="720" w:header="708" w:footer="708" w:gutter="0"/>
          <w:cols w:space="708"/>
        </w:sectPr>
      </w:pPr>
    </w:p>
    <w:p w:rsidR="003A71BA" w:rsidRDefault="002A6B86">
      <w:pPr>
        <w:spacing w:before="115" w:line="304" w:lineRule="auto"/>
        <w:ind w:left="741" w:right="283"/>
        <w:rPr>
          <w:sz w:val="20"/>
        </w:rPr>
      </w:pPr>
      <w:r>
        <w:rPr>
          <w:i/>
          <w:sz w:val="20"/>
        </w:rPr>
        <w:lastRenderedPageBreak/>
        <w:t xml:space="preserve">který je nedílnou součástí Smlouvy, přičemž výše takové podpory je závislá na posouzení oborové komise </w:t>
      </w:r>
      <w:r>
        <w:rPr>
          <w:i/>
          <w:sz w:val="20"/>
        </w:rPr>
        <w:t>Poskytovatele, která na základě předložených dílčích zpráv / dílčích finančních zpráv / průběžných odborných zpráv a výsledků kontrolní činnosti Poskytovatele za předchozí kalendářní rok řešení Projektu posoudí, zda jsou pro následující rok řešení Projektu</w:t>
      </w:r>
      <w:r>
        <w:rPr>
          <w:i/>
          <w:sz w:val="20"/>
        </w:rPr>
        <w:t xml:space="preserve"> splněny předpoklady pro pokračování podpory Projektu, a to způsobem a podle kritérií uvedených v článku 4.4. Přílohy 4 zadávací dokumentace pro standardní, mezinárodní a juniorské projekty resp. v článku 4.5. Přílohy 4 zadávací dokumentace pro projekty EX</w:t>
      </w:r>
      <w:r>
        <w:rPr>
          <w:i/>
          <w:sz w:val="20"/>
        </w:rPr>
        <w:t xml:space="preserve">PRO a JUNIOR STAR. Budou-li pro daný rok řešení Projektu splněny předpoklady pro pokračování Projektu, poskytne Poskytovatel Příjemci příslušnou část podpory na řešení Projektu v daném roce řešení Projektu dle Rozpisu grantových prostředků Projektu, který </w:t>
      </w:r>
      <w:r>
        <w:rPr>
          <w:i/>
          <w:sz w:val="20"/>
        </w:rPr>
        <w:t>je součástí Smlouvy. Nebudou-li dle posouzení oborové komise Poskytovatele splněny předpoklady pro pokračování podpory Projektu        v následujícím roce řešení Projektu, nebo jestliže Příjemce odmítne návrh dodatku ke Smlouvě upravující vhodnou změnu v ř</w:t>
      </w:r>
      <w:r>
        <w:rPr>
          <w:i/>
          <w:sz w:val="20"/>
        </w:rPr>
        <w:t>ešení Projektu pro následující rok řešení Projektu nebo změnu v Rozpisu grantových prostředků Projektu pro následující rok řešení Projektu dle doporučení oborové komise, je Poskytovatel oprávněn vypovědět Smlouvu bez výpovědní doby. Výše případné podpory d</w:t>
      </w:r>
      <w:r>
        <w:rPr>
          <w:i/>
          <w:sz w:val="20"/>
        </w:rPr>
        <w:t>alšímu účastníkovi, resp. dalším účastníkům pro následující kalendářní rok řešení Projektu je uvedena v Rozpisu grantových prostředků Projektu pro následující kalendářní rok řešení Projektu, který tvoří Přílohu č. 1 a nedílnou součást tohoto Dodatku. Jestl</w:t>
      </w:r>
      <w:r>
        <w:rPr>
          <w:i/>
          <w:sz w:val="20"/>
        </w:rPr>
        <w:t>iže Poskytovatel poskytuje podporu Příjemci včetně části podpory určené pro dalšího účastníka, je Příjemce povinen poskytnout příslušnému dalšímu účastníkovi část podpory pro něj určenou ve lhůtě a způsobem, které vyplývají ze smlouvy o řešení části Projek</w:t>
      </w:r>
      <w:r>
        <w:rPr>
          <w:i/>
          <w:sz w:val="20"/>
        </w:rPr>
        <w:t>tu mezi nimi uzavřené, případně ze Smlouvy nebo Zadávací dokumentace.</w:t>
      </w:r>
      <w:r>
        <w:rPr>
          <w:i/>
          <w:spacing w:val="-11"/>
          <w:sz w:val="20"/>
        </w:rPr>
        <w:t xml:space="preserve"> </w:t>
      </w:r>
      <w:r>
        <w:rPr>
          <w:sz w:val="20"/>
        </w:rPr>
        <w:t>“</w:t>
      </w:r>
    </w:p>
    <w:p w:rsidR="003A71BA" w:rsidRDefault="002A6B86">
      <w:pPr>
        <w:pStyle w:val="Odstavecseseznamem"/>
        <w:numPr>
          <w:ilvl w:val="0"/>
          <w:numId w:val="2"/>
        </w:numPr>
        <w:tabs>
          <w:tab w:val="left" w:pos="742"/>
        </w:tabs>
        <w:spacing w:before="5" w:line="304" w:lineRule="auto"/>
        <w:ind w:left="1357" w:right="4404" w:hanging="908"/>
        <w:rPr>
          <w:sz w:val="20"/>
        </w:rPr>
      </w:pPr>
      <w:r>
        <w:pict>
          <v:shape id="_x0000_s1051" style="position:absolute;left:0;text-align:left;margin-left:90pt;margin-top:16.55pt;width:4.65pt;height:4.65pt;z-index:-251994112;mso-position-horizontal-relative:page" coordorigin="1800,331" coordsize="93,93" path="m1846,331r-18,4l1814,345r-10,14l1800,377r4,18l1814,410r14,10l1846,423r18,-3l1879,410r10,-15l1892,377r-3,-18l1879,345r-15,-10l1846,331xe" fillcolor="black" stroked="f">
            <v:path arrowok="t"/>
            <w10:wrap anchorx="page"/>
          </v:shape>
        </w:pict>
      </w:r>
      <w:r>
        <w:rPr>
          <w:sz w:val="20"/>
        </w:rPr>
        <w:t>Nedílnou součástí tohoto Dodatku je následující příloha: Příloha č. 1 – Rozpis grantových prostředků</w:t>
      </w:r>
      <w:r>
        <w:rPr>
          <w:spacing w:val="-17"/>
          <w:sz w:val="20"/>
        </w:rPr>
        <w:t xml:space="preserve"> </w:t>
      </w:r>
      <w:r>
        <w:rPr>
          <w:sz w:val="20"/>
        </w:rPr>
        <w:t>Projektu.</w:t>
      </w:r>
    </w:p>
    <w:p w:rsidR="003A71BA" w:rsidRDefault="002A6B86">
      <w:pPr>
        <w:pStyle w:val="Odstavecseseznamem"/>
        <w:numPr>
          <w:ilvl w:val="0"/>
          <w:numId w:val="2"/>
        </w:numPr>
        <w:tabs>
          <w:tab w:val="left" w:pos="742"/>
        </w:tabs>
        <w:spacing w:line="304" w:lineRule="auto"/>
        <w:ind w:right="318"/>
        <w:jc w:val="both"/>
        <w:rPr>
          <w:sz w:val="20"/>
        </w:rPr>
      </w:pPr>
      <w:r>
        <w:rPr>
          <w:sz w:val="20"/>
        </w:rPr>
        <w:t>Nedílnou, samostatně uloženou součástí tohoto Dodatku v případě významné</w:t>
      </w:r>
      <w:r>
        <w:rPr>
          <w:sz w:val="20"/>
        </w:rPr>
        <w:t>ho odklonu od řešení Projektu je dílčí zpráva / dílčí finanční zpráva / průběžná odborná zpráva o řešení Projektu, včetně protokolu o hodnocení této dílčí zprávy, kterou se mění návrh projektu. V rozsahu upřesnění dílčí zprávy / dílčí finanční zprávy / prů</w:t>
      </w:r>
      <w:r>
        <w:rPr>
          <w:sz w:val="20"/>
        </w:rPr>
        <w:t>běžné odborné zprávy a komentáře protokolu o hodnocení dílčí zprávy se mění příslušný návrh projektu. Odsouhlasení požadovaných prostředků v této dílčí zprávě / dílčí finanční</w:t>
      </w:r>
      <w:r>
        <w:rPr>
          <w:spacing w:val="25"/>
          <w:sz w:val="20"/>
        </w:rPr>
        <w:t xml:space="preserve"> </w:t>
      </w:r>
      <w:r>
        <w:rPr>
          <w:sz w:val="20"/>
        </w:rPr>
        <w:t>zprávě</w:t>
      </w:r>
    </w:p>
    <w:p w:rsidR="003A71BA" w:rsidRDefault="002A6B86">
      <w:pPr>
        <w:pStyle w:val="Zkladntext"/>
        <w:spacing w:before="1" w:line="304" w:lineRule="auto"/>
        <w:ind w:left="741" w:right="317"/>
        <w:jc w:val="both"/>
      </w:pPr>
      <w:r>
        <w:t>/ průběžné odborné zprávě nezbavuje Příjemce odpovědnosti za soulad veške</w:t>
      </w:r>
      <w:r>
        <w:t>rých nákladů Projektu s podmínkami uznaných nákladů dle zákonné právní úpravy, se smluvními podmínkami Smlouvy a s podmínkami příslušné zadávací dokumentace, které musí být vždy dodrženy a jsou této dílčí zprávě / dílčí finanční zprávě / průběžné odborné z</w:t>
      </w:r>
      <w:r>
        <w:t>právě nadřazeny. Tato dílčí zpráva / dílčí finanční zpráva / průběžná odborná zpráva je umístěna v aplikaci pro podávání a správu projektů GRIS na adrese</w:t>
      </w:r>
      <w:hyperlink r:id="rId10">
        <w:r>
          <w:t xml:space="preserve"> www.gris.cz.</w:t>
        </w:r>
      </w:hyperlink>
    </w:p>
    <w:p w:rsidR="003A71BA" w:rsidRDefault="002A6B86">
      <w:pPr>
        <w:pStyle w:val="Odstavecseseznamem"/>
        <w:numPr>
          <w:ilvl w:val="0"/>
          <w:numId w:val="2"/>
        </w:numPr>
        <w:tabs>
          <w:tab w:val="left" w:pos="742"/>
        </w:tabs>
        <w:spacing w:before="2" w:line="304" w:lineRule="auto"/>
        <w:ind w:right="317"/>
        <w:jc w:val="both"/>
        <w:rPr>
          <w:sz w:val="20"/>
        </w:rPr>
      </w:pPr>
      <w:r>
        <w:rPr>
          <w:sz w:val="20"/>
        </w:rPr>
        <w:t>Příjemce  prohlašuje,  že  se  všichni  účastníci  Projektu  (tj.  Příjemce,  řešitel,  případně  další  účastníci a spoluřešitelé) seznámili s hodnocením dosavadního řešení Projektu, a zavazuje se, že další řešení Projektu bude prováděno v souladu s těmit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doporučeními.</w:t>
      </w:r>
    </w:p>
    <w:p w:rsidR="003A71BA" w:rsidRDefault="002A6B86">
      <w:pPr>
        <w:pStyle w:val="Nadpis1"/>
        <w:spacing w:before="231"/>
        <w:ind w:right="5118"/>
        <w:jc w:val="center"/>
      </w:pPr>
      <w:r>
        <w:t>III.</w:t>
      </w:r>
    </w:p>
    <w:p w:rsidR="003A71BA" w:rsidRDefault="003A71BA">
      <w:pPr>
        <w:pStyle w:val="Zkladntext"/>
        <w:spacing w:before="5"/>
        <w:rPr>
          <w:b/>
          <w:sz w:val="25"/>
        </w:rPr>
      </w:pPr>
    </w:p>
    <w:p w:rsidR="003A71BA" w:rsidRDefault="002A6B86">
      <w:pPr>
        <w:pStyle w:val="Odstavecseseznamem"/>
        <w:numPr>
          <w:ilvl w:val="0"/>
          <w:numId w:val="1"/>
        </w:numPr>
        <w:tabs>
          <w:tab w:val="left" w:pos="742"/>
        </w:tabs>
        <w:spacing w:before="1"/>
        <w:rPr>
          <w:sz w:val="20"/>
        </w:rPr>
      </w:pPr>
      <w:r>
        <w:rPr>
          <w:sz w:val="20"/>
        </w:rPr>
        <w:t>Ostatní ujednání Smlouvy zůstávají tímto Dodatkem</w:t>
      </w:r>
      <w:r>
        <w:rPr>
          <w:spacing w:val="-1"/>
          <w:sz w:val="20"/>
        </w:rPr>
        <w:t xml:space="preserve"> </w:t>
      </w:r>
      <w:r>
        <w:rPr>
          <w:sz w:val="20"/>
        </w:rPr>
        <w:t>nedotčena.</w:t>
      </w:r>
    </w:p>
    <w:p w:rsidR="003A71BA" w:rsidRDefault="002A6B86">
      <w:pPr>
        <w:pStyle w:val="Odstavecseseznamem"/>
        <w:numPr>
          <w:ilvl w:val="0"/>
          <w:numId w:val="1"/>
        </w:numPr>
        <w:tabs>
          <w:tab w:val="left" w:pos="742"/>
        </w:tabs>
        <w:spacing w:before="62" w:line="304" w:lineRule="auto"/>
        <w:ind w:right="337"/>
        <w:rPr>
          <w:sz w:val="20"/>
        </w:rPr>
      </w:pPr>
      <w:r>
        <w:rPr>
          <w:sz w:val="20"/>
        </w:rPr>
        <w:t>Neplatnost jakéhokoliv ustanovení tohoto Dodatku se nedotýká jeho platnosti jako celku nebo platnosti kterékoliv jiné jeho části.</w:t>
      </w:r>
    </w:p>
    <w:p w:rsidR="003A71BA" w:rsidRDefault="002A6B86">
      <w:pPr>
        <w:pStyle w:val="Odstavecseseznamem"/>
        <w:numPr>
          <w:ilvl w:val="0"/>
          <w:numId w:val="1"/>
        </w:numPr>
        <w:tabs>
          <w:tab w:val="left" w:pos="742"/>
        </w:tabs>
        <w:spacing w:line="304" w:lineRule="auto"/>
        <w:ind w:right="354"/>
        <w:rPr>
          <w:sz w:val="20"/>
        </w:rPr>
      </w:pPr>
      <w:r>
        <w:rPr>
          <w:sz w:val="20"/>
        </w:rPr>
        <w:t xml:space="preserve">Tento Dodatek nabývá platnosti a účinnosti </w:t>
      </w:r>
      <w:r>
        <w:rPr>
          <w:sz w:val="20"/>
        </w:rPr>
        <w:t>dnem jeho uzavření, nestanoví-li zvláštní právní předpis  jinak. Tento Dodatek se po uzavření stává nedílnou součástí</w:t>
      </w:r>
      <w:r>
        <w:rPr>
          <w:spacing w:val="-1"/>
          <w:sz w:val="20"/>
        </w:rPr>
        <w:t xml:space="preserve"> </w:t>
      </w:r>
      <w:r>
        <w:rPr>
          <w:sz w:val="20"/>
        </w:rPr>
        <w:t>Smlouvy.</w:t>
      </w:r>
    </w:p>
    <w:p w:rsidR="003A71BA" w:rsidRDefault="002A6B86">
      <w:pPr>
        <w:pStyle w:val="Odstavecseseznamem"/>
        <w:numPr>
          <w:ilvl w:val="0"/>
          <w:numId w:val="1"/>
        </w:numPr>
        <w:tabs>
          <w:tab w:val="left" w:pos="742"/>
        </w:tabs>
        <w:spacing w:before="1" w:line="304" w:lineRule="auto"/>
        <w:ind w:right="243"/>
        <w:rPr>
          <w:sz w:val="20"/>
        </w:rPr>
      </w:pPr>
      <w:r>
        <w:rPr>
          <w:sz w:val="20"/>
        </w:rPr>
        <w:t>Pokud je tento Dodatek uzavírán v písemné formě, je sepsán ve  dvou  vyhotoveních  s  platností  originálu.</w:t>
      </w:r>
      <w:r>
        <w:rPr>
          <w:spacing w:val="42"/>
          <w:sz w:val="20"/>
        </w:rPr>
        <w:t xml:space="preserve"> </w:t>
      </w:r>
      <w:r>
        <w:rPr>
          <w:sz w:val="20"/>
        </w:rPr>
        <w:t>Tento</w:t>
      </w:r>
      <w:r>
        <w:rPr>
          <w:spacing w:val="42"/>
          <w:sz w:val="20"/>
        </w:rPr>
        <w:t xml:space="preserve"> </w:t>
      </w:r>
      <w:r>
        <w:rPr>
          <w:sz w:val="20"/>
        </w:rPr>
        <w:t>Dodatek</w:t>
      </w:r>
      <w:r>
        <w:rPr>
          <w:spacing w:val="42"/>
          <w:sz w:val="20"/>
        </w:rPr>
        <w:t xml:space="preserve"> </w:t>
      </w:r>
      <w:r>
        <w:rPr>
          <w:sz w:val="20"/>
        </w:rPr>
        <w:t>může</w:t>
      </w:r>
      <w:r>
        <w:rPr>
          <w:spacing w:val="42"/>
          <w:sz w:val="20"/>
        </w:rPr>
        <w:t xml:space="preserve"> </w:t>
      </w:r>
      <w:r>
        <w:rPr>
          <w:sz w:val="20"/>
        </w:rPr>
        <w:t>bý</w:t>
      </w:r>
      <w:r>
        <w:rPr>
          <w:sz w:val="20"/>
        </w:rPr>
        <w:t>t</w:t>
      </w:r>
      <w:r>
        <w:rPr>
          <w:spacing w:val="42"/>
          <w:sz w:val="20"/>
        </w:rPr>
        <w:t xml:space="preserve"> </w:t>
      </w:r>
      <w:r>
        <w:rPr>
          <w:sz w:val="20"/>
        </w:rPr>
        <w:t>uzavřen</w:t>
      </w:r>
      <w:r>
        <w:rPr>
          <w:spacing w:val="43"/>
          <w:sz w:val="20"/>
        </w:rPr>
        <w:t xml:space="preserve"> </w:t>
      </w:r>
      <w:r>
        <w:rPr>
          <w:sz w:val="20"/>
        </w:rPr>
        <w:t>i</w:t>
      </w:r>
      <w:r>
        <w:rPr>
          <w:spacing w:val="42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42"/>
          <w:sz w:val="20"/>
        </w:rPr>
        <w:t xml:space="preserve"> </w:t>
      </w:r>
      <w:r>
        <w:rPr>
          <w:sz w:val="20"/>
        </w:rPr>
        <w:t>prostředky</w:t>
      </w:r>
      <w:r>
        <w:rPr>
          <w:spacing w:val="42"/>
          <w:sz w:val="20"/>
        </w:rPr>
        <w:t xml:space="preserve"> </w:t>
      </w:r>
      <w:r>
        <w:rPr>
          <w:sz w:val="20"/>
        </w:rPr>
        <w:t>v</w:t>
      </w:r>
      <w:r>
        <w:rPr>
          <w:spacing w:val="42"/>
          <w:sz w:val="20"/>
        </w:rPr>
        <w:t xml:space="preserve"> </w:t>
      </w:r>
      <w:r>
        <w:rPr>
          <w:sz w:val="20"/>
        </w:rPr>
        <w:t>souladu</w:t>
      </w:r>
      <w:r>
        <w:rPr>
          <w:spacing w:val="43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zákonem</w:t>
      </w:r>
      <w:r>
        <w:rPr>
          <w:spacing w:val="42"/>
          <w:sz w:val="20"/>
        </w:rPr>
        <w:t xml:space="preserve"> </w:t>
      </w:r>
      <w:r>
        <w:rPr>
          <w:sz w:val="20"/>
        </w:rPr>
        <w:t>č.</w:t>
      </w:r>
      <w:r>
        <w:rPr>
          <w:spacing w:val="42"/>
          <w:sz w:val="20"/>
        </w:rPr>
        <w:t xml:space="preserve"> </w:t>
      </w:r>
      <w:r>
        <w:rPr>
          <w:sz w:val="20"/>
        </w:rPr>
        <w:t>297</w:t>
      </w:r>
    </w:p>
    <w:p w:rsidR="003A71BA" w:rsidRDefault="002A6B86">
      <w:pPr>
        <w:pStyle w:val="Zkladntext"/>
        <w:ind w:left="741"/>
      </w:pPr>
      <w:r>
        <w:t>/2016 Sb., o službách vytvářejících důvěru pro elektronické transakce, ve znění pozdějších předpisů.</w:t>
      </w:r>
    </w:p>
    <w:p w:rsidR="003A71BA" w:rsidRDefault="002A6B86">
      <w:pPr>
        <w:pStyle w:val="Odstavecseseznamem"/>
        <w:numPr>
          <w:ilvl w:val="0"/>
          <w:numId w:val="1"/>
        </w:numPr>
        <w:tabs>
          <w:tab w:val="left" w:pos="742"/>
        </w:tabs>
        <w:spacing w:before="63" w:line="304" w:lineRule="auto"/>
        <w:ind w:right="371"/>
        <w:rPr>
          <w:sz w:val="20"/>
        </w:rPr>
      </w:pPr>
      <w:r>
        <w:rPr>
          <w:sz w:val="20"/>
        </w:rPr>
        <w:t>Smluvní strany závazně prohlašují, že si tento Dodatek přečetly, s jeho obsahem se seznámily a s tímto zcela a bezvýhradně souhlasí. Na důkaz toho připojují smluvní strany svoje</w:t>
      </w:r>
      <w:r>
        <w:rPr>
          <w:spacing w:val="-1"/>
          <w:sz w:val="20"/>
        </w:rPr>
        <w:t xml:space="preserve"> </w:t>
      </w:r>
      <w:r>
        <w:rPr>
          <w:sz w:val="20"/>
        </w:rPr>
        <w:t>podpisy.</w:t>
      </w:r>
    </w:p>
    <w:p w:rsidR="003A71BA" w:rsidRDefault="003A71BA">
      <w:pPr>
        <w:spacing w:line="304" w:lineRule="auto"/>
        <w:rPr>
          <w:sz w:val="20"/>
        </w:rPr>
        <w:sectPr w:rsidR="003A71BA">
          <w:pgSz w:w="11910" w:h="16840"/>
          <w:pgMar w:top="640" w:right="700" w:bottom="500" w:left="720" w:header="0" w:footer="307" w:gutter="0"/>
          <w:cols w:space="708"/>
        </w:sectPr>
      </w:pPr>
    </w:p>
    <w:p w:rsidR="003A71BA" w:rsidRDefault="002A6B86">
      <w:pPr>
        <w:pStyle w:val="Zkladntext"/>
        <w:ind w:left="118"/>
      </w:pPr>
      <w:r>
        <w:pict>
          <v:group id="_x0000_s1035" style="width:512.35pt;height:347.7pt;mso-position-horizontal-relative:char;mso-position-vertical-relative:line" coordsize="10247,6954">
            <v:line id="_x0000_s1050" style="position:absolute" from="10238,3485" to="8,3485" strokeweight=".27128mm"/>
            <v:line id="_x0000_s1049" style="position:absolute" from="10238,8" to="10238,3485" strokeweight=".27128mm"/>
            <v:shape id="_x0000_s1048" style="position:absolute;left:7;top:3469;width:10231;height:3477" coordorigin="8,3469" coordsize="10231,3477" path="m10238,3469r,3477l8,6946e" filled="f" strokeweight=".27128mm">
              <v:path arrowok="t"/>
            </v:shape>
            <v:line id="_x0000_s1047" style="position:absolute" from="8,3469" to="10238,3469" strokeweight=".27128mm"/>
            <v:line id="_x0000_s1046" style="position:absolute" from="8,8" to="10238,8" strokeweight=".27128mm"/>
            <v:line id="_x0000_s1045" style="position:absolute" from="8,3485" to="8,8" strokeweight=".27128mm"/>
            <v:line id="_x0000_s1044" style="position:absolute" from="8,6946" to="8,3469" strokeweight=".27128mm"/>
            <v:shape id="_x0000_s1043" style="position:absolute;left:4183;top:594;width:2397;height:2360" coordorigin="4184,594" coordsize="2397,2360" o:spt="100" adj="0,,0" path="m4616,2454r-103,60l4426,2574r-71,60l4298,2694r-44,60l4221,2814r-21,40l4187,2894r-3,40l4199,2954r31,l4233,2914r18,-40l4284,2814r45,-60l4387,2674r67,-80l4531,2534r85,-80xm5243,594r-34,l5161,614r-25,80l5127,774r-1,60l5127,894r5,60l5140,1014r10,60l5162,1134r14,60l5191,1274r18,60l5206,1354r-8,40l5185,1434r-18,40l5145,1534r-26,80l5089,1674r-34,80l5019,1834r-39,100l4938,2014r-44,100l4848,2194r-47,100l4753,2374r-50,80l4553,2694r-50,60l4454,2814r-48,40l4359,2894r-45,40l4271,2954r128,l4443,2914r47,-40l4541,2814r54,-60l4653,2674r62,-100l4781,2474r69,-120l4915,2234r57,-100l5023,2034r44,-80l5105,1874r33,-80l5166,1734r24,-60l5210,1614r17,-60l5241,1514r12,-40l5342,1474r-31,-60l5284,1334r13,-80l5304,1194r-51,l5229,1114r-17,-80l5200,954r-6,-80l5192,814r,-40l5198,714r15,-80l5243,594xm6544,2454r-47,l6519,2474r25,-20xm6519,2354r-22,l6478,2374r-13,20l6461,2414r4,20l6478,2454r24,l6487,2434r-10,l6473,2414r4,-20l6487,2374r15,l6519,2354xm6544,2354r-25,l6539,2374r15,l6563,2394r3,20l6563,2434r-9,l6539,2454r25,l6576,2434r4,-20l6576,2394r-12,-20l6544,2354xm6544,2374r-47,l6497,2434r13,l6510,2394r36,l6544,2374xm6544,2414r-15,l6532,2434r12,l6544,2414xm6546,2394r-14,l6524,2414r22,l6546,2394xm4931,2330r-14,4l4850,2354r74,-20l4931,2330xm6028,2154r-185,l6003,2234r159,40l6237,2294r70,20l6372,2334r107,l6517,2314r26,-20l6428,2294r-60,-20l6300,2254r-73,-20l6149,2214r-121,-60xm5342,1474r-89,l5299,1574r48,100l5397,1754r50,60l5497,1894r48,40l5593,1974r45,40l5680,2054r39,20l5753,2094r-72,20l5608,2114r-457,120l5075,2274r-76,20l4931,2330r129,-36l5289,2234r79,l5527,2194r80,l5687,2174r79,l5843,2154r185,l5987,2134r541,l6467,2094r-81,-20l5880,2074r-57,-20l5767,2014r-54,-40l5660,1934r-56,-40l5552,1834r-49,-60l5457,1694r-42,-60l5377,1554r-35,-80xm6556,2274r-15,l6524,2294r19,l6556,2274xm6528,2134r-143,l6458,2154r58,20l6554,2214r12,40l6571,2234r5,l6579,2214r1,l6567,2154r-39,-20xm6173,2054r-66,l6036,2074r251,l6173,2054xm5326,794r-11,40l5304,914r-14,80l5274,1094r-21,100l5304,1194r2,-20l5313,1094r4,-80l5320,934r3,-80l5326,794xm5315,594r-72,l5269,614r25,20l5315,674r11,60l5335,654r-20,-60xe" fillcolor="#ffd8d8" stroked="f">
              <v:stroke joinstyle="round"/>
              <v:formulas/>
              <v:path arrowok="t" o:connecttype="segments"/>
            </v:shape>
            <v:shape id="_x0000_s1042" type="#_x0000_t202" style="position:absolute;left:38;top:3501;width:1532;height:287" filled="f" stroked="f">
              <v:textbox inset="0,0,0,0">
                <w:txbxContent>
                  <w:p w:rsidR="003A71BA" w:rsidRDefault="002A6B86">
                    <w:pPr>
                      <w:spacing w:before="4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 Poskytovatele</w:t>
                    </w:r>
                  </w:p>
                </w:txbxContent>
              </v:textbox>
            </v:shape>
            <v:shape id="_x0000_s1041" type="#_x0000_t202" style="position:absolute;left:5454;top:2186;width:2720;height:483" filled="f" stroked="f">
              <v:textbox inset="0,0,0,0">
                <w:txbxContent>
                  <w:p w:rsidR="003A71BA" w:rsidRDefault="002A6B86">
                    <w:pPr>
                      <w:spacing w:before="1" w:line="481" w:lineRule="exact"/>
                      <w:rPr>
                        <w:rFonts w:ascii="Calibri"/>
                        <w:sz w:val="40"/>
                      </w:rPr>
                    </w:pPr>
                    <w:r>
                      <w:rPr>
                        <w:rFonts w:ascii="Calibri"/>
                        <w:sz w:val="40"/>
                      </w:rPr>
                      <w:t>05:42:46 +02'00'</w:t>
                    </w:r>
                  </w:p>
                </w:txbxContent>
              </v:textbox>
            </v:shape>
            <v:shape id="_x0000_s1040" type="#_x0000_t202" style="position:absolute;left:1251;top:1670;width:7355;height:896" filled="f" stroked="f">
              <v:textbox inset="0,0,0,0">
                <w:txbxContent>
                  <w:p w:rsidR="003A71BA" w:rsidRDefault="002A6B86">
                    <w:pPr>
                      <w:spacing w:before="2" w:line="893" w:lineRule="exact"/>
                      <w:rPr>
                        <w:rFonts w:ascii="Calibri" w:hAnsi="Calibri"/>
                        <w:sz w:val="40"/>
                      </w:rPr>
                    </w:pPr>
                    <w:r>
                      <w:rPr>
                        <w:rFonts w:ascii="Calibri" w:hAnsi="Calibri"/>
                        <w:w w:val="105"/>
                        <w:position w:val="-28"/>
                        <w:sz w:val="74"/>
                      </w:rPr>
                      <w:t>Pavel</w:t>
                    </w:r>
                    <w:r>
                      <w:rPr>
                        <w:rFonts w:ascii="Calibri" w:hAnsi="Calibri"/>
                        <w:spacing w:val="-73"/>
                        <w:w w:val="105"/>
                        <w:position w:val="-28"/>
                        <w:sz w:val="74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position w:val="-28"/>
                        <w:sz w:val="74"/>
                      </w:rPr>
                      <w:t>Zemčík</w:t>
                    </w:r>
                    <w:r>
                      <w:rPr>
                        <w:rFonts w:ascii="Calibri" w:hAnsi="Calibri"/>
                        <w:spacing w:val="-98"/>
                        <w:w w:val="105"/>
                        <w:position w:val="-28"/>
                        <w:sz w:val="74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40"/>
                      </w:rPr>
                      <w:t>Datum:</w:t>
                    </w:r>
                    <w:r>
                      <w:rPr>
                        <w:rFonts w:ascii="Calibri" w:hAnsi="Calibri"/>
                        <w:spacing w:val="-40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40"/>
                      </w:rPr>
                      <w:t>2021.05.03</w:t>
                    </w:r>
                  </w:p>
                </w:txbxContent>
              </v:textbox>
            </v:shape>
            <v:shape id="_x0000_s1039" type="#_x0000_t202" style="position:absolute;left:5454;top:1223;width:3499;height:483" filled="f" stroked="f">
              <v:textbox inset="0,0,0,0">
                <w:txbxContent>
                  <w:p w:rsidR="003A71BA" w:rsidRDefault="002A6B86">
                    <w:pPr>
                      <w:spacing w:before="1" w:line="481" w:lineRule="exact"/>
                      <w:rPr>
                        <w:rFonts w:ascii="Calibri" w:hAnsi="Calibri"/>
                        <w:sz w:val="40"/>
                      </w:rPr>
                    </w:pPr>
                    <w:r>
                      <w:rPr>
                        <w:rFonts w:ascii="Calibri" w:hAnsi="Calibri"/>
                        <w:w w:val="105"/>
                        <w:sz w:val="40"/>
                      </w:rPr>
                      <w:t>Dr. Ing. Pavel</w:t>
                    </w:r>
                    <w:r>
                      <w:rPr>
                        <w:rFonts w:ascii="Calibri" w:hAnsi="Calibri"/>
                        <w:spacing w:val="-66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40"/>
                      </w:rPr>
                      <w:t>Zemčík</w:t>
                    </w:r>
                  </w:p>
                </w:txbxContent>
              </v:textbox>
            </v:shape>
            <v:shape id="_x0000_s1038" type="#_x0000_t202" style="position:absolute;left:5454;top:741;width:4046;height:483" filled="f" stroked="f">
              <v:textbox inset="0,0,0,0">
                <w:txbxContent>
                  <w:p w:rsidR="003A71BA" w:rsidRDefault="002A6B86">
                    <w:pPr>
                      <w:spacing w:before="1" w:line="481" w:lineRule="exact"/>
                      <w:rPr>
                        <w:rFonts w:ascii="Calibri" w:hAnsi="Calibri"/>
                        <w:sz w:val="40"/>
                      </w:rPr>
                    </w:pPr>
                    <w:r>
                      <w:rPr>
                        <w:rFonts w:ascii="Calibri" w:hAnsi="Calibri"/>
                        <w:w w:val="105"/>
                        <w:sz w:val="40"/>
                      </w:rPr>
                      <w:t>Digitálně podepsal</w:t>
                    </w:r>
                    <w:r>
                      <w:rPr>
                        <w:rFonts w:ascii="Calibri" w:hAnsi="Calibri"/>
                        <w:spacing w:val="-55"/>
                        <w:w w:val="105"/>
                        <w:sz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40"/>
                      </w:rPr>
                      <w:t>prof.</w:t>
                    </w:r>
                  </w:p>
                </w:txbxContent>
              </v:textbox>
            </v:shape>
            <v:shape id="_x0000_s1037" type="#_x0000_t202" style="position:absolute;left:1251;top:776;width:3841;height:896" filled="f" stroked="f">
              <v:textbox inset="0,0,0,0">
                <w:txbxContent>
                  <w:p w:rsidR="003A71BA" w:rsidRDefault="002A6B86">
                    <w:pPr>
                      <w:spacing w:before="4" w:line="891" w:lineRule="exact"/>
                      <w:rPr>
                        <w:rFonts w:ascii="Calibri"/>
                        <w:sz w:val="74"/>
                      </w:rPr>
                    </w:pPr>
                    <w:r>
                      <w:rPr>
                        <w:rFonts w:ascii="Calibri"/>
                        <w:sz w:val="74"/>
                      </w:rPr>
                      <w:t>prof. Dr. Ing.</w:t>
                    </w:r>
                  </w:p>
                </w:txbxContent>
              </v:textbox>
            </v:shape>
            <v:shape id="_x0000_s1036" type="#_x0000_t202" style="position:absolute;left:38;top:39;width:1143;height:287" filled="f" stroked="f">
              <v:textbox inset="0,0,0,0">
                <w:txbxContent>
                  <w:p w:rsidR="003A71BA" w:rsidRDefault="002A6B86">
                    <w:pPr>
                      <w:spacing w:before="4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 Příjemce¹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A71BA" w:rsidRDefault="003A71BA">
      <w:pPr>
        <w:pStyle w:val="Zkladntext"/>
        <w:spacing w:before="8"/>
        <w:rPr>
          <w:sz w:val="2"/>
        </w:rPr>
      </w:pPr>
    </w:p>
    <w:p w:rsidR="003A71BA" w:rsidRDefault="002A6B86">
      <w:pPr>
        <w:pStyle w:val="Zkladntext"/>
        <w:spacing w:line="78" w:lineRule="exact"/>
        <w:ind w:left="102"/>
        <w:rPr>
          <w:sz w:val="7"/>
        </w:rPr>
      </w:pPr>
      <w:r>
        <w:rPr>
          <w:position w:val="-1"/>
          <w:sz w:val="7"/>
        </w:rPr>
      </w:r>
      <w:r>
        <w:rPr>
          <w:position w:val="-1"/>
          <w:sz w:val="7"/>
        </w:rPr>
        <w:pict>
          <v:group id="_x0000_s1031" style="width:511.55pt;height:2.35pt;mso-position-horizontal-relative:char;mso-position-vertical-relative:line" coordsize="10231,47">
            <v:line id="_x0000_s1034" style="position:absolute" from="8,8" to="10223,8" strokeweight=".27128mm"/>
            <v:line id="_x0000_s1033" style="position:absolute" from="0,23" to="10231,23" strokeweight=".81456mm"/>
            <v:line id="_x0000_s1032" style="position:absolute" from="10223,8" to="10223,38" strokeweight=".27128mm"/>
            <w10:wrap type="none"/>
            <w10:anchorlock/>
          </v:group>
        </w:pict>
      </w:r>
    </w:p>
    <w:p w:rsidR="003A71BA" w:rsidRDefault="002A6B86">
      <w:pPr>
        <w:pStyle w:val="Zkladntext"/>
        <w:spacing w:before="128" w:line="304" w:lineRule="auto"/>
        <w:ind w:left="126" w:right="511"/>
      </w:pPr>
      <w:r>
        <w:pict>
          <v:group id="_x0000_s1027" style="position:absolute;left:0;text-align:left;margin-left:41.95pt;margin-top:38.5pt;width:511.55pt;height:2.35pt;z-index:-251641856;mso-wrap-distance-left:0;mso-wrap-distance-right:0;mso-position-horizontal-relative:page" coordorigin="839,770" coordsize="10231,47">
            <v:line id="_x0000_s1030" style="position:absolute" from="846,777" to="11062,777" strokeweight=".27128mm"/>
            <v:line id="_x0000_s1029" style="position:absolute" from="839,793" to="11069,793" strokeweight=".81456mm"/>
            <v:line id="_x0000_s1028" style="position:absolute" from="11062,777" to="11062,808" strokeweight=".27128mm"/>
            <w10:wrap type="topAndBottom" anchorx="page"/>
          </v:group>
        </w:pict>
      </w:r>
      <w:r>
        <w:t xml:space="preserve">1 U Příjemce – právnické osoby nebo organizační složky státu nebo územně samosprávného celku uveďte rovněž jméno, příjmení a funkci osoby oprávněné </w:t>
      </w:r>
      <w:r>
        <w:t>tuto právnickou osobu</w:t>
      </w:r>
      <w:r>
        <w:rPr>
          <w:spacing w:val="-1"/>
        </w:rPr>
        <w:t xml:space="preserve"> </w:t>
      </w:r>
      <w:r>
        <w:t>zastupovat.</w:t>
      </w:r>
    </w:p>
    <w:p w:rsidR="003A71BA" w:rsidRDefault="003A71BA">
      <w:pPr>
        <w:spacing w:line="304" w:lineRule="auto"/>
        <w:sectPr w:rsidR="003A71BA">
          <w:pgSz w:w="11910" w:h="16840"/>
          <w:pgMar w:top="1000" w:right="700" w:bottom="500" w:left="720" w:header="0" w:footer="307" w:gutter="0"/>
          <w:cols w:space="708"/>
        </w:sectPr>
      </w:pPr>
    </w:p>
    <w:p w:rsidR="003A71BA" w:rsidRDefault="002A6B86">
      <w:pPr>
        <w:pStyle w:val="Nadpis1"/>
        <w:spacing w:before="126" w:line="304" w:lineRule="auto"/>
        <w:ind w:left="4541" w:right="511" w:hanging="4185"/>
      </w:pPr>
      <w:r>
        <w:lastRenderedPageBreak/>
        <w:t>Příloha č. 1 k Dodatku ke Smlouvě o poskytnutí dotace na podporu grantového projektu č. 20-07487S panelu č. P103</w:t>
      </w:r>
    </w:p>
    <w:p w:rsidR="003A71BA" w:rsidRDefault="002A6B86">
      <w:pPr>
        <w:spacing w:before="234"/>
        <w:ind w:left="126"/>
        <w:rPr>
          <w:b/>
          <w:sz w:val="23"/>
        </w:rPr>
      </w:pPr>
      <w:r>
        <w:rPr>
          <w:b/>
          <w:sz w:val="23"/>
        </w:rPr>
        <w:t>Rozpis grantových prostředků Projektu</w:t>
      </w:r>
    </w:p>
    <w:p w:rsidR="003A71BA" w:rsidRDefault="002A6B86">
      <w:pPr>
        <w:pStyle w:val="Zkladntext"/>
        <w:ind w:left="126"/>
      </w:pPr>
      <w:r>
        <w:t>XXXXX</w:t>
      </w:r>
      <w:bookmarkStart w:id="0" w:name="_GoBack"/>
      <w:bookmarkEnd w:id="0"/>
    </w:p>
    <w:sectPr w:rsidR="003A71BA">
      <w:pgSz w:w="11910" w:h="16840"/>
      <w:pgMar w:top="860" w:right="700" w:bottom="500" w:left="720" w:header="0" w:footer="3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6B86">
      <w:r>
        <w:separator/>
      </w:r>
    </w:p>
  </w:endnote>
  <w:endnote w:type="continuationSeparator" w:id="0">
    <w:p w:rsidR="00000000" w:rsidRDefault="002A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BA" w:rsidRDefault="002A6B86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.9pt;margin-top:815.2pt;width:381.8pt;height:16.35pt;z-index:-252000256;mso-position-horizontal-relative:page;mso-position-vertical-relative:page" filled="f" stroked="f">
          <v:textbox inset="0,0,0,0">
            <w:txbxContent>
              <w:p w:rsidR="003A71BA" w:rsidRDefault="002A6B86">
                <w:pPr>
                  <w:pStyle w:val="Zkladntext"/>
                  <w:spacing w:before="62"/>
                  <w:ind w:left="20"/>
                </w:pPr>
                <w:r>
                  <w:t>GRIS BACK ENGINE, vzor 18.20.1 © 2014-2021, Grantová agentura České republiky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0.85pt;margin-top:815.2pt;width:18.8pt;height:16.35pt;z-index:-251999232;mso-position-horizontal-relative:page;mso-position-vertical-relative:page" filled="f" stroked="f">
          <v:textbox inset="0,0,0,0">
            <w:txbxContent>
              <w:p w:rsidR="003A71BA" w:rsidRDefault="002A6B86">
                <w:pPr>
                  <w:pStyle w:val="Zkladntext"/>
                  <w:spacing w:before="6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6B86">
      <w:r>
        <w:separator/>
      </w:r>
    </w:p>
  </w:footnote>
  <w:footnote w:type="continuationSeparator" w:id="0">
    <w:p w:rsidR="00000000" w:rsidRDefault="002A6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4C4"/>
    <w:multiLevelType w:val="hybridMultilevel"/>
    <w:tmpl w:val="1D14FD1E"/>
    <w:lvl w:ilvl="0" w:tplc="17AEEBBE">
      <w:start w:val="1"/>
      <w:numFmt w:val="decimal"/>
      <w:lvlText w:val="%1."/>
      <w:lvlJc w:val="left"/>
      <w:pPr>
        <w:ind w:left="741" w:hanging="293"/>
        <w:jc w:val="left"/>
      </w:pPr>
      <w:rPr>
        <w:rFonts w:ascii="Arial" w:eastAsia="Arial" w:hAnsi="Arial" w:cs="Arial" w:hint="default"/>
        <w:spacing w:val="-24"/>
        <w:w w:val="99"/>
        <w:sz w:val="20"/>
        <w:szCs w:val="20"/>
      </w:rPr>
    </w:lvl>
    <w:lvl w:ilvl="1" w:tplc="817E542E">
      <w:numFmt w:val="bullet"/>
      <w:lvlText w:val="•"/>
      <w:lvlJc w:val="left"/>
      <w:pPr>
        <w:ind w:left="1714" w:hanging="293"/>
      </w:pPr>
      <w:rPr>
        <w:rFonts w:hint="default"/>
      </w:rPr>
    </w:lvl>
    <w:lvl w:ilvl="2" w:tplc="043494D6">
      <w:numFmt w:val="bullet"/>
      <w:lvlText w:val="•"/>
      <w:lvlJc w:val="left"/>
      <w:pPr>
        <w:ind w:left="2689" w:hanging="293"/>
      </w:pPr>
      <w:rPr>
        <w:rFonts w:hint="default"/>
      </w:rPr>
    </w:lvl>
    <w:lvl w:ilvl="3" w:tplc="5CB878F6">
      <w:numFmt w:val="bullet"/>
      <w:lvlText w:val="•"/>
      <w:lvlJc w:val="left"/>
      <w:pPr>
        <w:ind w:left="3664" w:hanging="293"/>
      </w:pPr>
      <w:rPr>
        <w:rFonts w:hint="default"/>
      </w:rPr>
    </w:lvl>
    <w:lvl w:ilvl="4" w:tplc="D534EAD4">
      <w:numFmt w:val="bullet"/>
      <w:lvlText w:val="•"/>
      <w:lvlJc w:val="left"/>
      <w:pPr>
        <w:ind w:left="4639" w:hanging="293"/>
      </w:pPr>
      <w:rPr>
        <w:rFonts w:hint="default"/>
      </w:rPr>
    </w:lvl>
    <w:lvl w:ilvl="5" w:tplc="4B30C708">
      <w:numFmt w:val="bullet"/>
      <w:lvlText w:val="•"/>
      <w:lvlJc w:val="left"/>
      <w:pPr>
        <w:ind w:left="5613" w:hanging="293"/>
      </w:pPr>
      <w:rPr>
        <w:rFonts w:hint="default"/>
      </w:rPr>
    </w:lvl>
    <w:lvl w:ilvl="6" w:tplc="27ECEC26">
      <w:numFmt w:val="bullet"/>
      <w:lvlText w:val="•"/>
      <w:lvlJc w:val="left"/>
      <w:pPr>
        <w:ind w:left="6588" w:hanging="293"/>
      </w:pPr>
      <w:rPr>
        <w:rFonts w:hint="default"/>
      </w:rPr>
    </w:lvl>
    <w:lvl w:ilvl="7" w:tplc="20A4A5D2">
      <w:numFmt w:val="bullet"/>
      <w:lvlText w:val="•"/>
      <w:lvlJc w:val="left"/>
      <w:pPr>
        <w:ind w:left="7563" w:hanging="293"/>
      </w:pPr>
      <w:rPr>
        <w:rFonts w:hint="default"/>
      </w:rPr>
    </w:lvl>
    <w:lvl w:ilvl="8" w:tplc="0A4ED4D2">
      <w:numFmt w:val="bullet"/>
      <w:lvlText w:val="•"/>
      <w:lvlJc w:val="left"/>
      <w:pPr>
        <w:ind w:left="8538" w:hanging="293"/>
      </w:pPr>
      <w:rPr>
        <w:rFonts w:hint="default"/>
      </w:rPr>
    </w:lvl>
  </w:abstractNum>
  <w:abstractNum w:abstractNumId="1" w15:restartNumberingAfterBreak="0">
    <w:nsid w:val="277E3441"/>
    <w:multiLevelType w:val="hybridMultilevel"/>
    <w:tmpl w:val="D6E229C0"/>
    <w:lvl w:ilvl="0" w:tplc="F2123068">
      <w:start w:val="1"/>
      <w:numFmt w:val="decimal"/>
      <w:lvlText w:val="%1."/>
      <w:lvlJc w:val="left"/>
      <w:pPr>
        <w:ind w:left="741" w:hanging="293"/>
        <w:jc w:val="left"/>
      </w:pPr>
      <w:rPr>
        <w:rFonts w:ascii="Arial" w:eastAsia="Arial" w:hAnsi="Arial" w:cs="Arial" w:hint="default"/>
        <w:spacing w:val="-15"/>
        <w:w w:val="99"/>
        <w:sz w:val="20"/>
        <w:szCs w:val="20"/>
      </w:rPr>
    </w:lvl>
    <w:lvl w:ilvl="1" w:tplc="5B52E5FC">
      <w:numFmt w:val="bullet"/>
      <w:lvlText w:val="•"/>
      <w:lvlJc w:val="left"/>
      <w:pPr>
        <w:ind w:left="1714" w:hanging="293"/>
      </w:pPr>
      <w:rPr>
        <w:rFonts w:hint="default"/>
      </w:rPr>
    </w:lvl>
    <w:lvl w:ilvl="2" w:tplc="B0C637AA">
      <w:numFmt w:val="bullet"/>
      <w:lvlText w:val="•"/>
      <w:lvlJc w:val="left"/>
      <w:pPr>
        <w:ind w:left="2689" w:hanging="293"/>
      </w:pPr>
      <w:rPr>
        <w:rFonts w:hint="default"/>
      </w:rPr>
    </w:lvl>
    <w:lvl w:ilvl="3" w:tplc="DFBA9B1E">
      <w:numFmt w:val="bullet"/>
      <w:lvlText w:val="•"/>
      <w:lvlJc w:val="left"/>
      <w:pPr>
        <w:ind w:left="3664" w:hanging="293"/>
      </w:pPr>
      <w:rPr>
        <w:rFonts w:hint="default"/>
      </w:rPr>
    </w:lvl>
    <w:lvl w:ilvl="4" w:tplc="635C4518">
      <w:numFmt w:val="bullet"/>
      <w:lvlText w:val="•"/>
      <w:lvlJc w:val="left"/>
      <w:pPr>
        <w:ind w:left="4639" w:hanging="293"/>
      </w:pPr>
      <w:rPr>
        <w:rFonts w:hint="default"/>
      </w:rPr>
    </w:lvl>
    <w:lvl w:ilvl="5" w:tplc="FA66B544">
      <w:numFmt w:val="bullet"/>
      <w:lvlText w:val="•"/>
      <w:lvlJc w:val="left"/>
      <w:pPr>
        <w:ind w:left="5613" w:hanging="293"/>
      </w:pPr>
      <w:rPr>
        <w:rFonts w:hint="default"/>
      </w:rPr>
    </w:lvl>
    <w:lvl w:ilvl="6" w:tplc="89980624">
      <w:numFmt w:val="bullet"/>
      <w:lvlText w:val="•"/>
      <w:lvlJc w:val="left"/>
      <w:pPr>
        <w:ind w:left="6588" w:hanging="293"/>
      </w:pPr>
      <w:rPr>
        <w:rFonts w:hint="default"/>
      </w:rPr>
    </w:lvl>
    <w:lvl w:ilvl="7" w:tplc="E07A6C38">
      <w:numFmt w:val="bullet"/>
      <w:lvlText w:val="•"/>
      <w:lvlJc w:val="left"/>
      <w:pPr>
        <w:ind w:left="7563" w:hanging="293"/>
      </w:pPr>
      <w:rPr>
        <w:rFonts w:hint="default"/>
      </w:rPr>
    </w:lvl>
    <w:lvl w:ilvl="8" w:tplc="105E3F8A">
      <w:numFmt w:val="bullet"/>
      <w:lvlText w:val="•"/>
      <w:lvlJc w:val="left"/>
      <w:pPr>
        <w:ind w:left="8538" w:hanging="293"/>
      </w:pPr>
      <w:rPr>
        <w:rFonts w:hint="default"/>
      </w:rPr>
    </w:lvl>
  </w:abstractNum>
  <w:abstractNum w:abstractNumId="2" w15:restartNumberingAfterBreak="0">
    <w:nsid w:val="472A4C0E"/>
    <w:multiLevelType w:val="hybridMultilevel"/>
    <w:tmpl w:val="F350CEEC"/>
    <w:lvl w:ilvl="0" w:tplc="B4C6C116">
      <w:start w:val="1"/>
      <w:numFmt w:val="decimal"/>
      <w:lvlText w:val="%1."/>
      <w:lvlJc w:val="left"/>
      <w:pPr>
        <w:ind w:left="741" w:hanging="293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19A66AFA">
      <w:numFmt w:val="bullet"/>
      <w:lvlText w:val="•"/>
      <w:lvlJc w:val="left"/>
      <w:pPr>
        <w:ind w:left="1714" w:hanging="293"/>
      </w:pPr>
      <w:rPr>
        <w:rFonts w:hint="default"/>
      </w:rPr>
    </w:lvl>
    <w:lvl w:ilvl="2" w:tplc="6804D35A">
      <w:numFmt w:val="bullet"/>
      <w:lvlText w:val="•"/>
      <w:lvlJc w:val="left"/>
      <w:pPr>
        <w:ind w:left="2689" w:hanging="293"/>
      </w:pPr>
      <w:rPr>
        <w:rFonts w:hint="default"/>
      </w:rPr>
    </w:lvl>
    <w:lvl w:ilvl="3" w:tplc="DBBC680C">
      <w:numFmt w:val="bullet"/>
      <w:lvlText w:val="•"/>
      <w:lvlJc w:val="left"/>
      <w:pPr>
        <w:ind w:left="3664" w:hanging="293"/>
      </w:pPr>
      <w:rPr>
        <w:rFonts w:hint="default"/>
      </w:rPr>
    </w:lvl>
    <w:lvl w:ilvl="4" w:tplc="128CEEC4">
      <w:numFmt w:val="bullet"/>
      <w:lvlText w:val="•"/>
      <w:lvlJc w:val="left"/>
      <w:pPr>
        <w:ind w:left="4639" w:hanging="293"/>
      </w:pPr>
      <w:rPr>
        <w:rFonts w:hint="default"/>
      </w:rPr>
    </w:lvl>
    <w:lvl w:ilvl="5" w:tplc="667E54CA">
      <w:numFmt w:val="bullet"/>
      <w:lvlText w:val="•"/>
      <w:lvlJc w:val="left"/>
      <w:pPr>
        <w:ind w:left="5613" w:hanging="293"/>
      </w:pPr>
      <w:rPr>
        <w:rFonts w:hint="default"/>
      </w:rPr>
    </w:lvl>
    <w:lvl w:ilvl="6" w:tplc="4B7674A8">
      <w:numFmt w:val="bullet"/>
      <w:lvlText w:val="•"/>
      <w:lvlJc w:val="left"/>
      <w:pPr>
        <w:ind w:left="6588" w:hanging="293"/>
      </w:pPr>
      <w:rPr>
        <w:rFonts w:hint="default"/>
      </w:rPr>
    </w:lvl>
    <w:lvl w:ilvl="7" w:tplc="C9BCDD26">
      <w:numFmt w:val="bullet"/>
      <w:lvlText w:val="•"/>
      <w:lvlJc w:val="left"/>
      <w:pPr>
        <w:ind w:left="7563" w:hanging="293"/>
      </w:pPr>
      <w:rPr>
        <w:rFonts w:hint="default"/>
      </w:rPr>
    </w:lvl>
    <w:lvl w:ilvl="8" w:tplc="7C008CAC">
      <w:numFmt w:val="bullet"/>
      <w:lvlText w:val="•"/>
      <w:lvlJc w:val="left"/>
      <w:pPr>
        <w:ind w:left="8538" w:hanging="29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A71BA"/>
    <w:rsid w:val="002A6B86"/>
    <w:rsid w:val="003A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82A7BD"/>
  <w15:docId w15:val="{FEDEE6F3-ABC1-488A-B52F-6066C0F8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5108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741" w:hanging="293"/>
    </w:pPr>
  </w:style>
  <w:style w:type="paragraph" w:customStyle="1" w:styleId="TableParagraph">
    <w:name w:val="Table Paragraph"/>
    <w:basedOn w:val="Normln"/>
    <w:uiPriority w:val="1"/>
    <w:qFormat/>
    <w:pPr>
      <w:spacing w:before="44"/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ris.cz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960</Words>
  <Characters>5670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Svatošová Helena (200092)</cp:lastModifiedBy>
  <cp:revision>2</cp:revision>
  <dcterms:created xsi:type="dcterms:W3CDTF">2021-05-04T10:11:00Z</dcterms:created>
  <dcterms:modified xsi:type="dcterms:W3CDTF">2021-05-04T10:11:00Z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LastSaved">
    <vt:filetime>2021-05-04T00:00:00Z</vt:filetime>
  </property>
</Properties>
</file>