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6BA" w:rsidRDefault="00E73EB5">
      <w:pPr>
        <w:spacing w:line="1" w:lineRule="exact"/>
      </w:pPr>
      <w:r>
        <w:rPr>
          <w:noProof/>
          <w:lang w:bidi="ar-SA"/>
        </w:rPr>
        <mc:AlternateContent>
          <mc:Choice Requires="wps">
            <w:drawing>
              <wp:anchor distT="0" distB="0" distL="114300" distR="114300" simplePos="0" relativeHeight="251651584" behindDoc="1" locked="0" layoutInCell="1" allowOverlap="1">
                <wp:simplePos x="0" y="0"/>
                <wp:positionH relativeFrom="page">
                  <wp:posOffset>-647700</wp:posOffset>
                </wp:positionH>
                <wp:positionV relativeFrom="page">
                  <wp:posOffset>-95250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11A91A28" id="Shape 1" o:spid="_x0000_s1026" style="position:absolute;margin-left:-51pt;margin-top:-7.5pt;width:595pt;height:842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" fillcolor="#fefefe" stroked="f">
                <v:path arrowok="t"/>
                <o:lock v:ext="edit" rotation="t" position="t"/>
                <w10:wrap anchorx="page" anchory="page"/>
              </v:rect>
            </w:pict>
          </mc:Fallback>
        </mc:AlternateContent>
      </w:r>
    </w:p>
    <w:p w:rsidR="000D06BA" w:rsidRDefault="00E73EB5">
      <w:pPr>
        <w:pStyle w:val="Zkladntext30"/>
        <w:framePr w:w="888" w:h="274" w:wrap="none" w:hAnchor="page" w:x="112" w:y="1"/>
        <w:spacing w:before="80"/>
      </w:pPr>
      <w:r>
        <w:rPr>
          <w:color w:val="373838"/>
        </w:rPr>
        <w:t>■</w:t>
      </w:r>
      <w:r>
        <w:rPr>
          <w:color w:val="373838"/>
          <w:vertAlign w:val="subscript"/>
        </w:rPr>
        <w:t>4</w:t>
      </w:r>
      <w:r>
        <w:rPr>
          <w:color w:val="373838"/>
        </w:rPr>
        <w:t xml:space="preserve"> Mó- a ®</w:t>
      </w:r>
    </w:p>
    <w:p w:rsidR="000D06BA" w:rsidRDefault="000D06BA">
      <w:pPr>
        <w:spacing w:after="436" w:line="1" w:lineRule="exact"/>
      </w:pPr>
    </w:p>
    <w:p w:rsidR="000D06BA" w:rsidRDefault="000D06BA">
      <w:pPr>
        <w:spacing w:line="1" w:lineRule="exact"/>
        <w:sectPr w:rsidR="000D06BA">
          <w:pgSz w:w="11900" w:h="16840"/>
          <w:pgMar w:top="714" w:right="1402" w:bottom="2232" w:left="111" w:header="286" w:footer="1804" w:gutter="0"/>
          <w:pgNumType w:start="1"/>
          <w:cols w:space="720"/>
          <w:noEndnote/>
          <w:docGrid w:linePitch="360"/>
        </w:sectPr>
      </w:pPr>
    </w:p>
    <w:p w:rsidR="000D06BA" w:rsidRDefault="000D06BA">
      <w:pPr>
        <w:spacing w:before="59" w:after="59" w:line="240" w:lineRule="exact"/>
        <w:rPr>
          <w:sz w:val="19"/>
          <w:szCs w:val="19"/>
        </w:rPr>
      </w:pPr>
    </w:p>
    <w:p w:rsidR="000D06BA" w:rsidRDefault="000D06BA">
      <w:pPr>
        <w:spacing w:line="1" w:lineRule="exact"/>
        <w:sectPr w:rsidR="000D06BA">
          <w:type w:val="continuous"/>
          <w:pgSz w:w="11900" w:h="16840"/>
          <w:pgMar w:top="2037" w:right="0" w:bottom="1620" w:left="0" w:header="0" w:footer="3" w:gutter="0"/>
          <w:cols w:space="720"/>
          <w:noEndnote/>
          <w:docGrid w:linePitch="360"/>
        </w:sectPr>
      </w:pPr>
    </w:p>
    <w:p w:rsidR="000D06BA" w:rsidRDefault="00E73EB5">
      <w:pPr>
        <w:spacing w:line="1" w:lineRule="exact"/>
      </w:pPr>
      <w:r>
        <w:rPr>
          <w:noProof/>
          <w:lang w:bidi="ar-SA"/>
        </w:rPr>
        <w:drawing>
          <wp:anchor distT="0" distB="365760" distL="101600" distR="101600" simplePos="0" relativeHeight="251659776" behindDoc="0" locked="0" layoutInCell="1" allowOverlap="1">
            <wp:simplePos x="0" y="0"/>
            <wp:positionH relativeFrom="page">
              <wp:posOffset>149860</wp:posOffset>
            </wp:positionH>
            <wp:positionV relativeFrom="paragraph">
              <wp:posOffset>12700</wp:posOffset>
            </wp:positionV>
            <wp:extent cx="274320" cy="384175"/>
            <wp:effectExtent l="0" t="0" r="0" b="0"/>
            <wp:wrapSquare wrapText="right"/>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7"/>
                    <a:stretch/>
                  </pic:blipFill>
                  <pic:spPr>
                    <a:xfrm>
                      <a:off x="0" y="0"/>
                      <a:ext cx="274320" cy="384175"/>
                    </a:xfrm>
                    <a:prstGeom prst="rect">
                      <a:avLst/>
                    </a:prstGeom>
                  </pic:spPr>
                </pic:pic>
              </a:graphicData>
            </a:graphic>
          </wp:anchor>
        </w:drawing>
      </w:r>
      <w:r>
        <w:rPr>
          <w:noProof/>
          <w:lang w:bidi="ar-SA"/>
        </w:rPr>
        <mc:AlternateContent>
          <mc:Choice Requires="wps">
            <w:drawing>
              <wp:anchor distT="0" distB="0" distL="0" distR="0" simplePos="0" relativeHeight="251662848" behindDoc="0" locked="0" layoutInCell="1" allowOverlap="1">
                <wp:simplePos x="0" y="0"/>
                <wp:positionH relativeFrom="page">
                  <wp:posOffset>241300</wp:posOffset>
                </wp:positionH>
                <wp:positionV relativeFrom="paragraph">
                  <wp:posOffset>628650</wp:posOffset>
                </wp:positionV>
                <wp:extent cx="164465" cy="133985"/>
                <wp:effectExtent l="0" t="0" r="0" b="0"/>
                <wp:wrapNone/>
                <wp:docPr id="4" name="Shape 4"/>
                <wp:cNvGraphicFramePr/>
                <a:graphic xmlns:a="http://schemas.openxmlformats.org/drawingml/2006/main">
                  <a:graphicData uri="http://schemas.microsoft.com/office/word/2010/wordprocessingShape">
                    <wps:wsp>
                      <wps:cNvSpPr txBox="1"/>
                      <wps:spPr>
                        <a:xfrm>
                          <a:off x="0" y="0"/>
                          <a:ext cx="164465" cy="133985"/>
                        </a:xfrm>
                        <a:prstGeom prst="rect">
                          <a:avLst/>
                        </a:prstGeom>
                        <a:noFill/>
                      </wps:spPr>
                      <wps:txbx>
                        <w:txbxContent>
                          <w:p w:rsidR="000D06BA" w:rsidRDefault="00E73EB5">
                            <w:pPr>
                              <w:pStyle w:val="Titulekobrzku0"/>
                            </w:pPr>
                            <w:r>
                              <w:t>«c</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margin-left:19.pt;margin-top:49.5pt;width:12.950000000000001pt;height:10.550000000000001pt;z-index:25165772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spacing w:val="0"/>
                          <w:w w:val="100"/>
                          <w:position w:val="0"/>
                        </w:rPr>
                        <w:t>«c</w:t>
                      </w:r>
                    </w:p>
                  </w:txbxContent>
                </v:textbox>
                <w10:wrap anchorx="page"/>
              </v:shape>
            </w:pict>
          </mc:Fallback>
        </mc:AlternateContent>
      </w:r>
    </w:p>
    <w:p w:rsidR="000D06BA" w:rsidRDefault="00E73EB5">
      <w:pPr>
        <w:pStyle w:val="Nadpis10"/>
        <w:keepNext/>
        <w:keepLines/>
        <w:jc w:val="both"/>
      </w:pPr>
      <w:r>
        <w:rPr>
          <w:noProof/>
          <w:lang w:bidi="ar-SA"/>
        </w:rPr>
        <mc:AlternateContent>
          <mc:Choice Requires="wps">
            <w:drawing>
              <wp:anchor distT="0" distB="0" distL="114300" distR="114300" simplePos="0" relativeHeight="251660800" behindDoc="0" locked="0" layoutInCell="1" allowOverlap="1">
                <wp:simplePos x="0" y="0"/>
                <wp:positionH relativeFrom="page">
                  <wp:posOffset>3176270</wp:posOffset>
                </wp:positionH>
                <wp:positionV relativeFrom="paragraph">
                  <wp:posOffset>12700</wp:posOffset>
                </wp:positionV>
                <wp:extent cx="1804670" cy="247015"/>
                <wp:effectExtent l="0" t="0" r="0" b="0"/>
                <wp:wrapSquare wrapText="left"/>
                <wp:docPr id="6" name="Shape 6"/>
                <wp:cNvGraphicFramePr/>
                <a:graphic xmlns:a="http://schemas.openxmlformats.org/drawingml/2006/main">
                  <a:graphicData uri="http://schemas.microsoft.com/office/word/2010/wordprocessingShape">
                    <wps:wsp>
                      <wps:cNvSpPr txBox="1"/>
                      <wps:spPr>
                        <a:xfrm>
                          <a:off x="0" y="0"/>
                          <a:ext cx="1804670" cy="247015"/>
                        </a:xfrm>
                        <a:prstGeom prst="rect">
                          <a:avLst/>
                        </a:prstGeom>
                        <a:noFill/>
                      </wps:spPr>
                      <wps:txbx>
                        <w:txbxContent>
                          <w:p w:rsidR="000D06BA" w:rsidRDefault="000D06BA">
                            <w:pPr>
                              <w:pStyle w:val="Zkladntext40"/>
                              <w:rPr>
                                <w:sz w:val="28"/>
                                <w:szCs w:val="28"/>
                              </w:rPr>
                            </w:pP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6" o:spid="_x0000_s1027" type="#_x0000_t202" style="position:absolute;left:0;text-align:left;margin-left:250.1pt;margin-top:1pt;width:142.1pt;height:19.45pt;z-index:25166080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" filled="f" stroked="f">
                <v:textbox inset="0,0,0,0">
                  <w:txbxContent>
                    <w:p w:rsidR="000D06BA" w:rsidRDefault="000D06BA">
                      <w:pPr>
                        <w:pStyle w:val="Zkladntext40"/>
                        <w:rPr>
                          <w:sz w:val="28"/>
                          <w:szCs w:val="28"/>
                        </w:rPr>
                      </w:pPr>
                    </w:p>
                  </w:txbxContent>
                </v:textbox>
                <w10:wrap type="square" side="left" anchorx="page"/>
              </v:shape>
            </w:pict>
          </mc:Fallback>
        </mc:AlternateContent>
      </w:r>
      <w:bookmarkStart w:id="0" w:name="bookmark0"/>
      <w:bookmarkStart w:id="1" w:name="bookmark1"/>
      <w:bookmarkStart w:id="2" w:name="bookmark2"/>
      <w:r>
        <w:t xml:space="preserve">Servisní </w:t>
      </w:r>
      <w:r>
        <w:rPr>
          <w:color w:val="181919"/>
        </w:rPr>
        <w:t xml:space="preserve">smlouva </w:t>
      </w:r>
      <w:r>
        <w:t>basic</w:t>
      </w:r>
      <w:bookmarkEnd w:id="0"/>
      <w:bookmarkEnd w:id="1"/>
      <w:bookmarkEnd w:id="2"/>
    </w:p>
    <w:p w:rsidR="000D06BA" w:rsidRDefault="00E73EB5">
      <w:pPr>
        <w:pStyle w:val="Zkladntext30"/>
      </w:pPr>
      <w:r>
        <w:t xml:space="preserve">C </w:t>
      </w:r>
      <w:r>
        <w:rPr>
          <w:vertAlign w:val="superscript"/>
        </w:rPr>
        <w:t xml:space="preserve">J </w:t>
      </w:r>
      <w:r>
        <w:t>® o</w:t>
      </w:r>
    </w:p>
    <w:p w:rsidR="000D06BA" w:rsidRDefault="00E73EB5">
      <w:pPr>
        <w:pStyle w:val="Zkladntext1"/>
        <w:spacing w:after="200"/>
        <w:ind w:firstLine="0"/>
      </w:pPr>
      <w:r>
        <w:rPr>
          <w:b/>
          <w:bCs/>
          <w:sz w:val="9"/>
          <w:szCs w:val="9"/>
        </w:rPr>
        <w:t xml:space="preserve">2 &lt;o </w:t>
      </w:r>
      <w:r>
        <w:rPr>
          <w:i/>
          <w:iCs/>
        </w:rPr>
        <w:t>uzavřená dle ustanovení § 1746 odst. 2 zákona č. 89/2012 Sb., občanského zákoníku věznění pozdějších předpisů (dále jen „občanský zákoník“)</w:t>
      </w:r>
    </w:p>
    <w:p w:rsidR="000D06BA" w:rsidRDefault="00E73EB5">
      <w:pPr>
        <w:pStyle w:val="Zkladntext1"/>
        <w:spacing w:after="200"/>
        <w:ind w:firstLine="860"/>
      </w:pPr>
      <w:r>
        <w:t>Smluvní strany:</w:t>
      </w:r>
    </w:p>
    <w:p w:rsidR="000D06BA" w:rsidRDefault="00E73EB5">
      <w:pPr>
        <w:pStyle w:val="Nadpis30"/>
        <w:keepNext/>
        <w:keepLines/>
        <w:spacing w:after="0"/>
        <w:ind w:left="0" w:firstLine="860"/>
        <w:jc w:val="both"/>
      </w:pPr>
      <w:bookmarkStart w:id="3" w:name="bookmark3"/>
      <w:bookmarkStart w:id="4" w:name="bookmark4"/>
      <w:bookmarkStart w:id="5" w:name="bookmark5"/>
      <w:r>
        <w:t>Nemocnice Jablonec nad Nisou, p.o.</w:t>
      </w:r>
      <w:bookmarkEnd w:id="3"/>
      <w:bookmarkEnd w:id="4"/>
      <w:bookmarkEnd w:id="5"/>
    </w:p>
    <w:p w:rsidR="000D06BA" w:rsidRDefault="00E73EB5">
      <w:pPr>
        <w:pStyle w:val="Zkladntext1"/>
        <w:spacing w:after="0" w:line="230" w:lineRule="auto"/>
        <w:ind w:firstLine="860"/>
        <w:jc w:val="both"/>
      </w:pPr>
      <w:r>
        <w:t>se sídlem: Jablonec nad Nisou, Nemocniční ulice 15, PSČ 466 60</w:t>
      </w:r>
    </w:p>
    <w:p w:rsidR="000D06BA" w:rsidRDefault="00E73EB5">
      <w:pPr>
        <w:pStyle w:val="Zkladntext1"/>
        <w:spacing w:after="0"/>
        <w:ind w:firstLine="860"/>
        <w:jc w:val="both"/>
      </w:pPr>
      <w:r>
        <w:t>zapsaná v OR vedeném Krajským soudem v Ústí nad Labem, oddíl Pr, vložka 107</w:t>
      </w:r>
    </w:p>
    <w:p w:rsidR="000D06BA" w:rsidRDefault="00E73EB5">
      <w:pPr>
        <w:pStyle w:val="Zkladntext1"/>
        <w:spacing w:after="0"/>
        <w:ind w:firstLine="860"/>
      </w:pPr>
      <w:r>
        <w:t>IČO: 00829838</w:t>
      </w:r>
    </w:p>
    <w:p w:rsidR="000D06BA" w:rsidRDefault="00E73EB5">
      <w:pPr>
        <w:pStyle w:val="Zkladntext1"/>
        <w:spacing w:after="0"/>
        <w:ind w:firstLine="860"/>
      </w:pPr>
      <w:r>
        <w:t>DIČ: CZ00829838</w:t>
      </w:r>
    </w:p>
    <w:p w:rsidR="000D06BA" w:rsidRDefault="00E73EB5">
      <w:pPr>
        <w:pStyle w:val="Zkladntext1"/>
        <w:spacing w:after="0" w:line="230" w:lineRule="auto"/>
        <w:ind w:firstLine="860"/>
        <w:jc w:val="both"/>
      </w:pPr>
      <w:r>
        <w:t>bankovní spojení: xxxxxxxxxxxxxxx, xxxxxxxxxxxxxxxx</w:t>
      </w:r>
    </w:p>
    <w:p w:rsidR="000D06BA" w:rsidRDefault="00E73EB5">
      <w:pPr>
        <w:pStyle w:val="Zkladntext1"/>
        <w:spacing w:after="0"/>
        <w:ind w:firstLine="860"/>
        <w:jc w:val="both"/>
      </w:pPr>
      <w:r>
        <w:t>zastoupena: MUDr. Vítem Němečkem, MBA, ředitelem</w:t>
      </w:r>
    </w:p>
    <w:p w:rsidR="000D06BA" w:rsidRDefault="00E73EB5">
      <w:pPr>
        <w:pStyle w:val="Zkladntext1"/>
        <w:spacing w:after="680"/>
        <w:ind w:firstLine="860"/>
        <w:jc w:val="both"/>
      </w:pPr>
      <w:r>
        <w:t xml:space="preserve">(dále jen </w:t>
      </w:r>
      <w:r>
        <w:rPr>
          <w:b/>
          <w:bCs/>
        </w:rPr>
        <w:t>„Objednatel ")</w:t>
      </w:r>
    </w:p>
    <w:p w:rsidR="000D06BA" w:rsidRDefault="00E73EB5">
      <w:pPr>
        <w:pStyle w:val="Nadpis30"/>
        <w:keepNext/>
        <w:keepLines/>
        <w:spacing w:after="0"/>
        <w:ind w:left="0" w:firstLine="860"/>
        <w:jc w:val="both"/>
      </w:pPr>
      <w:bookmarkStart w:id="6" w:name="bookmark6"/>
      <w:bookmarkStart w:id="7" w:name="bookmark7"/>
      <w:bookmarkStart w:id="8" w:name="bookmark8"/>
      <w:r>
        <w:t>SPEDOS s.r.o.</w:t>
      </w:r>
      <w:bookmarkEnd w:id="6"/>
      <w:bookmarkEnd w:id="7"/>
      <w:bookmarkEnd w:id="8"/>
    </w:p>
    <w:p w:rsidR="000D06BA" w:rsidRDefault="00E73EB5">
      <w:pPr>
        <w:pStyle w:val="Zkladntext1"/>
        <w:spacing w:after="0"/>
        <w:ind w:firstLine="860"/>
        <w:jc w:val="both"/>
      </w:pPr>
      <w:r>
        <w:t>se sídlem Hranická 771, 757 01 Valašské Meziříčí</w:t>
      </w:r>
    </w:p>
    <w:p w:rsidR="000D06BA" w:rsidRDefault="00E73EB5">
      <w:pPr>
        <w:pStyle w:val="Zkladntext1"/>
        <w:spacing w:after="0"/>
        <w:ind w:firstLine="860"/>
        <w:jc w:val="both"/>
      </w:pPr>
      <w:r>
        <w:t>zapsaná v OR vedeném Krajským soudem v Ostravě, oddíl C, vložka 1125</w:t>
      </w:r>
    </w:p>
    <w:p w:rsidR="000D06BA" w:rsidRDefault="00E73EB5">
      <w:pPr>
        <w:pStyle w:val="Zkladntext1"/>
        <w:spacing w:after="0"/>
        <w:ind w:firstLine="860"/>
      </w:pPr>
      <w:r>
        <w:t>IČO: 410 84 781</w:t>
      </w:r>
    </w:p>
    <w:p w:rsidR="000D06BA" w:rsidRDefault="00E73EB5">
      <w:pPr>
        <w:pStyle w:val="Zkladntext1"/>
        <w:spacing w:after="0"/>
        <w:ind w:firstLine="860"/>
      </w:pPr>
      <w:r>
        <w:t>DIČ: CZ410 84 781</w:t>
      </w:r>
    </w:p>
    <w:p w:rsidR="000D06BA" w:rsidRDefault="00E73EB5">
      <w:pPr>
        <w:pStyle w:val="Zkladntext1"/>
        <w:spacing w:after="0" w:line="230" w:lineRule="auto"/>
        <w:ind w:firstLine="860"/>
        <w:jc w:val="both"/>
      </w:pPr>
      <w:r>
        <w:t>bankovní spojení: xxxxxxxxxxxxxxx, xxxxxxxxxxxxxxx</w:t>
      </w:r>
    </w:p>
    <w:p w:rsidR="000D06BA" w:rsidRDefault="00E73EB5">
      <w:pPr>
        <w:pStyle w:val="Zkladntext1"/>
        <w:spacing w:after="0"/>
        <w:ind w:firstLine="860"/>
        <w:jc w:val="both"/>
      </w:pPr>
      <w:r>
        <w:t>zastoupena: xxxxxxxxxxxxxxxxxx, na základě plné moci</w:t>
      </w:r>
    </w:p>
    <w:p w:rsidR="000D06BA" w:rsidRDefault="00E73EB5">
      <w:pPr>
        <w:pStyle w:val="Zkladntext1"/>
        <w:spacing w:after="200"/>
        <w:ind w:firstLine="860"/>
        <w:jc w:val="both"/>
      </w:pPr>
      <w:r>
        <w:t xml:space="preserve">(dále jen </w:t>
      </w:r>
      <w:r>
        <w:rPr>
          <w:b/>
          <w:bCs/>
        </w:rPr>
        <w:t>„Poskytovatel')</w:t>
      </w:r>
    </w:p>
    <w:p w:rsidR="000D06BA" w:rsidRDefault="00E73EB5">
      <w:pPr>
        <w:pStyle w:val="Zkladntext1"/>
        <w:spacing w:after="400"/>
        <w:ind w:firstLine="860"/>
        <w:jc w:val="both"/>
      </w:pPr>
      <w:r>
        <w:t xml:space="preserve">dále společně jen </w:t>
      </w:r>
      <w:r>
        <w:rPr>
          <w:b/>
          <w:bCs/>
        </w:rPr>
        <w:t>„Smluvní strany“</w:t>
      </w:r>
    </w:p>
    <w:p w:rsidR="000D06BA" w:rsidRDefault="00E73EB5">
      <w:pPr>
        <w:pStyle w:val="Zkladntext1"/>
        <w:spacing w:after="200"/>
        <w:ind w:firstLine="860"/>
      </w:pPr>
      <w:r>
        <w:t>uzavírají tuto</w:t>
      </w:r>
    </w:p>
    <w:p w:rsidR="000D06BA" w:rsidRDefault="00E73EB5">
      <w:pPr>
        <w:pStyle w:val="Nadpis30"/>
        <w:keepNext/>
        <w:keepLines/>
        <w:spacing w:after="200"/>
        <w:ind w:left="3760"/>
      </w:pPr>
      <w:bookmarkStart w:id="9" w:name="bookmark11"/>
      <w:r>
        <w:t>servisní smlouvu (dále jen „Smlouva“)</w:t>
      </w:r>
      <w:bookmarkEnd w:id="9"/>
    </w:p>
    <w:p w:rsidR="000D06BA" w:rsidRDefault="00E73EB5">
      <w:pPr>
        <w:pStyle w:val="Nadpis30"/>
        <w:keepNext/>
        <w:keepLines/>
        <w:spacing w:after="200"/>
        <w:ind w:left="0"/>
        <w:jc w:val="center"/>
      </w:pPr>
      <w:bookmarkStart w:id="10" w:name="bookmark10"/>
      <w:bookmarkStart w:id="11" w:name="bookmark12"/>
      <w:bookmarkStart w:id="12" w:name="bookmark9"/>
      <w:r>
        <w:t>Úvodní ustanovení</w:t>
      </w:r>
      <w:bookmarkEnd w:id="10"/>
      <w:bookmarkEnd w:id="11"/>
      <w:bookmarkEnd w:id="12"/>
    </w:p>
    <w:p w:rsidR="000D06BA" w:rsidRDefault="00E73EB5">
      <w:pPr>
        <w:pStyle w:val="Zkladntext1"/>
        <w:numPr>
          <w:ilvl w:val="0"/>
          <w:numId w:val="1"/>
        </w:numPr>
        <w:tabs>
          <w:tab w:val="left" w:pos="1585"/>
        </w:tabs>
        <w:spacing w:after="200"/>
        <w:ind w:left="860"/>
        <w:jc w:val="both"/>
      </w:pPr>
      <w:bookmarkStart w:id="13" w:name="bookmark13"/>
      <w:bookmarkEnd w:id="13"/>
      <w:r>
        <w:t>Poskytovatel prohlašuje, že je společností činnou řadu let v oblasti údržby a servisu zařízení a je odborně způsobilý k činnostem sjednaným v této Smlouvě. Poskytovatel se tímto prohlášením přihlašuje k odbornému výkonu činností, jež jsou předmětem této Smlouvy.</w:t>
      </w:r>
    </w:p>
    <w:p w:rsidR="000D06BA" w:rsidRDefault="00E73EB5">
      <w:pPr>
        <w:pStyle w:val="Zkladntext1"/>
        <w:numPr>
          <w:ilvl w:val="0"/>
          <w:numId w:val="1"/>
        </w:numPr>
        <w:tabs>
          <w:tab w:val="left" w:pos="1585"/>
        </w:tabs>
        <w:spacing w:after="200"/>
        <w:ind w:left="860"/>
        <w:jc w:val="both"/>
      </w:pPr>
      <w:bookmarkStart w:id="14" w:name="bookmark14"/>
      <w:bookmarkEnd w:id="14"/>
      <w:r>
        <w:t>Objednatel má zájem na tom, aby pro něj Poskytovatel prováděl pravidelné technické údržby a pozáruční servis.</w:t>
      </w:r>
    </w:p>
    <w:p w:rsidR="000D06BA" w:rsidRDefault="00E73EB5">
      <w:pPr>
        <w:pStyle w:val="Nadpis30"/>
        <w:keepNext/>
        <w:keepLines/>
        <w:spacing w:after="200"/>
        <w:ind w:left="5320"/>
      </w:pPr>
      <w:bookmarkStart w:id="15" w:name="bookmark15"/>
      <w:bookmarkStart w:id="16" w:name="bookmark16"/>
      <w:bookmarkStart w:id="17" w:name="bookmark17"/>
      <w:r>
        <w:t>Předmět smlouvy</w:t>
      </w:r>
      <w:bookmarkEnd w:id="15"/>
      <w:bookmarkEnd w:id="16"/>
      <w:bookmarkEnd w:id="17"/>
    </w:p>
    <w:p w:rsidR="000D06BA" w:rsidRDefault="00E73EB5">
      <w:pPr>
        <w:pStyle w:val="Zkladntext1"/>
        <w:numPr>
          <w:ilvl w:val="0"/>
          <w:numId w:val="1"/>
        </w:numPr>
        <w:tabs>
          <w:tab w:val="left" w:pos="1585"/>
        </w:tabs>
        <w:spacing w:after="200"/>
        <w:ind w:left="860"/>
        <w:jc w:val="both"/>
      </w:pPr>
      <w:bookmarkStart w:id="18" w:name="bookmark18"/>
      <w:bookmarkEnd w:id="18"/>
      <w:r>
        <w:t>Předmětem této Smlouvy je závazek Poskytovatele jedenkrát ročně v období květen-červen provést dílo údržby spočívající v provedení technické údržby a dále poskytovat pozáruční servisní služby specifikované v Příloze č. 1 servisní protokol Basic této Smlouvy, to vše na zařízení, jejichž seznam je rovněž uveden v Příloze č. 2 této Smlouvy a závazek Objednatele za takto provedené dílo a poskytnuté služby uhradit Poskytovateli dále sjednanou cenu.</w:t>
      </w:r>
    </w:p>
    <w:p w:rsidR="000D06BA" w:rsidRDefault="00E73EB5">
      <w:pPr>
        <w:pStyle w:val="Zkladntext1"/>
        <w:numPr>
          <w:ilvl w:val="0"/>
          <w:numId w:val="1"/>
        </w:numPr>
        <w:tabs>
          <w:tab w:val="left" w:pos="1585"/>
        </w:tabs>
        <w:spacing w:after="200"/>
        <w:ind w:left="860"/>
        <w:jc w:val="both"/>
      </w:pPr>
      <w:bookmarkStart w:id="19" w:name="bookmark19"/>
      <w:bookmarkEnd w:id="19"/>
      <w:r>
        <w:t>Smluvní strany výslovně konstatují, že veškerá zařízení, na nichž bude podle této Smlouvy Poskytovatel provádět dílo údržby a servisní služby, jsou a zůstávají plně ve vlastnictví Objednatele.</w:t>
      </w:r>
    </w:p>
    <w:p w:rsidR="000D06BA" w:rsidRDefault="00E73EB5">
      <w:pPr>
        <w:pStyle w:val="Zkladntext1"/>
        <w:spacing w:after="200"/>
        <w:ind w:left="5860" w:firstLine="0"/>
      </w:pPr>
      <w:r>
        <w:rPr>
          <w:b/>
          <w:bCs/>
        </w:rPr>
        <w:t>Servis</w:t>
      </w:r>
      <w:r>
        <w:br w:type="page"/>
      </w:r>
    </w:p>
    <w:p w:rsidR="000D06BA" w:rsidRDefault="00E73EB5">
      <w:pPr>
        <w:spacing w:line="1" w:lineRule="exact"/>
      </w:pPr>
      <w:r>
        <w:rPr>
          <w:noProof/>
          <w:lang w:bidi="ar-SA"/>
        </w:rPr>
        <w:lastRenderedPageBreak/>
        <mc:AlternateContent>
          <mc:Choice Requires="wps">
            <w:drawing>
              <wp:anchor distT="0" distB="0" distL="114300" distR="114300" simplePos="0" relativeHeight="251652608" behindDoc="1" locked="0" layoutInCell="1" allowOverlap="1">
                <wp:simplePos x="0" y="0"/>
                <wp:positionH relativeFrom="page">
                  <wp:posOffset>0</wp:posOffset>
                </wp:positionH>
                <wp:positionV relativeFrom="page">
                  <wp:posOffset>0</wp:posOffset>
                </wp:positionV>
                <wp:extent cx="7556500" cy="10693400"/>
                <wp:effectExtent l="0" t="0" r="0" b="0"/>
                <wp:wrapNone/>
                <wp:docPr id="8" name="Shape 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1" fillcolor="#FEFEFE" stroked="f"/>
            </w:pict>
          </mc:Fallback>
        </mc:AlternateContent>
      </w:r>
    </w:p>
    <w:p w:rsidR="000D06BA" w:rsidRDefault="00E73EB5">
      <w:pPr>
        <w:pStyle w:val="Zkladntext1"/>
        <w:numPr>
          <w:ilvl w:val="0"/>
          <w:numId w:val="1"/>
        </w:numPr>
        <w:tabs>
          <w:tab w:val="left" w:pos="1560"/>
        </w:tabs>
        <w:spacing w:after="0" w:line="266" w:lineRule="auto"/>
        <w:ind w:left="840" w:firstLine="40"/>
        <w:jc w:val="both"/>
      </w:pPr>
      <w:bookmarkStart w:id="20" w:name="bookmark20"/>
      <w:bookmarkEnd w:id="20"/>
      <w:r>
        <w:t>Smluvní strany výslovně ujednaly místo provádění údržby a poskytování servisních služeb podle této Smlouvy, a to:</w:t>
      </w:r>
    </w:p>
    <w:p w:rsidR="000D06BA" w:rsidRDefault="00E73EB5">
      <w:pPr>
        <w:pStyle w:val="Zkladntext1"/>
        <w:spacing w:after="0"/>
        <w:ind w:left="840" w:firstLine="40"/>
        <w:jc w:val="both"/>
      </w:pPr>
      <w:r>
        <w:t>Nemocnice Jablonec nad Nisou, Nemocniční ulice 15, 466 60 Jablonec nad Nisou,</w:t>
      </w:r>
    </w:p>
    <w:p w:rsidR="000D06BA" w:rsidRDefault="00E73EB5">
      <w:pPr>
        <w:pStyle w:val="Zkladntext1"/>
        <w:spacing w:after="160"/>
        <w:ind w:left="840" w:firstLine="40"/>
        <w:jc w:val="both"/>
      </w:pPr>
      <w:r>
        <w:t>a to konkrétně v místě zařízení označených v Příloze č. 2 této Smlouvy. Poskytovatel není oprávněn bez výslovného písemného souhlasu Objednatele z místa provádění údržby a poskytování servisních služeb podle věty první tohoto odstavce odvážet nebo jinak přemísťovat zařízení, jež jsou předmětem údržby a jsou ve vlastnictví Objednatele.</w:t>
      </w:r>
    </w:p>
    <w:p w:rsidR="000D06BA" w:rsidRDefault="00E73EB5">
      <w:pPr>
        <w:pStyle w:val="Zkladntext1"/>
        <w:numPr>
          <w:ilvl w:val="0"/>
          <w:numId w:val="1"/>
        </w:numPr>
        <w:tabs>
          <w:tab w:val="left" w:pos="1560"/>
        </w:tabs>
        <w:spacing w:after="160" w:line="266" w:lineRule="auto"/>
        <w:ind w:left="840" w:firstLine="40"/>
        <w:jc w:val="both"/>
      </w:pPr>
      <w:bookmarkStart w:id="21" w:name="bookmark21"/>
      <w:bookmarkEnd w:id="21"/>
      <w:r>
        <w:t>Poskytovatel je povinen provádět na základě výzvy a požadavků Objednatele havarijní servisní zásahy.</w:t>
      </w:r>
    </w:p>
    <w:p w:rsidR="000D06BA" w:rsidRDefault="00E73EB5">
      <w:pPr>
        <w:pStyle w:val="Zkladntext1"/>
        <w:numPr>
          <w:ilvl w:val="0"/>
          <w:numId w:val="1"/>
        </w:numPr>
        <w:tabs>
          <w:tab w:val="left" w:pos="1560"/>
        </w:tabs>
        <w:spacing w:after="200"/>
        <w:ind w:left="840" w:firstLine="40"/>
        <w:jc w:val="both"/>
      </w:pPr>
      <w:bookmarkStart w:id="22" w:name="bookmark22"/>
      <w:bookmarkEnd w:id="22"/>
      <w:r>
        <w:t>Rychlost poskytovaných služeb Poskytovatelem je garantována v rozsahu do 24 hod.</w:t>
      </w:r>
    </w:p>
    <w:p w:rsidR="000D06BA" w:rsidRDefault="00E73EB5">
      <w:pPr>
        <w:pStyle w:val="Zkladntext1"/>
        <w:numPr>
          <w:ilvl w:val="0"/>
          <w:numId w:val="1"/>
        </w:numPr>
        <w:tabs>
          <w:tab w:val="left" w:pos="1560"/>
        </w:tabs>
        <w:spacing w:after="160" w:line="266" w:lineRule="auto"/>
        <w:ind w:left="840" w:firstLine="40"/>
        <w:jc w:val="both"/>
      </w:pPr>
      <w:bookmarkStart w:id="23" w:name="bookmark23"/>
      <w:bookmarkEnd w:id="23"/>
      <w:r>
        <w:t xml:space="preserve">Objednatel poruchu nahlásí Poskytovateli telefonicky na čísle: </w:t>
      </w:r>
      <w:r w:rsidR="009466CD">
        <w:t>xxxxxxxxxxxxxxx</w:t>
      </w:r>
      <w:bookmarkStart w:id="24" w:name="_GoBack"/>
      <w:bookmarkEnd w:id="24"/>
      <w:r>
        <w:t xml:space="preserve"> a následně ji potvrdí e-mailem na adresu: </w:t>
      </w:r>
      <w:hyperlink r:id="rId8" w:history="1">
        <w:r w:rsidR="009466CD">
          <w:rPr>
            <w:u w:val="single"/>
          </w:rPr>
          <w:t>xxxxxxxxxxxxxx</w:t>
        </w:r>
      </w:hyperlink>
      <w:r>
        <w:t xml:space="preserve"> nebo faxem na </w:t>
      </w:r>
      <w:r w:rsidR="009466CD">
        <w:t>xxxxxxxxxxxx</w:t>
      </w:r>
    </w:p>
    <w:p w:rsidR="000D06BA" w:rsidRDefault="00E73EB5">
      <w:pPr>
        <w:pStyle w:val="Zkladntext1"/>
        <w:numPr>
          <w:ilvl w:val="0"/>
          <w:numId w:val="1"/>
        </w:numPr>
        <w:tabs>
          <w:tab w:val="left" w:pos="1560"/>
        </w:tabs>
        <w:spacing w:after="160"/>
        <w:ind w:left="840" w:firstLine="40"/>
        <w:jc w:val="both"/>
      </w:pPr>
      <w:bookmarkStart w:id="25" w:name="bookmark24"/>
      <w:bookmarkEnd w:id="25"/>
      <w:r>
        <w:t>Vedle rychlosti poskytované služby je poskytovatelem garantována i doba odstranění poruchy, respektive doba zajištění náhradního provozu v takových případech, kdy není z technických důvodů možné v daném čase poruchu odstranit. Náhradní řešení musí umožnit funkčnost předmětných zařízení Objednatele a bude nahrazeno v nejbližším možném termínu. Pokud z objektivních důvodů nebude možné odstranit poruchu či zajistit plnohodnotný náhradní provoz do požadované lhůty, je Poskytovatel povinen reagovat na vyžádání zásahu Objednatele a řešit problém v co nejkratším možném termínu.</w:t>
      </w:r>
    </w:p>
    <w:p w:rsidR="000D06BA" w:rsidRDefault="00E73EB5">
      <w:pPr>
        <w:pStyle w:val="Zkladntext1"/>
        <w:numPr>
          <w:ilvl w:val="0"/>
          <w:numId w:val="1"/>
        </w:numPr>
        <w:tabs>
          <w:tab w:val="left" w:pos="1560"/>
        </w:tabs>
        <w:spacing w:after="160" w:line="262" w:lineRule="auto"/>
        <w:ind w:left="840" w:firstLine="40"/>
        <w:jc w:val="both"/>
      </w:pPr>
      <w:bookmarkStart w:id="26" w:name="bookmark25"/>
      <w:bookmarkEnd w:id="26"/>
      <w:r>
        <w:t>Doba na odstranění poruchy, respektive doba zajištění náhradního provozu je garantována v rozsahu od 48 do 96 hodin od nahlášení poruchy, pokud se Smluvní strany nedohodnou jinak.</w:t>
      </w:r>
    </w:p>
    <w:p w:rsidR="000D06BA" w:rsidRDefault="00E73EB5">
      <w:pPr>
        <w:pStyle w:val="Zkladntext1"/>
        <w:numPr>
          <w:ilvl w:val="0"/>
          <w:numId w:val="1"/>
        </w:numPr>
        <w:tabs>
          <w:tab w:val="left" w:pos="1560"/>
        </w:tabs>
        <w:spacing w:after="160" w:line="266" w:lineRule="auto"/>
        <w:ind w:left="840" w:firstLine="40"/>
        <w:jc w:val="both"/>
      </w:pPr>
      <w:bookmarkStart w:id="27" w:name="bookmark26"/>
      <w:bookmarkEnd w:id="27"/>
      <w:r>
        <w:t>Poskytovatel je povinen garantovat poskytování služeb v pracovní dny nepřetržitě 24 hodin denně.</w:t>
      </w:r>
    </w:p>
    <w:p w:rsidR="000D06BA" w:rsidRDefault="00E73EB5">
      <w:pPr>
        <w:pStyle w:val="Nadpis30"/>
        <w:keepNext/>
        <w:keepLines/>
        <w:spacing w:after="200"/>
        <w:ind w:left="4440"/>
        <w:jc w:val="both"/>
      </w:pPr>
      <w:bookmarkStart w:id="28" w:name="bookmark27"/>
      <w:bookmarkStart w:id="29" w:name="bookmark28"/>
      <w:bookmarkStart w:id="30" w:name="bookmark29"/>
      <w:r>
        <w:t>Práva a povinnosti Smluvních stran</w:t>
      </w:r>
      <w:bookmarkEnd w:id="28"/>
      <w:bookmarkEnd w:id="29"/>
      <w:bookmarkEnd w:id="30"/>
    </w:p>
    <w:p w:rsidR="000D06BA" w:rsidRDefault="00E73EB5">
      <w:pPr>
        <w:pStyle w:val="Zkladntext1"/>
        <w:numPr>
          <w:ilvl w:val="0"/>
          <w:numId w:val="1"/>
        </w:numPr>
        <w:tabs>
          <w:tab w:val="left" w:pos="1560"/>
        </w:tabs>
        <w:spacing w:after="0"/>
        <w:ind w:firstLine="840"/>
        <w:jc w:val="both"/>
      </w:pPr>
      <w:bookmarkStart w:id="31" w:name="bookmark30"/>
      <w:bookmarkEnd w:id="31"/>
      <w:r>
        <w:t>Objednatel je povinen:</w:t>
      </w:r>
    </w:p>
    <w:p w:rsidR="000D06BA" w:rsidRDefault="00E73EB5">
      <w:pPr>
        <w:pStyle w:val="Zkladntext1"/>
        <w:numPr>
          <w:ilvl w:val="0"/>
          <w:numId w:val="2"/>
        </w:numPr>
        <w:tabs>
          <w:tab w:val="left" w:pos="1560"/>
        </w:tabs>
        <w:spacing w:after="0"/>
        <w:ind w:left="1620" w:hanging="380"/>
        <w:jc w:val="both"/>
      </w:pPr>
      <w:bookmarkStart w:id="32" w:name="bookmark31"/>
      <w:bookmarkEnd w:id="32"/>
      <w:r>
        <w:t>poskytnout poskytovateli přístup do svých prostor a zajistit vhodné parkovací místo co nejblíže servisovanému zařízení za účelem poskytnutí plnění dle této Smlouvy,</w:t>
      </w:r>
    </w:p>
    <w:p w:rsidR="000D06BA" w:rsidRDefault="00E73EB5">
      <w:pPr>
        <w:pStyle w:val="Zkladntext1"/>
        <w:numPr>
          <w:ilvl w:val="0"/>
          <w:numId w:val="2"/>
        </w:numPr>
        <w:tabs>
          <w:tab w:val="left" w:pos="1560"/>
        </w:tabs>
        <w:spacing w:after="200"/>
        <w:ind w:left="1240" w:firstLine="0"/>
        <w:jc w:val="both"/>
      </w:pPr>
      <w:bookmarkStart w:id="33" w:name="bookmark32"/>
      <w:bookmarkEnd w:id="33"/>
      <w:r>
        <w:t>poskytovat Poskytovateli informace nezbytné pro plnění dle této Smlouvy.</w:t>
      </w:r>
    </w:p>
    <w:p w:rsidR="000D06BA" w:rsidRDefault="00E73EB5">
      <w:pPr>
        <w:pStyle w:val="Zkladntext1"/>
        <w:numPr>
          <w:ilvl w:val="0"/>
          <w:numId w:val="1"/>
        </w:numPr>
        <w:tabs>
          <w:tab w:val="left" w:pos="1560"/>
        </w:tabs>
        <w:spacing w:after="200"/>
        <w:ind w:left="840" w:firstLine="40"/>
        <w:jc w:val="both"/>
      </w:pPr>
      <w:bookmarkStart w:id="34" w:name="bookmark33"/>
      <w:bookmarkEnd w:id="34"/>
      <w:r>
        <w:t>Objednatel je oprávněn kontrolovat poskytování plnění dle této Smlouvy a zjistí-li, že Poskytovatel postupuje v rozporu se svými povinnostmi, je oprávněn žádat po Poskytovateli odstranění vad vzniklých vadným prováděním a provádění díla řádným způsobem. V takovém případě Objednatel a Poskytovatel postupují obdobně jako u havarijních servisních zásahu dle čl. 3.2 až 3.7 této Smlouvy.</w:t>
      </w:r>
    </w:p>
    <w:p w:rsidR="000D06BA" w:rsidRDefault="00E73EB5">
      <w:pPr>
        <w:pStyle w:val="Zkladntext1"/>
        <w:numPr>
          <w:ilvl w:val="0"/>
          <w:numId w:val="1"/>
        </w:numPr>
        <w:tabs>
          <w:tab w:val="left" w:pos="1560"/>
        </w:tabs>
        <w:spacing w:after="440"/>
        <w:ind w:left="840" w:firstLine="40"/>
        <w:jc w:val="both"/>
      </w:pPr>
      <w:bookmarkStart w:id="35" w:name="bookmark34"/>
      <w:bookmarkEnd w:id="35"/>
      <w:r>
        <w:t>Poskytovatel je povinen zajišťovat služby uvedené v této Smlouvě svým nákladem, vlastními prostředky a svým jménem. Poskytovatel je povinen provádět dílo osobně, anebo nechat provést pod svým osobním vedením osobou odborně vyškolenou pro provádění předmětných činností. Poskytovatel provede dílo s potřebnou péčí a v ujednaném čase a obstará si vše, co je k provedení díla potřebné. K tomu Poskytovatel konstatuje, že disponuje vším nezbytně nutným vybavením a prostředky k provádění údržby a servisních služeb a pokud není ujednáno odlišně, jsou všechny jeho náklady spojené s plněním na tuto Smlouvu zahrnuty v ceně údržby a servisních služeb podle ujednání z této Smlouvy.</w:t>
      </w:r>
    </w:p>
    <w:p w:rsidR="000D06BA" w:rsidRDefault="00E73EB5">
      <w:pPr>
        <w:pStyle w:val="Nadpis30"/>
        <w:keepNext/>
        <w:keepLines/>
        <w:spacing w:after="160"/>
        <w:ind w:left="5780"/>
        <w:jc w:val="both"/>
      </w:pPr>
      <w:bookmarkStart w:id="36" w:name="bookmark35"/>
      <w:bookmarkStart w:id="37" w:name="bookmark36"/>
      <w:bookmarkStart w:id="38" w:name="bookmark37"/>
      <w:r>
        <w:t>Odměna</w:t>
      </w:r>
      <w:bookmarkEnd w:id="36"/>
      <w:bookmarkEnd w:id="37"/>
      <w:bookmarkEnd w:id="38"/>
    </w:p>
    <w:p w:rsidR="000D06BA" w:rsidRDefault="00E73EB5">
      <w:pPr>
        <w:pStyle w:val="Zkladntext1"/>
        <w:numPr>
          <w:ilvl w:val="0"/>
          <w:numId w:val="1"/>
        </w:numPr>
        <w:tabs>
          <w:tab w:val="left" w:pos="1560"/>
        </w:tabs>
        <w:spacing w:after="160"/>
        <w:ind w:left="840" w:firstLine="40"/>
        <w:jc w:val="both"/>
      </w:pPr>
      <w:bookmarkStart w:id="39" w:name="bookmark38"/>
      <w:bookmarkEnd w:id="39"/>
      <w:r>
        <w:t>Objednatel se zavazuje za provedení údržby a poskytnutí servisních služeb uhradit odměnu, která představuje roční paušální částku dle zákona č. 526/1990 Sb., o cenách, ve výši 17.581,- Kč s DPH (tj. 14.530,- Kč bez DPH).</w:t>
      </w:r>
      <w:r>
        <w:br w:type="page"/>
      </w:r>
    </w:p>
    <w:p w:rsidR="000D06BA" w:rsidRDefault="00E73EB5">
      <w:pPr>
        <w:spacing w:line="1" w:lineRule="exact"/>
      </w:pPr>
      <w:r>
        <w:rPr>
          <w:noProof/>
          <w:lang w:bidi="ar-SA"/>
        </w:rPr>
        <w:lastRenderedPageBreak/>
        <mc:AlternateContent>
          <mc:Choice Requires="wps">
            <w:drawing>
              <wp:anchor distT="0" distB="0" distL="114300" distR="114300" simplePos="0" relativeHeight="251653632"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Shape 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0" fillcolor="#FEFEFE" stroked="f"/>
            </w:pict>
          </mc:Fallback>
        </mc:AlternateContent>
      </w:r>
    </w:p>
    <w:p w:rsidR="000D06BA" w:rsidRDefault="00E73EB5">
      <w:pPr>
        <w:pStyle w:val="Zkladntext1"/>
        <w:numPr>
          <w:ilvl w:val="0"/>
          <w:numId w:val="1"/>
        </w:numPr>
        <w:tabs>
          <w:tab w:val="left" w:pos="1532"/>
        </w:tabs>
        <w:ind w:left="820"/>
        <w:jc w:val="both"/>
      </w:pPr>
      <w:bookmarkStart w:id="40" w:name="bookmark39"/>
      <w:bookmarkEnd w:id="40"/>
      <w:r>
        <w:t>Odměna zahrnuje prohlídku včetně kontroly funkčnosti i bezpečnostních a ovládacích prvků, náklady na přepravné materiálu a osob a režijní náklady servisního technika.</w:t>
      </w:r>
    </w:p>
    <w:p w:rsidR="000D06BA" w:rsidRDefault="00E73EB5">
      <w:pPr>
        <w:pStyle w:val="Titulektabulky0"/>
        <w:ind w:left="62"/>
        <w:rPr>
          <w:sz w:val="20"/>
          <w:szCs w:val="20"/>
        </w:rPr>
      </w:pPr>
      <w:r>
        <w:rPr>
          <w:rFonts w:ascii="Arial" w:eastAsia="Arial" w:hAnsi="Arial" w:cs="Arial"/>
          <w:sz w:val="20"/>
          <w:szCs w:val="20"/>
        </w:rPr>
        <w:t>1.17 V případě havárie platí níže uvedené sazby:</w:t>
      </w:r>
    </w:p>
    <w:tbl>
      <w:tblPr>
        <w:tblOverlap w:val="never"/>
        <w:tblW w:w="0" w:type="auto"/>
        <w:jc w:val="right"/>
        <w:tblLayout w:type="fixed"/>
        <w:tblCellMar>
          <w:left w:w="10" w:type="dxa"/>
          <w:right w:w="10" w:type="dxa"/>
        </w:tblCellMar>
        <w:tblLook w:val="0000" w:firstRow="0" w:lastRow="0" w:firstColumn="0" w:lastColumn="0" w:noHBand="0" w:noVBand="0"/>
      </w:tblPr>
      <w:tblGrid>
        <w:gridCol w:w="8429"/>
        <w:gridCol w:w="1147"/>
      </w:tblGrid>
      <w:tr w:rsidR="000D06BA">
        <w:trPr>
          <w:trHeight w:hRule="exact" w:val="346"/>
          <w:jc w:val="right"/>
        </w:trPr>
        <w:tc>
          <w:tcPr>
            <w:tcW w:w="8429" w:type="dxa"/>
            <w:tcBorders>
              <w:top w:val="single" w:sz="4" w:space="0" w:color="auto"/>
              <w:left w:val="single" w:sz="4" w:space="0" w:color="auto"/>
            </w:tcBorders>
            <w:shd w:val="clear" w:color="auto" w:fill="FFFFFF"/>
            <w:vAlign w:val="bottom"/>
          </w:tcPr>
          <w:p w:rsidR="000D06BA" w:rsidRDefault="00E73EB5">
            <w:pPr>
              <w:pStyle w:val="Jin0"/>
              <w:spacing w:after="0"/>
              <w:ind w:firstLine="0"/>
              <w:jc w:val="center"/>
              <w:rPr>
                <w:sz w:val="19"/>
                <w:szCs w:val="19"/>
              </w:rPr>
            </w:pPr>
            <w:r>
              <w:rPr>
                <w:rFonts w:ascii="Calibri" w:eastAsia="Calibri" w:hAnsi="Calibri" w:cs="Calibri"/>
                <w:sz w:val="19"/>
                <w:szCs w:val="19"/>
              </w:rPr>
              <w:t>běžná hodinová sazba</w:t>
            </w:r>
          </w:p>
        </w:tc>
        <w:tc>
          <w:tcPr>
            <w:tcW w:w="1147" w:type="dxa"/>
            <w:tcBorders>
              <w:top w:val="single" w:sz="4" w:space="0" w:color="auto"/>
              <w:left w:val="single" w:sz="4" w:space="0" w:color="auto"/>
              <w:right w:val="single" w:sz="4" w:space="0" w:color="auto"/>
            </w:tcBorders>
            <w:shd w:val="clear" w:color="auto" w:fill="FFFFFF"/>
            <w:vAlign w:val="bottom"/>
          </w:tcPr>
          <w:p w:rsidR="000D06BA" w:rsidRDefault="00E73EB5">
            <w:pPr>
              <w:pStyle w:val="Jin0"/>
              <w:spacing w:after="0"/>
              <w:ind w:firstLine="260"/>
              <w:rPr>
                <w:sz w:val="19"/>
                <w:szCs w:val="19"/>
              </w:rPr>
            </w:pPr>
            <w:r>
              <w:rPr>
                <w:rFonts w:ascii="Calibri" w:eastAsia="Calibri" w:hAnsi="Calibri" w:cs="Calibri"/>
                <w:sz w:val="19"/>
                <w:szCs w:val="19"/>
              </w:rPr>
              <w:t>560 Kč</w:t>
            </w:r>
          </w:p>
        </w:tc>
      </w:tr>
      <w:tr w:rsidR="000D06BA">
        <w:trPr>
          <w:trHeight w:hRule="exact" w:val="322"/>
          <w:jc w:val="right"/>
        </w:trPr>
        <w:tc>
          <w:tcPr>
            <w:tcW w:w="8429" w:type="dxa"/>
            <w:tcBorders>
              <w:top w:val="single" w:sz="4" w:space="0" w:color="auto"/>
              <w:left w:val="single" w:sz="4" w:space="0" w:color="auto"/>
            </w:tcBorders>
            <w:shd w:val="clear" w:color="auto" w:fill="FFFFFF"/>
            <w:vAlign w:val="bottom"/>
          </w:tcPr>
          <w:p w:rsidR="000D06BA" w:rsidRDefault="00E73EB5">
            <w:pPr>
              <w:pStyle w:val="Jin0"/>
              <w:spacing w:after="0"/>
              <w:ind w:firstLine="0"/>
              <w:jc w:val="center"/>
              <w:rPr>
                <w:sz w:val="19"/>
                <w:szCs w:val="19"/>
              </w:rPr>
            </w:pPr>
            <w:r>
              <w:rPr>
                <w:rFonts w:ascii="Calibri" w:eastAsia="Calibri" w:hAnsi="Calibri" w:cs="Calibri"/>
                <w:sz w:val="19"/>
                <w:szCs w:val="19"/>
              </w:rPr>
              <w:t>hodinová sazba v pracovních dnech od 17:00 do 06:00 hod.</w:t>
            </w:r>
          </w:p>
        </w:tc>
        <w:tc>
          <w:tcPr>
            <w:tcW w:w="1147" w:type="dxa"/>
            <w:tcBorders>
              <w:top w:val="single" w:sz="4" w:space="0" w:color="auto"/>
              <w:left w:val="single" w:sz="4" w:space="0" w:color="auto"/>
              <w:right w:val="single" w:sz="4" w:space="0" w:color="auto"/>
            </w:tcBorders>
            <w:shd w:val="clear" w:color="auto" w:fill="FFFFFF"/>
            <w:vAlign w:val="bottom"/>
          </w:tcPr>
          <w:p w:rsidR="000D06BA" w:rsidRDefault="00E73EB5">
            <w:pPr>
              <w:pStyle w:val="Jin0"/>
              <w:spacing w:after="0"/>
              <w:ind w:firstLine="260"/>
              <w:rPr>
                <w:sz w:val="19"/>
                <w:szCs w:val="19"/>
              </w:rPr>
            </w:pPr>
            <w:r>
              <w:rPr>
                <w:rFonts w:ascii="Calibri" w:eastAsia="Calibri" w:hAnsi="Calibri" w:cs="Calibri"/>
                <w:sz w:val="19"/>
                <w:szCs w:val="19"/>
              </w:rPr>
              <w:t>840 Kč</w:t>
            </w:r>
          </w:p>
        </w:tc>
      </w:tr>
      <w:tr w:rsidR="000D06BA">
        <w:trPr>
          <w:trHeight w:hRule="exact" w:val="331"/>
          <w:jc w:val="right"/>
        </w:trPr>
        <w:tc>
          <w:tcPr>
            <w:tcW w:w="8429" w:type="dxa"/>
            <w:tcBorders>
              <w:top w:val="single" w:sz="4" w:space="0" w:color="auto"/>
              <w:left w:val="single" w:sz="4" w:space="0" w:color="auto"/>
            </w:tcBorders>
            <w:shd w:val="clear" w:color="auto" w:fill="FFFFFF"/>
            <w:vAlign w:val="bottom"/>
          </w:tcPr>
          <w:p w:rsidR="000D06BA" w:rsidRDefault="00E73EB5">
            <w:pPr>
              <w:pStyle w:val="Jin0"/>
              <w:spacing w:after="0"/>
              <w:ind w:firstLine="0"/>
              <w:jc w:val="center"/>
              <w:rPr>
                <w:sz w:val="19"/>
                <w:szCs w:val="19"/>
              </w:rPr>
            </w:pPr>
            <w:r>
              <w:rPr>
                <w:rFonts w:ascii="Calibri" w:eastAsia="Calibri" w:hAnsi="Calibri" w:cs="Calibri"/>
                <w:sz w:val="19"/>
                <w:szCs w:val="19"/>
              </w:rPr>
              <w:t>víkendy a svátky</w:t>
            </w:r>
          </w:p>
        </w:tc>
        <w:tc>
          <w:tcPr>
            <w:tcW w:w="1147" w:type="dxa"/>
            <w:tcBorders>
              <w:top w:val="single" w:sz="4" w:space="0" w:color="auto"/>
              <w:left w:val="single" w:sz="4" w:space="0" w:color="auto"/>
              <w:right w:val="single" w:sz="4" w:space="0" w:color="auto"/>
            </w:tcBorders>
            <w:shd w:val="clear" w:color="auto" w:fill="FFFFFF"/>
            <w:vAlign w:val="bottom"/>
          </w:tcPr>
          <w:p w:rsidR="000D06BA" w:rsidRDefault="00E73EB5">
            <w:pPr>
              <w:pStyle w:val="Jin0"/>
              <w:spacing w:after="0"/>
              <w:ind w:firstLine="260"/>
              <w:rPr>
                <w:sz w:val="19"/>
                <w:szCs w:val="19"/>
              </w:rPr>
            </w:pPr>
            <w:r>
              <w:rPr>
                <w:rFonts w:ascii="Calibri" w:eastAsia="Calibri" w:hAnsi="Calibri" w:cs="Calibri"/>
                <w:sz w:val="19"/>
                <w:szCs w:val="19"/>
              </w:rPr>
              <w:t>990 Kč</w:t>
            </w:r>
          </w:p>
        </w:tc>
      </w:tr>
      <w:tr w:rsidR="000D06BA">
        <w:trPr>
          <w:trHeight w:hRule="exact" w:val="274"/>
          <w:jc w:val="right"/>
        </w:trPr>
        <w:tc>
          <w:tcPr>
            <w:tcW w:w="8429" w:type="dxa"/>
            <w:tcBorders>
              <w:top w:val="single" w:sz="4" w:space="0" w:color="auto"/>
              <w:left w:val="single" w:sz="4" w:space="0" w:color="auto"/>
            </w:tcBorders>
            <w:shd w:val="clear" w:color="auto" w:fill="FFFFFF"/>
            <w:vAlign w:val="bottom"/>
          </w:tcPr>
          <w:p w:rsidR="000D06BA" w:rsidRDefault="00E73EB5">
            <w:pPr>
              <w:pStyle w:val="Jin0"/>
              <w:spacing w:after="0"/>
              <w:ind w:firstLine="0"/>
              <w:jc w:val="center"/>
              <w:rPr>
                <w:sz w:val="16"/>
                <w:szCs w:val="16"/>
              </w:rPr>
            </w:pPr>
            <w:r>
              <w:rPr>
                <w:rFonts w:ascii="Segoe UI" w:eastAsia="Segoe UI" w:hAnsi="Segoe UI" w:cs="Segoe UI"/>
                <w:sz w:val="16"/>
                <w:szCs w:val="16"/>
              </w:rPr>
              <w:t>nástup na servis do 3 hodin od nahlášení - jednorázový příplatek u všech uvedených tarifů</w:t>
            </w:r>
          </w:p>
        </w:tc>
        <w:tc>
          <w:tcPr>
            <w:tcW w:w="1147" w:type="dxa"/>
            <w:tcBorders>
              <w:top w:val="single" w:sz="4" w:space="0" w:color="auto"/>
              <w:left w:val="single" w:sz="4" w:space="0" w:color="auto"/>
              <w:right w:val="single" w:sz="4" w:space="0" w:color="auto"/>
            </w:tcBorders>
            <w:shd w:val="clear" w:color="auto" w:fill="FFFFFF"/>
            <w:vAlign w:val="bottom"/>
          </w:tcPr>
          <w:p w:rsidR="000D06BA" w:rsidRDefault="00E73EB5">
            <w:pPr>
              <w:pStyle w:val="Jin0"/>
              <w:spacing w:after="0"/>
              <w:ind w:right="240" w:firstLine="0"/>
              <w:jc w:val="right"/>
              <w:rPr>
                <w:sz w:val="19"/>
                <w:szCs w:val="19"/>
              </w:rPr>
            </w:pPr>
            <w:r>
              <w:rPr>
                <w:rFonts w:ascii="Calibri" w:eastAsia="Calibri" w:hAnsi="Calibri" w:cs="Calibri"/>
                <w:sz w:val="19"/>
                <w:szCs w:val="19"/>
              </w:rPr>
              <w:t>1 000 Kč</w:t>
            </w:r>
          </w:p>
        </w:tc>
      </w:tr>
      <w:tr w:rsidR="000D06BA">
        <w:trPr>
          <w:trHeight w:hRule="exact" w:val="643"/>
          <w:jc w:val="right"/>
        </w:trPr>
        <w:tc>
          <w:tcPr>
            <w:tcW w:w="8429" w:type="dxa"/>
            <w:tcBorders>
              <w:top w:val="single" w:sz="4" w:space="0" w:color="auto"/>
              <w:left w:val="single" w:sz="4" w:space="0" w:color="auto"/>
            </w:tcBorders>
            <w:shd w:val="clear" w:color="auto" w:fill="FFFFFF"/>
            <w:vAlign w:val="center"/>
          </w:tcPr>
          <w:p w:rsidR="000D06BA" w:rsidRDefault="00E73EB5">
            <w:pPr>
              <w:pStyle w:val="Jin0"/>
              <w:tabs>
                <w:tab w:val="right" w:leader="dot" w:pos="7027"/>
              </w:tabs>
              <w:spacing w:after="0"/>
              <w:ind w:firstLine="0"/>
              <w:jc w:val="center"/>
              <w:rPr>
                <w:sz w:val="19"/>
                <w:szCs w:val="19"/>
              </w:rPr>
            </w:pPr>
            <w:r>
              <w:rPr>
                <w:rFonts w:ascii="Calibri" w:eastAsia="Calibri" w:hAnsi="Calibri" w:cs="Calibri"/>
                <w:color w:val="434645"/>
                <w:sz w:val="19"/>
                <w:szCs w:val="19"/>
              </w:rPr>
              <w:tab/>
              <w:t xml:space="preserve">  i</w:t>
            </w:r>
          </w:p>
        </w:tc>
        <w:tc>
          <w:tcPr>
            <w:tcW w:w="1147" w:type="dxa"/>
            <w:tcBorders>
              <w:top w:val="single" w:sz="4" w:space="0" w:color="auto"/>
              <w:left w:val="single" w:sz="4" w:space="0" w:color="auto"/>
              <w:right w:val="single" w:sz="4" w:space="0" w:color="auto"/>
            </w:tcBorders>
            <w:shd w:val="clear" w:color="auto" w:fill="FFFFFF"/>
          </w:tcPr>
          <w:p w:rsidR="000D06BA" w:rsidRDefault="000D06BA">
            <w:pPr>
              <w:rPr>
                <w:sz w:val="10"/>
                <w:szCs w:val="10"/>
              </w:rPr>
            </w:pPr>
          </w:p>
        </w:tc>
      </w:tr>
      <w:tr w:rsidR="000D06BA">
        <w:trPr>
          <w:trHeight w:hRule="exact" w:val="326"/>
          <w:jc w:val="right"/>
        </w:trPr>
        <w:tc>
          <w:tcPr>
            <w:tcW w:w="8429" w:type="dxa"/>
            <w:tcBorders>
              <w:top w:val="single" w:sz="4" w:space="0" w:color="auto"/>
              <w:left w:val="single" w:sz="4" w:space="0" w:color="auto"/>
            </w:tcBorders>
            <w:shd w:val="clear" w:color="auto" w:fill="FFFFFF"/>
          </w:tcPr>
          <w:p w:rsidR="000D06BA" w:rsidRDefault="00E73EB5">
            <w:pPr>
              <w:pStyle w:val="Jin0"/>
              <w:spacing w:after="0"/>
              <w:ind w:firstLine="0"/>
              <w:jc w:val="center"/>
              <w:rPr>
                <w:sz w:val="19"/>
                <w:szCs w:val="19"/>
              </w:rPr>
            </w:pPr>
            <w:r>
              <w:rPr>
                <w:rFonts w:ascii="Calibri" w:eastAsia="Calibri" w:hAnsi="Calibri" w:cs="Calibri"/>
                <w:color w:val="000000"/>
                <w:sz w:val="19"/>
                <w:szCs w:val="19"/>
              </w:rPr>
              <w:t>*nájezdní paušál</w:t>
            </w:r>
          </w:p>
        </w:tc>
        <w:tc>
          <w:tcPr>
            <w:tcW w:w="1147" w:type="dxa"/>
            <w:tcBorders>
              <w:top w:val="single" w:sz="4" w:space="0" w:color="auto"/>
              <w:left w:val="single" w:sz="4" w:space="0" w:color="auto"/>
              <w:right w:val="single" w:sz="4" w:space="0" w:color="auto"/>
            </w:tcBorders>
            <w:shd w:val="clear" w:color="auto" w:fill="FFFFFF"/>
          </w:tcPr>
          <w:p w:rsidR="000D06BA" w:rsidRDefault="00E73EB5">
            <w:pPr>
              <w:pStyle w:val="Jin0"/>
              <w:spacing w:after="0"/>
              <w:ind w:firstLine="260"/>
              <w:rPr>
                <w:sz w:val="19"/>
                <w:szCs w:val="19"/>
              </w:rPr>
            </w:pPr>
            <w:r>
              <w:rPr>
                <w:rFonts w:ascii="Calibri" w:eastAsia="Calibri" w:hAnsi="Calibri" w:cs="Calibri"/>
                <w:color w:val="000000"/>
                <w:sz w:val="19"/>
                <w:szCs w:val="19"/>
              </w:rPr>
              <w:t>900 Kč</w:t>
            </w:r>
          </w:p>
        </w:tc>
      </w:tr>
      <w:tr w:rsidR="000D06BA">
        <w:trPr>
          <w:trHeight w:hRule="exact" w:val="355"/>
          <w:jc w:val="right"/>
        </w:trPr>
        <w:tc>
          <w:tcPr>
            <w:tcW w:w="8429" w:type="dxa"/>
            <w:tcBorders>
              <w:top w:val="single" w:sz="4" w:space="0" w:color="auto"/>
              <w:left w:val="single" w:sz="4" w:space="0" w:color="auto"/>
              <w:bottom w:val="single" w:sz="4" w:space="0" w:color="auto"/>
            </w:tcBorders>
            <w:shd w:val="clear" w:color="auto" w:fill="FFFFFF"/>
          </w:tcPr>
          <w:p w:rsidR="000D06BA" w:rsidRDefault="00E73EB5">
            <w:pPr>
              <w:pStyle w:val="Jin0"/>
              <w:spacing w:after="0"/>
              <w:ind w:firstLine="0"/>
              <w:jc w:val="center"/>
              <w:rPr>
                <w:sz w:val="19"/>
                <w:szCs w:val="19"/>
              </w:rPr>
            </w:pPr>
            <w:r>
              <w:rPr>
                <w:rFonts w:ascii="Calibri" w:eastAsia="Calibri" w:hAnsi="Calibri" w:cs="Calibri"/>
                <w:sz w:val="19"/>
                <w:szCs w:val="19"/>
              </w:rPr>
              <w:t>sazba za ujetý km</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0D06BA" w:rsidRDefault="00E73EB5">
            <w:pPr>
              <w:pStyle w:val="Jin0"/>
              <w:spacing w:after="0"/>
              <w:ind w:firstLine="0"/>
              <w:jc w:val="center"/>
              <w:rPr>
                <w:sz w:val="19"/>
                <w:szCs w:val="19"/>
              </w:rPr>
            </w:pPr>
            <w:r>
              <w:rPr>
                <w:rFonts w:ascii="Calibri" w:eastAsia="Calibri" w:hAnsi="Calibri" w:cs="Calibri"/>
                <w:color w:val="000000"/>
                <w:sz w:val="19"/>
                <w:szCs w:val="19"/>
              </w:rPr>
              <w:t>12 Kč</w:t>
            </w:r>
          </w:p>
        </w:tc>
      </w:tr>
    </w:tbl>
    <w:p w:rsidR="000D06BA" w:rsidRDefault="00E73EB5">
      <w:pPr>
        <w:pStyle w:val="Titulektabulky0"/>
      </w:pPr>
      <w:r>
        <w:t>* můžete si vybrat ze dvou způsobů účtování dopravy. Jedním je jednorázový nájezdní paušál 900,- Kč za výjezd a druhým je účtování skutečně ujetých kilometrů (tam i zpět) x sazba 12,- Kč.</w:t>
      </w:r>
    </w:p>
    <w:p w:rsidR="000D06BA" w:rsidRDefault="000D06BA">
      <w:pPr>
        <w:spacing w:after="599" w:line="1" w:lineRule="exact"/>
      </w:pPr>
    </w:p>
    <w:p w:rsidR="000D06BA" w:rsidRDefault="00E73EB5">
      <w:pPr>
        <w:pStyle w:val="Zkladntext1"/>
        <w:numPr>
          <w:ilvl w:val="0"/>
          <w:numId w:val="3"/>
        </w:numPr>
        <w:tabs>
          <w:tab w:val="left" w:pos="1532"/>
        </w:tabs>
        <w:ind w:left="820"/>
        <w:jc w:val="both"/>
      </w:pPr>
      <w:bookmarkStart w:id="41" w:name="bookmark40"/>
      <w:bookmarkEnd w:id="41"/>
      <w:r>
        <w:t>Objednatel uhradí odměnu na základě faktury vystavené Poskytovatelem. Kromě obecných náležitostí dle právních předpisů, zejména dle ustanovení § 28 odst. 2 zákona č. 235/2004 Sb., o dani z přidané hodnoty, bude faktura obsahovat specifikaci provedené práce. Splatnost faktur je Smluvními stranami dohodnuta na 14 dni od jejich doručení. Objednatel je oprávněn vrátit fakturu, která nesplňuje uvedené požadavky Poskytovateli k opravení. Poskytovatel je pak povinen zaslat Objednateli opravenou fakturu, přičemž lhůta splatnosti faktury v tomto případě počíná běžet až doručením faktury splňující všechny předepsané náležitosti.</w:t>
      </w:r>
    </w:p>
    <w:p w:rsidR="000D06BA" w:rsidRDefault="00E73EB5">
      <w:pPr>
        <w:pStyle w:val="Nadpis30"/>
        <w:keepNext/>
        <w:keepLines/>
        <w:spacing w:after="240"/>
        <w:ind w:left="4560"/>
        <w:jc w:val="both"/>
      </w:pPr>
      <w:bookmarkStart w:id="42" w:name="bookmark41"/>
      <w:bookmarkStart w:id="43" w:name="bookmark42"/>
      <w:bookmarkStart w:id="44" w:name="bookmark43"/>
      <w:r>
        <w:t>Záruka a odpovědnost za škodu</w:t>
      </w:r>
      <w:bookmarkEnd w:id="42"/>
      <w:bookmarkEnd w:id="43"/>
      <w:bookmarkEnd w:id="44"/>
    </w:p>
    <w:p w:rsidR="000D06BA" w:rsidRDefault="00E73EB5">
      <w:pPr>
        <w:pStyle w:val="Zkladntext1"/>
        <w:numPr>
          <w:ilvl w:val="0"/>
          <w:numId w:val="3"/>
        </w:numPr>
        <w:tabs>
          <w:tab w:val="left" w:pos="1532"/>
        </w:tabs>
        <w:ind w:left="820"/>
        <w:jc w:val="both"/>
      </w:pPr>
      <w:bookmarkStart w:id="45" w:name="bookmark44"/>
      <w:bookmarkEnd w:id="45"/>
      <w:r>
        <w:t>Poskytovatel se v souladu s ustanovením § 5 zákona č. 89/2012 Sb., občanského zákoníku, přihlásil k odbornému výkonu údržby zařízení, jejichž údržba je předmětem plnění na tuto Smlouvu, a tím dal najevo, že je schopen jednat se znalostí a pečlivostí, která je s jeho povoláním spojena.</w:t>
      </w:r>
    </w:p>
    <w:p w:rsidR="000D06BA" w:rsidRDefault="00E73EB5">
      <w:pPr>
        <w:pStyle w:val="Zkladntext1"/>
        <w:numPr>
          <w:ilvl w:val="0"/>
          <w:numId w:val="3"/>
        </w:numPr>
        <w:tabs>
          <w:tab w:val="left" w:pos="1532"/>
        </w:tabs>
        <w:ind w:firstLine="820"/>
        <w:jc w:val="both"/>
      </w:pPr>
      <w:bookmarkStart w:id="46" w:name="bookmark45"/>
      <w:bookmarkEnd w:id="46"/>
      <w:r>
        <w:t>Poskytovatel poskytuje záruku na vyměněné díly v délce 6 měsíců ode dne výměny.</w:t>
      </w:r>
    </w:p>
    <w:p w:rsidR="000D06BA" w:rsidRDefault="00E73EB5">
      <w:pPr>
        <w:pStyle w:val="Zkladntext1"/>
        <w:numPr>
          <w:ilvl w:val="0"/>
          <w:numId w:val="3"/>
        </w:numPr>
        <w:tabs>
          <w:tab w:val="left" w:pos="1532"/>
        </w:tabs>
        <w:ind w:left="820"/>
        <w:jc w:val="both"/>
      </w:pPr>
      <w:bookmarkStart w:id="47" w:name="bookmark46"/>
      <w:bookmarkEnd w:id="47"/>
      <w:r>
        <w:t xml:space="preserve">Poskytovatel odpovídá za veškerou přímou </w:t>
      </w:r>
      <w:r>
        <w:rPr>
          <w:color w:val="434645"/>
        </w:rPr>
        <w:t xml:space="preserve">i </w:t>
      </w:r>
      <w:r>
        <w:t>nepřímou újmu, kterou na předmětných zařízení nebo Objednateli způsobí zásahem do zařízení. Poskytovatel se zavazuje takto vzniklou újmu uhradit Objednateli na jeho výzvu, a to včetně újmy, která v důsledku poškození, vady nebo jiné překážky na zařízení způsobené zásahem údržby, vznikne Objednateli. Smluvní strany společně ujednaly, že náhrada újmy bude pro takový případ přednostně provedena v penězích, pokud nebude Objednatel žádat jinak.</w:t>
      </w:r>
    </w:p>
    <w:p w:rsidR="000D06BA" w:rsidRDefault="00E73EB5">
      <w:pPr>
        <w:pStyle w:val="Nadpis30"/>
        <w:keepNext/>
        <w:keepLines/>
        <w:ind w:left="4560"/>
        <w:jc w:val="both"/>
      </w:pPr>
      <w:bookmarkStart w:id="48" w:name="bookmark47"/>
      <w:bookmarkStart w:id="49" w:name="bookmark48"/>
      <w:bookmarkStart w:id="50" w:name="bookmark49"/>
      <w:r>
        <w:t>Doba trvání a ukončení smlouvy</w:t>
      </w:r>
      <w:bookmarkEnd w:id="48"/>
      <w:bookmarkEnd w:id="49"/>
      <w:bookmarkEnd w:id="50"/>
    </w:p>
    <w:p w:rsidR="000D06BA" w:rsidRDefault="00E73EB5">
      <w:pPr>
        <w:pStyle w:val="Zkladntext1"/>
        <w:numPr>
          <w:ilvl w:val="0"/>
          <w:numId w:val="3"/>
        </w:numPr>
        <w:tabs>
          <w:tab w:val="left" w:pos="1532"/>
        </w:tabs>
        <w:ind w:firstLine="820"/>
        <w:jc w:val="both"/>
      </w:pPr>
      <w:bookmarkStart w:id="51" w:name="bookmark50"/>
      <w:bookmarkEnd w:id="51"/>
      <w:r>
        <w:t>Smlouva se uzavírá na dobu neurčitou.</w:t>
      </w:r>
    </w:p>
    <w:p w:rsidR="000D06BA" w:rsidRDefault="00E73EB5">
      <w:pPr>
        <w:pStyle w:val="Zkladntext1"/>
        <w:numPr>
          <w:ilvl w:val="0"/>
          <w:numId w:val="3"/>
        </w:numPr>
        <w:tabs>
          <w:tab w:val="left" w:pos="1532"/>
        </w:tabs>
        <w:ind w:left="820"/>
        <w:jc w:val="both"/>
      </w:pPr>
      <w:bookmarkStart w:id="52" w:name="bookmark51"/>
      <w:bookmarkEnd w:id="52"/>
      <w:r>
        <w:t>Smluvní strany se dohodly, že tuto smlouvu lze ukončit bez udání důvodu písemnou výpovědi. Výpovědní lhůta činí pro obě Smluvní strany 3 měsíce. Výpovědní lhůta počíná běžet od 1. dne měsíce následujícího po doručení výpovědi druhé smluvní straně.</w:t>
      </w:r>
    </w:p>
    <w:p w:rsidR="000D06BA" w:rsidRDefault="00E73EB5">
      <w:pPr>
        <w:pStyle w:val="Zkladntext1"/>
        <w:numPr>
          <w:ilvl w:val="0"/>
          <w:numId w:val="3"/>
        </w:numPr>
        <w:tabs>
          <w:tab w:val="left" w:pos="1532"/>
        </w:tabs>
        <w:ind w:left="820"/>
        <w:jc w:val="both"/>
      </w:pPr>
      <w:bookmarkStart w:id="53" w:name="bookmark52"/>
      <w:bookmarkEnd w:id="53"/>
      <w:r>
        <w:t>V případě porušování smluvních povinností jakoukoliv ze Smluvních stran může druhá Smluvní strana odstoupit od smlouvy. Smlouva tak končí doručením odstoupení druhé Smluvní straně. Odstoupení od této smlouvy musí předcházet písemné upozornění na neplnění smluvních povinností. Za takové neplnění smluvních povinností je na straně Poskytovatele považováno neprovádění služeb v rozsahu předmětu smlouvy a to i částečně, nebo prodlení s prováděním takových služeb, ačkoliv na ně bylo dostatečně dopředu upozorněno a na straně Objednatele nedodržení splatnosti vystavené faktury.</w:t>
      </w:r>
      <w:r>
        <w:br w:type="page"/>
      </w:r>
    </w:p>
    <w:p w:rsidR="000D06BA" w:rsidRDefault="00E73EB5">
      <w:pPr>
        <w:pStyle w:val="Nadpis30"/>
        <w:keepNext/>
        <w:keepLines/>
        <w:ind w:left="0"/>
        <w:jc w:val="center"/>
      </w:pPr>
      <w:bookmarkStart w:id="54" w:name="bookmark53"/>
      <w:bookmarkStart w:id="55" w:name="bookmark54"/>
      <w:bookmarkStart w:id="56" w:name="bookmark55"/>
      <w:r>
        <w:rPr>
          <w:color w:val="000000"/>
        </w:rPr>
        <w:lastRenderedPageBreak/>
        <w:t>Smluvní pokuty</w:t>
      </w:r>
      <w:bookmarkEnd w:id="54"/>
      <w:bookmarkEnd w:id="55"/>
      <w:bookmarkEnd w:id="56"/>
    </w:p>
    <w:p w:rsidR="000D06BA" w:rsidRDefault="00E73EB5">
      <w:pPr>
        <w:pStyle w:val="Zkladntext1"/>
        <w:numPr>
          <w:ilvl w:val="0"/>
          <w:numId w:val="3"/>
        </w:numPr>
        <w:tabs>
          <w:tab w:val="left" w:pos="1554"/>
        </w:tabs>
        <w:ind w:left="840"/>
        <w:jc w:val="both"/>
      </w:pPr>
      <w:bookmarkStart w:id="57" w:name="bookmark56"/>
      <w:bookmarkEnd w:id="57"/>
      <w:r>
        <w:t xml:space="preserve">Smluvní strany společně ujednaly povinnost pro Poskytovatele uhradit Objednateli smluvní pokutu ve výši 0,1 </w:t>
      </w:r>
      <w:r>
        <w:rPr>
          <w:color w:val="373838"/>
        </w:rPr>
        <w:t xml:space="preserve">% </w:t>
      </w:r>
      <w:r>
        <w:t>ceny ročního plnění na tuto Smlouvu, pro případ, že Poskytovatel poruší svojí povinnost k provádění údržby a poskytování servisních služeb podle této Smlouvy a bude v prodlení s provedením byť i jediného úkonu údržby řádně a včas podle této Smlouvy.</w:t>
      </w:r>
    </w:p>
    <w:p w:rsidR="000D06BA" w:rsidRDefault="00E73EB5">
      <w:pPr>
        <w:pStyle w:val="Zkladntext1"/>
        <w:numPr>
          <w:ilvl w:val="0"/>
          <w:numId w:val="3"/>
        </w:numPr>
        <w:tabs>
          <w:tab w:val="left" w:pos="1554"/>
        </w:tabs>
        <w:ind w:left="840"/>
        <w:jc w:val="both"/>
      </w:pPr>
      <w:bookmarkStart w:id="58" w:name="bookmark57"/>
      <w:bookmarkEnd w:id="58"/>
      <w:r>
        <w:t xml:space="preserve">Smluvní strany společně ujednaly povinnost pro Objednatele uhradit Poskytovateli smluvní pokutu ve výši 0,1 </w:t>
      </w:r>
      <w:r>
        <w:rPr>
          <w:color w:val="373838"/>
        </w:rPr>
        <w:t xml:space="preserve">% </w:t>
      </w:r>
      <w:r>
        <w:t>z dlužné částky pro případ, že Objednatel bude v prodlení s uhrazením na řádně a včas vystavený daňový doklad Poskytovatele.</w:t>
      </w:r>
    </w:p>
    <w:p w:rsidR="000D06BA" w:rsidRDefault="00E73EB5">
      <w:pPr>
        <w:pStyle w:val="Zkladntext1"/>
        <w:numPr>
          <w:ilvl w:val="0"/>
          <w:numId w:val="3"/>
        </w:numPr>
        <w:tabs>
          <w:tab w:val="left" w:pos="1554"/>
        </w:tabs>
        <w:ind w:left="840"/>
        <w:jc w:val="both"/>
      </w:pPr>
      <w:bookmarkStart w:id="59" w:name="bookmark58"/>
      <w:bookmarkEnd w:id="59"/>
      <w:r>
        <w:t>Smluvní pokuta podle této Smlouvy je splatná na výzvu poškozené Smluvní strany, a to ve lhůtě nikoliv kratší nežli patnáct (15) dnů od doručení výzvy. Uhrazením Smluvní pokuty nezaniká nárok poškozené smluvní strany žádat po škůdci uhrazení skutečně vzniklé újmy a to v celém svém rozsahu.</w:t>
      </w:r>
    </w:p>
    <w:p w:rsidR="000D06BA" w:rsidRDefault="00E73EB5">
      <w:pPr>
        <w:pStyle w:val="Nadpis30"/>
        <w:keepNext/>
        <w:keepLines/>
        <w:ind w:left="0"/>
        <w:jc w:val="center"/>
      </w:pPr>
      <w:bookmarkStart w:id="60" w:name="bookmark59"/>
      <w:bookmarkStart w:id="61" w:name="bookmark60"/>
      <w:bookmarkStart w:id="62" w:name="bookmark61"/>
      <w:r>
        <w:t>Řešení sporů</w:t>
      </w:r>
      <w:bookmarkEnd w:id="60"/>
      <w:bookmarkEnd w:id="61"/>
      <w:bookmarkEnd w:id="62"/>
    </w:p>
    <w:p w:rsidR="000D06BA" w:rsidRDefault="00E73EB5">
      <w:pPr>
        <w:pStyle w:val="Zkladntext1"/>
        <w:numPr>
          <w:ilvl w:val="0"/>
          <w:numId w:val="3"/>
        </w:numPr>
        <w:tabs>
          <w:tab w:val="left" w:pos="1554"/>
        </w:tabs>
        <w:ind w:left="840"/>
        <w:jc w:val="both"/>
      </w:pPr>
      <w:bookmarkStart w:id="63" w:name="bookmark62"/>
      <w:bookmarkEnd w:id="63"/>
      <w:r>
        <w:t>V případě vzniku sporu při provádění této Smlouvy nebo v souvislosti s ní se Smluvní strany budou snažit vyřešit jej smírnou cestou. Jestliže se takovým způsobem spor nepodaří vyřešit, bude předložen k projednání a rozhodnutí místně a věcně příslušnému soudu.</w:t>
      </w:r>
    </w:p>
    <w:p w:rsidR="000D06BA" w:rsidRDefault="00E73EB5">
      <w:pPr>
        <w:pStyle w:val="Nadpis30"/>
        <w:keepNext/>
        <w:keepLines/>
        <w:ind w:left="5020"/>
        <w:jc w:val="both"/>
      </w:pPr>
      <w:bookmarkStart w:id="64" w:name="bookmark63"/>
      <w:bookmarkStart w:id="65" w:name="bookmark64"/>
      <w:bookmarkStart w:id="66" w:name="bookmark65"/>
      <w:r>
        <w:t>Závěrečná ustanovení</w:t>
      </w:r>
      <w:bookmarkEnd w:id="64"/>
      <w:bookmarkEnd w:id="65"/>
      <w:bookmarkEnd w:id="66"/>
    </w:p>
    <w:p w:rsidR="000D06BA" w:rsidRDefault="00E73EB5">
      <w:pPr>
        <w:pStyle w:val="Zkladntext1"/>
        <w:numPr>
          <w:ilvl w:val="0"/>
          <w:numId w:val="3"/>
        </w:numPr>
        <w:tabs>
          <w:tab w:val="left" w:pos="1554"/>
        </w:tabs>
        <w:ind w:left="840"/>
        <w:jc w:val="both"/>
      </w:pPr>
      <w:bookmarkStart w:id="67" w:name="bookmark66"/>
      <w:bookmarkEnd w:id="67"/>
      <w:r>
        <w:t>Smluvní strany prohlašují, že tato Smlouva je projevem jejich pravé, vážné a svobodné vůle, nebyla uzavřena v tísni ani za jinak nápadně nevýhodných podmínek pro jednu či druhou Smluvní stranu a na důkaz dohody o všech článcích této smlouvy připojují své podpisy.</w:t>
      </w:r>
    </w:p>
    <w:p w:rsidR="000D06BA" w:rsidRDefault="00E73EB5">
      <w:pPr>
        <w:pStyle w:val="Zkladntext1"/>
        <w:numPr>
          <w:ilvl w:val="0"/>
          <w:numId w:val="3"/>
        </w:numPr>
        <w:tabs>
          <w:tab w:val="left" w:pos="1554"/>
        </w:tabs>
        <w:ind w:left="840"/>
        <w:jc w:val="both"/>
      </w:pPr>
      <w:bookmarkStart w:id="68" w:name="bookmark67"/>
      <w:bookmarkEnd w:id="68"/>
      <w:r>
        <w:t>Tato Smlouva se řídí ve věcech touto Smlouvou výslovně neupravených právním řádem České republiky, a to zejména občanským zákoníkem.</w:t>
      </w:r>
    </w:p>
    <w:p w:rsidR="000D06BA" w:rsidRDefault="00E73EB5">
      <w:pPr>
        <w:pStyle w:val="Zkladntext1"/>
        <w:numPr>
          <w:ilvl w:val="0"/>
          <w:numId w:val="3"/>
        </w:numPr>
        <w:tabs>
          <w:tab w:val="left" w:pos="1554"/>
        </w:tabs>
        <w:ind w:left="840"/>
        <w:jc w:val="both"/>
      </w:pPr>
      <w:bookmarkStart w:id="69" w:name="bookmark68"/>
      <w:bookmarkEnd w:id="69"/>
      <w:r>
        <w:t>Veškeré další úpravy a změny je třeba provádět písemnou formou jako dodatek k této Smlouvě podepsaný oběma Smluvními stranami.</w:t>
      </w:r>
    </w:p>
    <w:p w:rsidR="000D06BA" w:rsidRDefault="00E73EB5">
      <w:pPr>
        <w:pStyle w:val="Zkladntext1"/>
        <w:numPr>
          <w:ilvl w:val="0"/>
          <w:numId w:val="3"/>
        </w:numPr>
        <w:tabs>
          <w:tab w:val="left" w:pos="1554"/>
        </w:tabs>
        <w:ind w:left="840"/>
        <w:jc w:val="both"/>
      </w:pPr>
      <w:bookmarkStart w:id="70" w:name="bookmark69"/>
      <w:bookmarkEnd w:id="70"/>
      <w:r>
        <w:t>Tato Smlouva je vyhotovena ve dvou originálních vyhotoveních, přičemž každá ze Smluvních stran obdrží po jednom.</w:t>
      </w:r>
    </w:p>
    <w:p w:rsidR="000D06BA" w:rsidRDefault="00E73EB5">
      <w:pPr>
        <w:pStyle w:val="Zkladntext1"/>
        <w:numPr>
          <w:ilvl w:val="0"/>
          <w:numId w:val="3"/>
        </w:numPr>
        <w:tabs>
          <w:tab w:val="left" w:pos="1554"/>
        </w:tabs>
        <w:spacing w:line="252" w:lineRule="auto"/>
        <w:ind w:left="840"/>
        <w:jc w:val="both"/>
      </w:pPr>
      <w:bookmarkStart w:id="71" w:name="bookmark70"/>
      <w:bookmarkEnd w:id="71"/>
      <w:r>
        <w:t>Poskytovatel ani Objednatel není oprávněn vystupovat nebo jinak jednat jménem druhé Smluvní strany.</w:t>
      </w:r>
    </w:p>
    <w:p w:rsidR="000D06BA" w:rsidRDefault="00E73EB5">
      <w:pPr>
        <w:pStyle w:val="Zkladntext1"/>
        <w:numPr>
          <w:ilvl w:val="0"/>
          <w:numId w:val="3"/>
        </w:numPr>
        <w:tabs>
          <w:tab w:val="left" w:pos="1554"/>
        </w:tabs>
        <w:spacing w:after="0"/>
        <w:ind w:firstLine="840"/>
        <w:jc w:val="both"/>
      </w:pPr>
      <w:bookmarkStart w:id="72" w:name="bookmark71"/>
      <w:bookmarkEnd w:id="72"/>
      <w:r>
        <w:t>Nedílnou součástí této smlouvy jsou tyto přílohy:</w:t>
      </w:r>
    </w:p>
    <w:p w:rsidR="000D06BA" w:rsidRDefault="00E73EB5">
      <w:pPr>
        <w:pStyle w:val="Zkladntext1"/>
        <w:numPr>
          <w:ilvl w:val="0"/>
          <w:numId w:val="2"/>
        </w:numPr>
        <w:tabs>
          <w:tab w:val="left" w:pos="1554"/>
        </w:tabs>
        <w:spacing w:after="0"/>
        <w:ind w:left="1220" w:firstLine="0"/>
        <w:jc w:val="both"/>
      </w:pPr>
      <w:bookmarkStart w:id="73" w:name="bookmark72"/>
      <w:bookmarkEnd w:id="73"/>
      <w:r>
        <w:t xml:space="preserve">Příloha č. 1 </w:t>
      </w:r>
      <w:r>
        <w:rPr>
          <w:color w:val="373838"/>
        </w:rPr>
        <w:t xml:space="preserve">- </w:t>
      </w:r>
      <w:r>
        <w:t>Servisní protokol Basic</w:t>
      </w:r>
    </w:p>
    <w:p w:rsidR="000D06BA" w:rsidRDefault="00E73EB5">
      <w:pPr>
        <w:spacing w:line="1" w:lineRule="exact"/>
      </w:pPr>
      <w:r>
        <w:rPr>
          <w:noProof/>
          <w:lang w:bidi="ar-SA"/>
        </w:rPr>
        <mc:AlternateContent>
          <mc:Choice Requires="wps">
            <w:drawing>
              <wp:anchor distT="0" distB="0" distL="114300" distR="114300" simplePos="0" relativeHeight="251654656" behindDoc="1" locked="0" layoutInCell="1" allowOverlap="1">
                <wp:simplePos x="0" y="0"/>
                <wp:positionH relativeFrom="page">
                  <wp:posOffset>0</wp:posOffset>
                </wp:positionH>
                <wp:positionV relativeFrom="page">
                  <wp:posOffset>0</wp:posOffset>
                </wp:positionV>
                <wp:extent cx="7556500" cy="10693400"/>
                <wp:effectExtent l="0" t="0" r="0" b="0"/>
                <wp:wrapNone/>
                <wp:docPr id="10" name="Shape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49" fillcolor="#FEFEFE" stroked="f"/>
            </w:pict>
          </mc:Fallback>
        </mc:AlternateContent>
      </w:r>
    </w:p>
    <w:p w:rsidR="000D06BA" w:rsidRDefault="00E73EB5">
      <w:pPr>
        <w:pStyle w:val="Zkladntext1"/>
        <w:numPr>
          <w:ilvl w:val="0"/>
          <w:numId w:val="2"/>
        </w:numPr>
        <w:tabs>
          <w:tab w:val="left" w:pos="1554"/>
        </w:tabs>
        <w:spacing w:after="0"/>
        <w:ind w:left="1220" w:firstLine="0"/>
        <w:jc w:val="both"/>
        <w:sectPr w:rsidR="000D06BA">
          <w:type w:val="continuous"/>
          <w:pgSz w:w="11900" w:h="16840"/>
          <w:pgMar w:top="2037" w:right="1332" w:bottom="1620" w:left="181" w:header="1609" w:footer="1192" w:gutter="0"/>
          <w:cols w:space="720"/>
          <w:noEndnote/>
          <w:docGrid w:linePitch="360"/>
        </w:sectPr>
      </w:pPr>
      <w:bookmarkStart w:id="74" w:name="bookmark73"/>
      <w:bookmarkEnd w:id="74"/>
      <w:r>
        <w:t>Příloha č. 2 - Seznam zařízení</w:t>
      </w:r>
    </w:p>
    <w:p w:rsidR="000D06BA" w:rsidRDefault="00E73EB5">
      <w:pPr>
        <w:pStyle w:val="Titulekobrzku0"/>
        <w:framePr w:w="2861" w:h="240" w:wrap="none" w:vAnchor="text" w:hAnchor="page" w:x="1771" w:y="21"/>
        <w:rPr>
          <w:sz w:val="20"/>
          <w:szCs w:val="20"/>
        </w:rPr>
      </w:pPr>
      <w:r>
        <w:rPr>
          <w:b w:val="0"/>
          <w:bCs w:val="0"/>
          <w:color w:val="000000"/>
          <w:sz w:val="20"/>
          <w:szCs w:val="20"/>
        </w:rPr>
        <w:t>Příloha č. 3 - Cenová kalkulace</w:t>
      </w:r>
    </w:p>
    <w:p w:rsidR="000D06BA" w:rsidRDefault="00E73EB5">
      <w:pPr>
        <w:pStyle w:val="Titulekobrzku0"/>
        <w:framePr w:w="1565" w:h="259" w:wrap="none" w:vAnchor="text" w:hAnchor="page" w:x="2429" w:y="2460"/>
        <w:rPr>
          <w:sz w:val="20"/>
          <w:szCs w:val="20"/>
        </w:rPr>
      </w:pPr>
      <w:r>
        <w:rPr>
          <w:b w:val="0"/>
          <w:bCs w:val="0"/>
          <w:color w:val="000000"/>
          <w:sz w:val="20"/>
          <w:szCs w:val="20"/>
        </w:rPr>
        <w:t>za Poskytovatele</w:t>
      </w: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after="537" w:line="1" w:lineRule="exact"/>
      </w:pPr>
    </w:p>
    <w:p w:rsidR="000D06BA" w:rsidRDefault="000D06BA">
      <w:pPr>
        <w:spacing w:line="1" w:lineRule="exact"/>
        <w:sectPr w:rsidR="000D06BA">
          <w:type w:val="continuous"/>
          <w:pgSz w:w="11900" w:h="16840"/>
          <w:pgMar w:top="2048" w:right="1087" w:bottom="1157" w:left="204" w:header="0" w:footer="3" w:gutter="0"/>
          <w:cols w:space="720"/>
          <w:noEndnote/>
          <w:docGrid w:linePitch="360"/>
        </w:sectPr>
      </w:pPr>
    </w:p>
    <w:p w:rsidR="000D06BA" w:rsidRDefault="00E73EB5">
      <w:pPr>
        <w:spacing w:line="1" w:lineRule="exact"/>
      </w:pPr>
      <w:r>
        <w:rPr>
          <w:noProof/>
          <w:lang w:bidi="ar-SA"/>
        </w:rPr>
        <w:drawing>
          <wp:anchor distT="0" distB="328930" distL="114300" distR="132715" simplePos="0" relativeHeight="251661824" behindDoc="0" locked="0" layoutInCell="1" allowOverlap="1">
            <wp:simplePos x="0" y="0"/>
            <wp:positionH relativeFrom="page">
              <wp:posOffset>1782445</wp:posOffset>
            </wp:positionH>
            <wp:positionV relativeFrom="paragraph">
              <wp:posOffset>292735</wp:posOffset>
            </wp:positionV>
            <wp:extent cx="1017905" cy="286385"/>
            <wp:effectExtent l="0" t="0" r="0" b="0"/>
            <wp:wrapSquare wrapText="bothSides"/>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9"/>
                    <a:stretch/>
                  </pic:blipFill>
                  <pic:spPr>
                    <a:xfrm>
                      <a:off x="0" y="0"/>
                      <a:ext cx="1017905" cy="286385"/>
                    </a:xfrm>
                    <a:prstGeom prst="rect">
                      <a:avLst/>
                    </a:prstGeom>
                  </pic:spPr>
                </pic:pic>
              </a:graphicData>
            </a:graphic>
          </wp:anchor>
        </w:drawing>
      </w:r>
      <w:r>
        <w:rPr>
          <w:noProof/>
          <w:lang w:bidi="ar-SA"/>
        </w:rPr>
        <mc:AlternateContent>
          <mc:Choice Requires="wps">
            <w:drawing>
              <wp:anchor distT="0" distB="0" distL="0" distR="0" simplePos="0" relativeHeight="251663872" behindDoc="0" locked="0" layoutInCell="1" allowOverlap="1">
                <wp:simplePos x="0" y="0"/>
                <wp:positionH relativeFrom="page">
                  <wp:posOffset>1797685</wp:posOffset>
                </wp:positionH>
                <wp:positionV relativeFrom="paragraph">
                  <wp:posOffset>582295</wp:posOffset>
                </wp:positionV>
                <wp:extent cx="1017905" cy="326390"/>
                <wp:effectExtent l="0" t="0" r="0" b="0"/>
                <wp:wrapNone/>
                <wp:docPr id="17" name="Shape 17"/>
                <wp:cNvGraphicFramePr/>
                <a:graphic xmlns:a="http://schemas.openxmlformats.org/drawingml/2006/main">
                  <a:graphicData uri="http://schemas.microsoft.com/office/word/2010/wordprocessingShape">
                    <wps:wsp>
                      <wps:cNvSpPr txBox="1"/>
                      <wps:spPr>
                        <a:xfrm>
                          <a:off x="0" y="0"/>
                          <a:ext cx="1017905" cy="326390"/>
                        </a:xfrm>
                        <a:prstGeom prst="rect">
                          <a:avLst/>
                        </a:prstGeom>
                        <a:noFill/>
                      </wps:spPr>
                      <wps:txbx>
                        <w:txbxContent>
                          <w:p w:rsidR="000D06BA" w:rsidRDefault="00E73EB5">
                            <w:pPr>
                              <w:pStyle w:val="Titulekobrzku0"/>
                              <w:spacing w:line="334" w:lineRule="auto"/>
                              <w:jc w:val="both"/>
                            </w:pPr>
                            <w:r>
                              <w:t xml:space="preserve">SPEDOS s.r.o., HRANICKÁ 771 757 01 VALAŠSKÉ MEZIŘÍČÍ tel.: 571 759 211, </w:t>
                            </w:r>
                            <w:hyperlink r:id="rId10" w:history="1">
                              <w:r>
                                <w:t>www.ipedoi.cz</w:t>
                              </w:r>
                            </w:hyperlink>
                          </w:p>
                        </w:txbxContent>
                      </wps:txbx>
                      <wps:bodyPr lIns="0" tIns="0" rIns="0" bIns="0"/>
                    </wps:wsp>
                  </a:graphicData>
                </a:graphic>
              </wp:anchor>
            </w:drawing>
          </mc:Choice>
          <mc:Fallback>
            <w:pict>
              <v:shape id="_x0000_s1043" type="#_x0000_t202" style="position:absolute;margin-left:141.55000000000001pt;margin-top:45.850000000000001pt;width:80.150000000000006pt;height:25.699999999999999pt;z-index:251657731;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334" w:lineRule="auto"/>
                        <w:ind w:left="0" w:right="0" w:firstLine="0"/>
                        <w:jc w:val="both"/>
                      </w:pPr>
                      <w:r>
                        <w:rPr>
                          <w:spacing w:val="0"/>
                          <w:w w:val="100"/>
                          <w:position w:val="0"/>
                        </w:rPr>
                        <w:t xml:space="preserve">SPEDOS s.r.o., HRANICKÁ 771 757 01 VALAŠSKÉ MEZIŘÍČÍ tel.: 571 759 211, </w:t>
                      </w:r>
                      <w:r>
                        <w:fldChar w:fldCharType="begin"/>
                      </w:r>
                      <w:r>
                        <w:rPr/>
                        <w:instrText> HYPERLINK "http://www.ipedoi.cz" </w:instrText>
                      </w:r>
                      <w:r>
                        <w:fldChar w:fldCharType="separate"/>
                      </w:r>
                      <w:r>
                        <w:rPr>
                          <w:spacing w:val="0"/>
                          <w:w w:val="100"/>
                          <w:position w:val="0"/>
                        </w:rPr>
                        <w:t>www.ipedoi.cz</w:t>
                      </w:r>
                      <w:r>
                        <w:fldChar w:fldCharType="end"/>
                      </w:r>
                    </w:p>
                  </w:txbxContent>
                </v:textbox>
                <w10:wrap anchorx="page"/>
              </v:shape>
            </w:pict>
          </mc:Fallback>
        </mc:AlternateContent>
      </w:r>
    </w:p>
    <w:p w:rsidR="000D06BA" w:rsidRDefault="00E73EB5">
      <w:pPr>
        <w:pStyle w:val="Zkladntext20"/>
        <w:spacing w:line="197" w:lineRule="auto"/>
        <w:jc w:val="center"/>
        <w:rPr>
          <w:sz w:val="17"/>
          <w:szCs w:val="17"/>
        </w:rPr>
      </w:pPr>
      <w:r>
        <w:t>MUBř. Vít Němeček, MBA</w:t>
      </w:r>
      <w:r>
        <w:br/>
      </w:r>
      <w:r>
        <w:rPr>
          <w:b/>
          <w:bCs/>
          <w:i/>
          <w:iCs/>
          <w:sz w:val="17"/>
          <w:szCs w:val="17"/>
        </w:rPr>
        <w:t>ředitel</w:t>
      </w:r>
    </w:p>
    <w:p w:rsidR="000D06BA" w:rsidRDefault="00E73EB5">
      <w:pPr>
        <w:pStyle w:val="Zkladntext20"/>
        <w:spacing w:line="192" w:lineRule="auto"/>
        <w:jc w:val="center"/>
        <w:sectPr w:rsidR="000D06BA">
          <w:type w:val="continuous"/>
          <w:pgSz w:w="11900" w:h="16840"/>
          <w:pgMar w:top="2048" w:right="1385" w:bottom="1157" w:left="4428" w:header="0" w:footer="3" w:gutter="0"/>
          <w:cols w:space="720"/>
          <w:noEndnote/>
          <w:docGrid w:linePitch="360"/>
        </w:sectPr>
      </w:pPr>
      <w:r>
        <w:t>Nemocniční ulice 15</w:t>
      </w:r>
      <w:r>
        <w:br/>
        <w:t>4'6ě 60 Jablonec nad Nisou</w:t>
      </w:r>
    </w:p>
    <w:p w:rsidR="000D06BA" w:rsidRDefault="00E73EB5">
      <w:pPr>
        <w:spacing w:line="1" w:lineRule="exact"/>
      </w:pPr>
      <w:r>
        <w:rPr>
          <w:noProof/>
          <w:lang w:bidi="ar-SA"/>
        </w:rPr>
        <w:lastRenderedPageBreak/>
        <mc:AlternateContent>
          <mc:Choice Requires="wps">
            <w:drawing>
              <wp:anchor distT="0" distB="0" distL="114300" distR="114300" simplePos="0" relativeHeight="251655680" behindDoc="1" locked="0" layoutInCell="1" allowOverlap="1">
                <wp:simplePos x="0" y="0"/>
                <wp:positionH relativeFrom="page">
                  <wp:posOffset>0</wp:posOffset>
                </wp:positionH>
                <wp:positionV relativeFrom="page">
                  <wp:posOffset>0</wp:posOffset>
                </wp:positionV>
                <wp:extent cx="7556500" cy="10693400"/>
                <wp:effectExtent l="0" t="0" r="0" b="0"/>
                <wp:wrapNone/>
                <wp:docPr id="19" name="Shape 1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46" fillcolor="#FEFEFE" stroked="f"/>
            </w:pict>
          </mc:Fallback>
        </mc:AlternateContent>
      </w:r>
    </w:p>
    <w:p w:rsidR="000D06BA" w:rsidRDefault="00E73EB5">
      <w:pPr>
        <w:pStyle w:val="Titulekobrzku0"/>
        <w:framePr w:w="494" w:h="11357" w:hRule="exact" w:wrap="none" w:hAnchor="page" w:x="1297" w:y="524"/>
        <w:tabs>
          <w:tab w:val="left" w:pos="9854"/>
        </w:tabs>
        <w:spacing w:after="60"/>
        <w:jc w:val="both"/>
        <w:textDirection w:val="btLr"/>
        <w:rPr>
          <w:sz w:val="17"/>
          <w:szCs w:val="17"/>
        </w:rPr>
      </w:pPr>
      <w:r>
        <w:rPr>
          <w:b w:val="0"/>
          <w:bCs w:val="0"/>
          <w:color w:val="000000"/>
          <w:sz w:val="17"/>
          <w:szCs w:val="17"/>
        </w:rPr>
        <w:t>Příloha č.2:</w:t>
      </w:r>
      <w:r>
        <w:rPr>
          <w:b w:val="0"/>
          <w:bCs w:val="0"/>
          <w:color w:val="000000"/>
          <w:sz w:val="17"/>
          <w:szCs w:val="17"/>
        </w:rPr>
        <w:tab/>
        <w:t>Seznam zařízení</w:t>
      </w:r>
    </w:p>
    <w:p w:rsidR="000D06BA" w:rsidRDefault="00E73EB5">
      <w:pPr>
        <w:pStyle w:val="Titulekobrzku0"/>
        <w:framePr w:w="494" w:h="11357" w:hRule="exact" w:wrap="none" w:hAnchor="page" w:x="1297" w:y="524"/>
        <w:tabs>
          <w:tab w:val="left" w:leader="underscore" w:pos="9806"/>
        </w:tabs>
        <w:jc w:val="both"/>
        <w:textDirection w:val="btLr"/>
        <w:rPr>
          <w:sz w:val="17"/>
          <w:szCs w:val="17"/>
        </w:rPr>
      </w:pPr>
      <w:r>
        <w:rPr>
          <w:b w:val="0"/>
          <w:bCs w:val="0"/>
          <w:color w:val="000000"/>
          <w:sz w:val="17"/>
          <w:szCs w:val="17"/>
        </w:rPr>
        <w:t>ke smlouvě č. : 2016802614S0010</w:t>
      </w:r>
      <w:r>
        <w:rPr>
          <w:b w:val="0"/>
          <w:bCs w:val="0"/>
          <w:color w:val="000000"/>
          <w:sz w:val="17"/>
          <w:szCs w:val="17"/>
        </w:rPr>
        <w:tab/>
      </w:r>
      <w:r>
        <w:rPr>
          <w:b w:val="0"/>
          <w:bCs w:val="0"/>
          <w:color w:val="000000"/>
          <w:sz w:val="17"/>
          <w:szCs w:val="17"/>
          <w:u w:val="single"/>
        </w:rPr>
        <w:t>046-2016/PRO/441</w:t>
      </w:r>
    </w:p>
    <w:p w:rsidR="000D06BA" w:rsidRDefault="00E73EB5">
      <w:pPr>
        <w:pStyle w:val="Titulekobrzku0"/>
        <w:framePr w:w="192" w:h="298" w:wrap="none" w:hAnchor="page" w:x="4633" w:y="9327"/>
        <w:jc w:val="both"/>
        <w:rPr>
          <w:sz w:val="24"/>
          <w:szCs w:val="24"/>
        </w:rPr>
      </w:pPr>
      <w:r>
        <w:rPr>
          <w:rFonts w:ascii="Times New Roman" w:eastAsia="Times New Roman" w:hAnsi="Times New Roman" w:cs="Times New Roman"/>
          <w:b w:val="0"/>
          <w:bCs w:val="0"/>
          <w:sz w:val="24"/>
          <w:szCs w:val="24"/>
        </w:rPr>
        <w:t>o</w:t>
      </w:r>
    </w:p>
    <w:p w:rsidR="000D06BA" w:rsidRDefault="00E73EB5">
      <w:pPr>
        <w:pStyle w:val="Titulekobrzku0"/>
        <w:framePr w:w="192" w:h="298" w:wrap="none" w:hAnchor="page" w:x="3097" w:y="9337"/>
        <w:rPr>
          <w:sz w:val="24"/>
          <w:szCs w:val="24"/>
        </w:rPr>
      </w:pPr>
      <w:r>
        <w:rPr>
          <w:rFonts w:ascii="Times New Roman" w:eastAsia="Times New Roman" w:hAnsi="Times New Roman" w:cs="Times New Roman"/>
          <w:b w:val="0"/>
          <w:bCs w:val="0"/>
          <w:color w:val="373838"/>
          <w:sz w:val="24"/>
          <w:szCs w:val="24"/>
        </w:rPr>
        <w:t>o</w:t>
      </w:r>
    </w:p>
    <w:p w:rsidR="000D06BA" w:rsidRDefault="00E73EB5">
      <w:pPr>
        <w:pStyle w:val="Titulekobrzku0"/>
        <w:framePr w:w="197" w:h="298" w:wrap="none" w:hAnchor="page" w:x="3352" w:y="9337"/>
        <w:rPr>
          <w:sz w:val="24"/>
          <w:szCs w:val="24"/>
        </w:rPr>
      </w:pPr>
      <w:r>
        <w:rPr>
          <w:rFonts w:ascii="Times New Roman" w:eastAsia="Times New Roman" w:hAnsi="Times New Roman" w:cs="Times New Roman"/>
          <w:b w:val="0"/>
          <w:bCs w:val="0"/>
          <w:sz w:val="24"/>
          <w:szCs w:val="24"/>
        </w:rPr>
        <w:t>o</w:t>
      </w:r>
    </w:p>
    <w:p w:rsidR="000D06BA" w:rsidRDefault="00E73EB5">
      <w:pPr>
        <w:pStyle w:val="Titulekobrzku0"/>
        <w:framePr w:w="197" w:h="298" w:wrap="none" w:hAnchor="page" w:x="3606" w:y="9332"/>
        <w:rPr>
          <w:sz w:val="24"/>
          <w:szCs w:val="24"/>
        </w:rPr>
      </w:pPr>
      <w:r>
        <w:rPr>
          <w:rFonts w:ascii="Times New Roman" w:eastAsia="Times New Roman" w:hAnsi="Times New Roman" w:cs="Times New Roman"/>
          <w:b w:val="0"/>
          <w:bCs w:val="0"/>
          <w:sz w:val="24"/>
          <w:szCs w:val="24"/>
        </w:rPr>
        <w:t>o</w:t>
      </w:r>
    </w:p>
    <w:p w:rsidR="000D06BA" w:rsidRDefault="00E73EB5">
      <w:pPr>
        <w:pStyle w:val="Titulekobrzku0"/>
        <w:framePr w:w="192" w:h="250" w:wrap="none" w:hAnchor="page" w:x="2588" w:y="9375"/>
        <w:rPr>
          <w:sz w:val="20"/>
          <w:szCs w:val="20"/>
        </w:rPr>
      </w:pPr>
      <w:r>
        <w:rPr>
          <w:b w:val="0"/>
          <w:bCs w:val="0"/>
          <w:sz w:val="20"/>
          <w:szCs w:val="20"/>
        </w:rPr>
        <w:t>o</w:t>
      </w:r>
    </w:p>
    <w:p w:rsidR="000D06BA" w:rsidRDefault="00E73EB5">
      <w:pPr>
        <w:pStyle w:val="Titulekobrzku0"/>
        <w:framePr w:w="192" w:h="312" w:wrap="none" w:hAnchor="page" w:x="2588" w:y="9711"/>
        <w:spacing w:line="137" w:lineRule="auto"/>
        <w:rPr>
          <w:sz w:val="24"/>
          <w:szCs w:val="24"/>
        </w:rPr>
      </w:pPr>
      <w:r>
        <w:rPr>
          <w:b w:val="0"/>
          <w:bCs w:val="0"/>
          <w:sz w:val="17"/>
          <w:szCs w:val="17"/>
        </w:rPr>
        <w:t xml:space="preserve">co </w:t>
      </w:r>
      <w:r>
        <w:rPr>
          <w:rFonts w:ascii="Times New Roman" w:eastAsia="Times New Roman" w:hAnsi="Times New Roman" w:cs="Times New Roman"/>
          <w:b w:val="0"/>
          <w:bCs w:val="0"/>
          <w:sz w:val="24"/>
          <w:szCs w:val="24"/>
        </w:rPr>
        <w:t>o</w:t>
      </w:r>
    </w:p>
    <w:p w:rsidR="000D06BA" w:rsidRDefault="00E73EB5">
      <w:pPr>
        <w:pStyle w:val="Titulekobrzku0"/>
        <w:framePr w:w="192" w:h="307" w:wrap="none" w:hAnchor="page" w:x="3870" w:y="9711"/>
        <w:spacing w:line="151" w:lineRule="auto"/>
        <w:jc w:val="both"/>
        <w:rPr>
          <w:sz w:val="20"/>
          <w:szCs w:val="20"/>
        </w:rPr>
      </w:pPr>
      <w:r>
        <w:rPr>
          <w:b w:val="0"/>
          <w:bCs w:val="0"/>
          <w:sz w:val="17"/>
          <w:szCs w:val="17"/>
        </w:rPr>
        <w:t xml:space="preserve">co </w:t>
      </w:r>
      <w:r>
        <w:rPr>
          <w:b w:val="0"/>
          <w:bCs w:val="0"/>
          <w:sz w:val="20"/>
          <w:szCs w:val="20"/>
        </w:rPr>
        <w:t>o</w:t>
      </w:r>
    </w:p>
    <w:p w:rsidR="000D06BA" w:rsidRDefault="00E73EB5">
      <w:pPr>
        <w:pStyle w:val="Titulekobrzku0"/>
        <w:framePr w:w="192" w:h="341" w:wrap="none" w:hAnchor="page" w:x="4864" w:y="4767"/>
        <w:spacing w:line="218" w:lineRule="auto"/>
        <w:jc w:val="center"/>
      </w:pPr>
      <w:r>
        <w:t xml:space="preserve">'&lt;D </w:t>
      </w:r>
      <w:r>
        <w:rPr>
          <w:color w:val="000000"/>
        </w:rPr>
        <w:t xml:space="preserve">c </w:t>
      </w:r>
      <w:r>
        <w:t>&gt;&lt;J</w:t>
      </w:r>
    </w:p>
    <w:p w:rsidR="000D06BA" w:rsidRDefault="00E73EB5">
      <w:pPr>
        <w:pStyle w:val="Zkladntext1"/>
        <w:framePr w:w="197" w:h="302" w:wrap="none" w:hAnchor="page" w:x="3097" w:y="9711"/>
        <w:spacing w:after="0" w:line="142" w:lineRule="auto"/>
        <w:ind w:firstLine="0"/>
      </w:pPr>
      <w:r>
        <w:t>co o</w:t>
      </w:r>
    </w:p>
    <w:p w:rsidR="000D06BA" w:rsidRDefault="00E73EB5">
      <w:pPr>
        <w:pStyle w:val="Zkladntext20"/>
        <w:framePr w:w="192" w:h="307" w:wrap="none" w:hAnchor="page" w:x="3357" w:y="9711"/>
        <w:spacing w:line="137" w:lineRule="auto"/>
        <w:jc w:val="both"/>
        <w:rPr>
          <w:sz w:val="17"/>
          <w:szCs w:val="17"/>
        </w:rPr>
      </w:pPr>
      <w:r>
        <w:rPr>
          <w:sz w:val="17"/>
          <w:szCs w:val="17"/>
          <w:shd w:val="clear" w:color="auto" w:fill="FFFFFF"/>
        </w:rPr>
        <w:t>co</w:t>
      </w:r>
    </w:p>
    <w:p w:rsidR="000D06BA" w:rsidRDefault="00E73EB5">
      <w:pPr>
        <w:pStyle w:val="Nadpis20"/>
        <w:keepNext/>
        <w:keepLines/>
        <w:framePr w:w="192" w:h="307" w:wrap="none" w:hAnchor="page" w:x="3357" w:y="9711"/>
        <w:jc w:val="both"/>
      </w:pPr>
      <w:bookmarkStart w:id="75" w:name="bookmark74"/>
      <w:bookmarkStart w:id="76" w:name="bookmark75"/>
      <w:bookmarkStart w:id="77" w:name="bookmark76"/>
      <w:r>
        <w:t>o</w:t>
      </w:r>
      <w:bookmarkEnd w:id="75"/>
      <w:bookmarkEnd w:id="76"/>
      <w:bookmarkEnd w:id="77"/>
    </w:p>
    <w:p w:rsidR="000D06BA" w:rsidRDefault="00E73EB5">
      <w:pPr>
        <w:pStyle w:val="Zkladntext20"/>
        <w:framePr w:w="192" w:h="307" w:wrap="none" w:hAnchor="page" w:x="3611" w:y="9711"/>
        <w:spacing w:line="137" w:lineRule="auto"/>
        <w:jc w:val="both"/>
        <w:rPr>
          <w:sz w:val="17"/>
          <w:szCs w:val="17"/>
        </w:rPr>
      </w:pPr>
      <w:r>
        <w:rPr>
          <w:sz w:val="17"/>
          <w:szCs w:val="17"/>
          <w:shd w:val="clear" w:color="auto" w:fill="FFFFFF"/>
        </w:rPr>
        <w:t>co</w:t>
      </w:r>
    </w:p>
    <w:p w:rsidR="000D06BA" w:rsidRDefault="00E73EB5">
      <w:pPr>
        <w:pStyle w:val="Nadpis20"/>
        <w:keepNext/>
        <w:keepLines/>
        <w:framePr w:w="192" w:h="307" w:wrap="none" w:hAnchor="page" w:x="3611" w:y="9711"/>
      </w:pPr>
      <w:bookmarkStart w:id="78" w:name="bookmark77"/>
      <w:bookmarkStart w:id="79" w:name="bookmark78"/>
      <w:bookmarkStart w:id="80" w:name="bookmark79"/>
      <w:r>
        <w:t>o</w:t>
      </w:r>
      <w:bookmarkEnd w:id="78"/>
      <w:bookmarkEnd w:id="79"/>
      <w:bookmarkEnd w:id="80"/>
    </w:p>
    <w:p w:rsidR="000D06BA" w:rsidRDefault="00E73EB5">
      <w:pPr>
        <w:pStyle w:val="Zkladntext20"/>
        <w:framePr w:w="192" w:h="312" w:wrap="none" w:hAnchor="page" w:x="4379" w:y="9707"/>
        <w:spacing w:line="142" w:lineRule="auto"/>
        <w:rPr>
          <w:sz w:val="17"/>
          <w:szCs w:val="17"/>
        </w:rPr>
      </w:pPr>
      <w:r>
        <w:rPr>
          <w:sz w:val="17"/>
          <w:szCs w:val="17"/>
          <w:shd w:val="clear" w:color="auto" w:fill="FFFFFF"/>
        </w:rPr>
        <w:t>co</w:t>
      </w:r>
    </w:p>
    <w:p w:rsidR="000D06BA" w:rsidRDefault="00E73EB5">
      <w:pPr>
        <w:pStyle w:val="Nadpis20"/>
        <w:keepNext/>
        <w:keepLines/>
        <w:framePr w:w="192" w:h="312" w:wrap="none" w:hAnchor="page" w:x="4379" w:y="9707"/>
        <w:spacing w:line="142" w:lineRule="auto"/>
      </w:pPr>
      <w:bookmarkStart w:id="81" w:name="bookmark80"/>
      <w:bookmarkStart w:id="82" w:name="bookmark81"/>
      <w:bookmarkStart w:id="83" w:name="bookmark82"/>
      <w:r>
        <w:t>o</w:t>
      </w:r>
      <w:bookmarkEnd w:id="81"/>
      <w:bookmarkEnd w:id="82"/>
      <w:bookmarkEnd w:id="83"/>
    </w:p>
    <w:p w:rsidR="000D06BA" w:rsidRDefault="00E73EB5">
      <w:pPr>
        <w:pStyle w:val="Zkladntext20"/>
        <w:framePr w:w="197" w:h="307" w:wrap="none" w:hAnchor="page" w:x="4633" w:y="9707"/>
        <w:spacing w:line="137" w:lineRule="auto"/>
        <w:rPr>
          <w:sz w:val="17"/>
          <w:szCs w:val="17"/>
        </w:rPr>
      </w:pPr>
      <w:r>
        <w:rPr>
          <w:sz w:val="17"/>
          <w:szCs w:val="17"/>
          <w:shd w:val="clear" w:color="auto" w:fill="FFFFFF"/>
        </w:rPr>
        <w:t>co</w:t>
      </w:r>
    </w:p>
    <w:p w:rsidR="000D06BA" w:rsidRDefault="00E73EB5">
      <w:pPr>
        <w:pStyle w:val="Nadpis20"/>
        <w:keepNext/>
        <w:keepLines/>
        <w:framePr w:w="197" w:h="307" w:wrap="none" w:hAnchor="page" w:x="4633" w:y="9707"/>
      </w:pPr>
      <w:bookmarkStart w:id="84" w:name="bookmark83"/>
      <w:bookmarkStart w:id="85" w:name="bookmark84"/>
      <w:bookmarkStart w:id="86" w:name="bookmark85"/>
      <w:r>
        <w:t>o</w:t>
      </w:r>
      <w:bookmarkEnd w:id="84"/>
      <w:bookmarkEnd w:id="85"/>
      <w:bookmarkEnd w:id="86"/>
    </w:p>
    <w:p w:rsidR="000D06BA" w:rsidRDefault="00E73EB5">
      <w:pPr>
        <w:spacing w:line="360" w:lineRule="exact"/>
      </w:pPr>
      <w:r>
        <w:rPr>
          <w:noProof/>
          <w:lang w:bidi="ar-SA"/>
        </w:rPr>
        <w:drawing>
          <wp:anchor distT="0" distB="3175" distL="3175" distR="0" simplePos="0" relativeHeight="251658752" behindDoc="1" locked="0" layoutInCell="1" allowOverlap="1">
            <wp:simplePos x="0" y="0"/>
            <wp:positionH relativeFrom="page">
              <wp:posOffset>826135</wp:posOffset>
            </wp:positionH>
            <wp:positionV relativeFrom="margin">
              <wp:posOffset>0</wp:posOffset>
            </wp:positionV>
            <wp:extent cx="3529330" cy="7540625"/>
            <wp:effectExtent l="0" t="0" r="0" b="0"/>
            <wp:wrapNone/>
            <wp:docPr id="20" name="Shape 20"/>
            <wp:cNvGraphicFramePr/>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11"/>
                    <a:stretch/>
                  </pic:blipFill>
                  <pic:spPr>
                    <a:xfrm>
                      <a:off x="0" y="0"/>
                      <a:ext cx="3529330" cy="7540625"/>
                    </a:xfrm>
                    <a:prstGeom prst="rect">
                      <a:avLst/>
                    </a:prstGeom>
                  </pic:spPr>
                </pic:pic>
              </a:graphicData>
            </a:graphic>
          </wp:anchor>
        </w:drawing>
      </w: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line="360" w:lineRule="exact"/>
      </w:pPr>
    </w:p>
    <w:p w:rsidR="000D06BA" w:rsidRDefault="000D06BA">
      <w:pPr>
        <w:spacing w:after="359" w:line="1" w:lineRule="exact"/>
      </w:pPr>
    </w:p>
    <w:p w:rsidR="000D06BA" w:rsidRDefault="000D06BA">
      <w:pPr>
        <w:spacing w:line="1" w:lineRule="exact"/>
      </w:pPr>
    </w:p>
    <w:sectPr w:rsidR="000D06BA">
      <w:pgSz w:w="11900" w:h="16840"/>
      <w:pgMar w:top="3838" w:right="5040" w:bottom="921" w:left="1296" w:header="3410" w:footer="49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FC8" w:rsidRDefault="00E73EB5">
      <w:r>
        <w:separator/>
      </w:r>
    </w:p>
  </w:endnote>
  <w:endnote w:type="continuationSeparator" w:id="0">
    <w:p w:rsidR="00205FC8" w:rsidRDefault="00E7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6BA" w:rsidRDefault="000D06BA"/>
  </w:footnote>
  <w:footnote w:type="continuationSeparator" w:id="0">
    <w:p w:rsidR="000D06BA" w:rsidRDefault="000D06B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7E5E"/>
    <w:multiLevelType w:val="multilevel"/>
    <w:tmpl w:val="46CA34C8"/>
    <w:lvl w:ilvl="0">
      <w:start w:val="1"/>
      <w:numFmt w:val="decimal"/>
      <w:lvlText w:val="1.%1"/>
      <w:lvlJc w:val="left"/>
      <w:rPr>
        <w:rFonts w:ascii="Arial" w:eastAsia="Arial" w:hAnsi="Arial" w:cs="Arial"/>
        <w:b w:val="0"/>
        <w:bCs w:val="0"/>
        <w:i w:val="0"/>
        <w:iCs w:val="0"/>
        <w:smallCaps w:val="0"/>
        <w:strike w:val="0"/>
        <w:color w:val="181919"/>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DC0AAE"/>
    <w:multiLevelType w:val="multilevel"/>
    <w:tmpl w:val="B754A3F0"/>
    <w:lvl w:ilvl="0">
      <w:start w:val="1"/>
      <w:numFmt w:val="bullet"/>
      <w:lvlText w:val="-"/>
      <w:lvlJc w:val="left"/>
      <w:rPr>
        <w:rFonts w:ascii="Arial" w:eastAsia="Arial" w:hAnsi="Arial" w:cs="Arial"/>
        <w:b w:val="0"/>
        <w:bCs w:val="0"/>
        <w:i w:val="0"/>
        <w:iCs w:val="0"/>
        <w:smallCaps w:val="0"/>
        <w:strike w:val="0"/>
        <w:color w:val="181919"/>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2C2663"/>
    <w:multiLevelType w:val="multilevel"/>
    <w:tmpl w:val="9CC82AB8"/>
    <w:lvl w:ilvl="0">
      <w:start w:val="18"/>
      <w:numFmt w:val="decimal"/>
      <w:lvlText w:val="1.%1"/>
      <w:lvlJc w:val="left"/>
      <w:rPr>
        <w:rFonts w:ascii="Arial" w:eastAsia="Arial" w:hAnsi="Arial" w:cs="Arial"/>
        <w:b w:val="0"/>
        <w:bCs w:val="0"/>
        <w:i w:val="0"/>
        <w:iCs w:val="0"/>
        <w:smallCaps w:val="0"/>
        <w:strike w:val="0"/>
        <w:color w:val="181919"/>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6BA"/>
    <w:rsid w:val="000D06BA"/>
    <w:rsid w:val="00205FC8"/>
    <w:rsid w:val="009466CD"/>
    <w:rsid w:val="00CE3CE2"/>
    <w:rsid w:val="00E73E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B8D7"/>
  <w15:docId w15:val="{69DCF99F-FE08-4B59-939C-718064E0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181919"/>
      <w:sz w:val="9"/>
      <w:szCs w:val="9"/>
      <w:u w:val="none"/>
      <w:shd w:val="clear" w:color="auto" w:fill="auto"/>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181919"/>
      <w:sz w:val="9"/>
      <w:szCs w:val="9"/>
      <w:u w:val="none"/>
      <w:shd w:val="clear" w:color="auto" w:fill="auto"/>
    </w:rPr>
  </w:style>
  <w:style w:type="character" w:customStyle="1" w:styleId="Zkladntext4">
    <w:name w:val="Základní text (4)_"/>
    <w:basedOn w:val="Standardnpsmoodstavce"/>
    <w:link w:val="Zkladntext40"/>
    <w:rPr>
      <w:rFonts w:ascii="Arial" w:eastAsia="Arial" w:hAnsi="Arial" w:cs="Arial"/>
      <w:b w:val="0"/>
      <w:bCs w:val="0"/>
      <w:i w:val="0"/>
      <w:iCs w:val="0"/>
      <w:smallCaps/>
      <w:strike w:val="0"/>
      <w:color w:val="373838"/>
      <w:sz w:val="30"/>
      <w:szCs w:val="30"/>
      <w:u w:val="none"/>
      <w:shd w:val="clear" w:color="auto" w:fill="auto"/>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6"/>
      <w:szCs w:val="26"/>
      <w:u w:val="none"/>
      <w:shd w:val="clear" w:color="auto" w:fill="auto"/>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181919"/>
      <w:sz w:val="20"/>
      <w:szCs w:val="20"/>
      <w:u w:val="none"/>
      <w:shd w:val="clear" w:color="auto" w:fill="auto"/>
    </w:rPr>
  </w:style>
  <w:style w:type="character" w:customStyle="1" w:styleId="Nadpis3">
    <w:name w:val="Nadpis #3_"/>
    <w:basedOn w:val="Standardnpsmoodstavce"/>
    <w:link w:val="Nadpis30"/>
    <w:rPr>
      <w:rFonts w:ascii="Arial" w:eastAsia="Arial" w:hAnsi="Arial" w:cs="Arial"/>
      <w:b/>
      <w:bCs/>
      <w:i w:val="0"/>
      <w:iCs w:val="0"/>
      <w:smallCaps w:val="0"/>
      <w:strike w:val="0"/>
      <w:color w:val="181919"/>
      <w:sz w:val="20"/>
      <w:szCs w:val="20"/>
      <w:u w:val="none"/>
      <w:shd w:val="clear" w:color="auto" w:fill="auto"/>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color w:val="181919"/>
      <w:sz w:val="19"/>
      <w:szCs w:val="19"/>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color w:val="181919"/>
      <w:sz w:val="20"/>
      <w:szCs w:val="20"/>
      <w:u w:val="none"/>
      <w:shd w:val="clear" w:color="auto" w:fill="auto"/>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181919"/>
      <w:sz w:val="18"/>
      <w:szCs w:val="18"/>
      <w:u w:val="none"/>
      <w:shd w:val="clear" w:color="auto" w:fill="auto"/>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color w:val="181919"/>
      <w:u w:val="none"/>
      <w:shd w:val="clear" w:color="auto" w:fill="auto"/>
    </w:rPr>
  </w:style>
  <w:style w:type="paragraph" w:customStyle="1" w:styleId="Zkladntext30">
    <w:name w:val="Základní text (3)"/>
    <w:basedOn w:val="Normln"/>
    <w:link w:val="Zkladntext3"/>
    <w:rPr>
      <w:rFonts w:ascii="Arial" w:eastAsia="Arial" w:hAnsi="Arial" w:cs="Arial"/>
      <w:b/>
      <w:bCs/>
      <w:color w:val="181919"/>
      <w:sz w:val="9"/>
      <w:szCs w:val="9"/>
    </w:rPr>
  </w:style>
  <w:style w:type="paragraph" w:customStyle="1" w:styleId="Titulekobrzku0">
    <w:name w:val="Titulek obrázku"/>
    <w:basedOn w:val="Normln"/>
    <w:link w:val="Titulekobrzku"/>
    <w:rPr>
      <w:rFonts w:ascii="Arial" w:eastAsia="Arial" w:hAnsi="Arial" w:cs="Arial"/>
      <w:b/>
      <w:bCs/>
      <w:color w:val="181919"/>
      <w:sz w:val="9"/>
      <w:szCs w:val="9"/>
    </w:rPr>
  </w:style>
  <w:style w:type="paragraph" w:customStyle="1" w:styleId="Zkladntext40">
    <w:name w:val="Základní text (4)"/>
    <w:basedOn w:val="Normln"/>
    <w:link w:val="Zkladntext4"/>
    <w:rPr>
      <w:rFonts w:ascii="Arial" w:eastAsia="Arial" w:hAnsi="Arial" w:cs="Arial"/>
      <w:smallCaps/>
      <w:color w:val="373838"/>
      <w:sz w:val="30"/>
      <w:szCs w:val="30"/>
    </w:rPr>
  </w:style>
  <w:style w:type="paragraph" w:customStyle="1" w:styleId="Nadpis10">
    <w:name w:val="Nadpis #1"/>
    <w:basedOn w:val="Normln"/>
    <w:link w:val="Nadpis1"/>
    <w:pPr>
      <w:outlineLvl w:val="0"/>
    </w:pPr>
    <w:rPr>
      <w:rFonts w:ascii="Arial" w:eastAsia="Arial" w:hAnsi="Arial" w:cs="Arial"/>
      <w:sz w:val="26"/>
      <w:szCs w:val="26"/>
    </w:rPr>
  </w:style>
  <w:style w:type="paragraph" w:customStyle="1" w:styleId="Zkladntext1">
    <w:name w:val="Základní text1"/>
    <w:basedOn w:val="Normln"/>
    <w:link w:val="Zkladntext"/>
    <w:pPr>
      <w:spacing w:after="180"/>
      <w:ind w:firstLine="20"/>
    </w:pPr>
    <w:rPr>
      <w:rFonts w:ascii="Arial" w:eastAsia="Arial" w:hAnsi="Arial" w:cs="Arial"/>
      <w:color w:val="181919"/>
      <w:sz w:val="20"/>
      <w:szCs w:val="20"/>
    </w:rPr>
  </w:style>
  <w:style w:type="paragraph" w:customStyle="1" w:styleId="Nadpis30">
    <w:name w:val="Nadpis #3"/>
    <w:basedOn w:val="Normln"/>
    <w:link w:val="Nadpis3"/>
    <w:pPr>
      <w:spacing w:after="180"/>
      <w:ind w:left="4100"/>
      <w:outlineLvl w:val="2"/>
    </w:pPr>
    <w:rPr>
      <w:rFonts w:ascii="Arial" w:eastAsia="Arial" w:hAnsi="Arial" w:cs="Arial"/>
      <w:b/>
      <w:bCs/>
      <w:color w:val="181919"/>
      <w:sz w:val="20"/>
      <w:szCs w:val="20"/>
    </w:rPr>
  </w:style>
  <w:style w:type="paragraph" w:customStyle="1" w:styleId="Titulektabulky0">
    <w:name w:val="Titulek tabulky"/>
    <w:basedOn w:val="Normln"/>
    <w:link w:val="Titulektabulky"/>
    <w:rPr>
      <w:rFonts w:ascii="Calibri" w:eastAsia="Calibri" w:hAnsi="Calibri" w:cs="Calibri"/>
      <w:color w:val="181919"/>
      <w:sz w:val="19"/>
      <w:szCs w:val="19"/>
    </w:rPr>
  </w:style>
  <w:style w:type="paragraph" w:customStyle="1" w:styleId="Jin0">
    <w:name w:val="Jiné"/>
    <w:basedOn w:val="Normln"/>
    <w:link w:val="Jin"/>
    <w:pPr>
      <w:spacing w:after="180"/>
      <w:ind w:firstLine="20"/>
    </w:pPr>
    <w:rPr>
      <w:rFonts w:ascii="Arial" w:eastAsia="Arial" w:hAnsi="Arial" w:cs="Arial"/>
      <w:color w:val="181919"/>
      <w:sz w:val="20"/>
      <w:szCs w:val="20"/>
    </w:rPr>
  </w:style>
  <w:style w:type="paragraph" w:customStyle="1" w:styleId="Zkladntext20">
    <w:name w:val="Základní text (2)"/>
    <w:basedOn w:val="Normln"/>
    <w:link w:val="Zkladntext2"/>
    <w:pPr>
      <w:spacing w:line="166" w:lineRule="auto"/>
    </w:pPr>
    <w:rPr>
      <w:rFonts w:ascii="Arial" w:eastAsia="Arial" w:hAnsi="Arial" w:cs="Arial"/>
      <w:color w:val="181919"/>
      <w:sz w:val="18"/>
      <w:szCs w:val="18"/>
    </w:rPr>
  </w:style>
  <w:style w:type="paragraph" w:customStyle="1" w:styleId="Nadpis20">
    <w:name w:val="Nadpis #2"/>
    <w:basedOn w:val="Normln"/>
    <w:link w:val="Nadpis2"/>
    <w:pPr>
      <w:spacing w:line="137" w:lineRule="auto"/>
      <w:outlineLvl w:val="1"/>
    </w:pPr>
    <w:rPr>
      <w:rFonts w:ascii="Times New Roman" w:eastAsia="Times New Roman" w:hAnsi="Times New Roman" w:cs="Times New Roman"/>
      <w:color w:val="1819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rvis@spedos.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http://www.ipedoi.cz"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1563</Words>
  <Characters>9226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Labíková</dc:creator>
  <cp:lastModifiedBy>Radmila Labíková</cp:lastModifiedBy>
  <cp:revision>3</cp:revision>
  <dcterms:created xsi:type="dcterms:W3CDTF">2021-04-30T07:36:00Z</dcterms:created>
  <dcterms:modified xsi:type="dcterms:W3CDTF">2021-05-03T12:54:00Z</dcterms:modified>
</cp:coreProperties>
</file>