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28" w:rsidRDefault="00DF2771">
      <w:pPr>
        <w:spacing w:before="80" w:line="425" w:lineRule="exact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1190400064</w:t>
      </w:r>
    </w:p>
    <w:p w:rsidR="00902328" w:rsidRDefault="00DF2771">
      <w:pPr>
        <w:spacing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902328" w:rsidRDefault="00DF2771">
      <w:pPr>
        <w:spacing w:before="2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902328" w:rsidRDefault="00902328">
      <w:pPr>
        <w:pStyle w:val="Zkladntext"/>
        <w:spacing w:before="11"/>
        <w:ind w:left="0"/>
        <w:jc w:val="left"/>
        <w:rPr>
          <w:sz w:val="59"/>
        </w:rPr>
      </w:pPr>
    </w:p>
    <w:p w:rsidR="00902328" w:rsidRDefault="00DF2771">
      <w:pPr>
        <w:pStyle w:val="Zkladntext"/>
        <w:ind w:left="242"/>
        <w:jc w:val="left"/>
      </w:pPr>
      <w:r>
        <w:t>Smluvní strany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7"/>
        <w:ind w:left="242"/>
        <w:jc w:val="left"/>
      </w:pPr>
      <w:r>
        <w:t>Státní fond životního prostředí České republiky</w:t>
      </w:r>
    </w:p>
    <w:p w:rsidR="00902328" w:rsidRDefault="00DF2771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5"/>
        </w:rPr>
        <w:t xml:space="preserve"> </w:t>
      </w:r>
      <w:r>
        <w:t>11</w:t>
      </w:r>
    </w:p>
    <w:p w:rsidR="00902328" w:rsidRDefault="00DF277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902328" w:rsidRDefault="00DF2771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902328" w:rsidRDefault="00DF2771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2"/>
        </w:rPr>
        <w:t xml:space="preserve"> </w:t>
      </w:r>
      <w:r>
        <w:t>ČR</w:t>
      </w:r>
    </w:p>
    <w:p w:rsidR="00902328" w:rsidRDefault="00DF2771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902328" w:rsidRDefault="00DF2771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02328" w:rsidRDefault="00DF2771">
      <w:pPr>
        <w:pStyle w:val="Zkladntext"/>
        <w:spacing w:line="477" w:lineRule="auto"/>
        <w:ind w:left="242" w:right="7967"/>
        <w:jc w:val="left"/>
      </w:pPr>
      <w:r>
        <w:t>(dále jen „Fond") a</w:t>
      </w:r>
    </w:p>
    <w:p w:rsidR="00902328" w:rsidRDefault="00DF2771">
      <w:pPr>
        <w:pStyle w:val="Nadpis1"/>
        <w:spacing w:before="5"/>
        <w:ind w:left="242"/>
        <w:jc w:val="left"/>
      </w:pPr>
      <w:r>
        <w:t>obec Michalovice</w:t>
      </w:r>
    </w:p>
    <w:p w:rsidR="00902328" w:rsidRDefault="00DF2771">
      <w:pPr>
        <w:pStyle w:val="Zkladntext"/>
        <w:tabs>
          <w:tab w:val="left" w:pos="3122"/>
        </w:tabs>
        <w:ind w:left="242" w:right="132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Michalovice, Michalovice 44, 412 01 Litoměřice IČO:</w:t>
      </w:r>
      <w:r>
        <w:tab/>
        <w:t>00526410</w:t>
      </w:r>
    </w:p>
    <w:p w:rsidR="00902328" w:rsidRDefault="00DF2771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zastoupená:</w:t>
      </w:r>
      <w:r>
        <w:tab/>
        <w:t>Ing. Hanou K r e j č o v o u,</w:t>
      </w:r>
      <w:r>
        <w:rPr>
          <w:spacing w:val="-1"/>
        </w:rPr>
        <w:t xml:space="preserve"> </w:t>
      </w:r>
      <w:r>
        <w:t>starostkou</w:t>
      </w:r>
    </w:p>
    <w:p w:rsidR="00902328" w:rsidRDefault="00DF277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A33F9" w:rsidRPr="00FA33F9">
        <w:rPr>
          <w:highlight w:val="yellow"/>
        </w:rPr>
        <w:t>xxxx</w:t>
      </w:r>
    </w:p>
    <w:p w:rsidR="00902328" w:rsidRDefault="00DF2771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FA33F9" w:rsidRPr="00FA33F9">
        <w:rPr>
          <w:highlight w:val="yellow"/>
        </w:rPr>
        <w:t>xxxx</w:t>
      </w:r>
      <w:bookmarkStart w:id="0" w:name="_GoBack"/>
      <w:bookmarkEnd w:id="0"/>
    </w:p>
    <w:p w:rsidR="00902328" w:rsidRDefault="00DF2771">
      <w:pPr>
        <w:pStyle w:val="Zkladntext"/>
        <w:spacing w:before="1"/>
        <w:ind w:left="242"/>
        <w:jc w:val="left"/>
      </w:pPr>
      <w:r>
        <w:t>(dále jen „příjemce podpory")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spacing w:before="12"/>
        <w:ind w:left="0"/>
        <w:jc w:val="left"/>
        <w:rPr>
          <w:sz w:val="33"/>
        </w:rPr>
      </w:pPr>
    </w:p>
    <w:p w:rsidR="00902328" w:rsidRDefault="00DF2771">
      <w:pPr>
        <w:pStyle w:val="Zkladntext"/>
        <w:spacing w:before="1"/>
        <w:ind w:left="242"/>
        <w:jc w:val="left"/>
      </w:pPr>
      <w:r>
        <w:t>se dohodly takto: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7"/>
        <w:ind w:right="1014"/>
      </w:pPr>
      <w:r>
        <w:t>I.</w:t>
      </w:r>
    </w:p>
    <w:p w:rsidR="00902328" w:rsidRDefault="00DF2771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902328" w:rsidRDefault="00902328">
      <w:pPr>
        <w:pStyle w:val="Zkladntext"/>
        <w:spacing w:before="12"/>
        <w:ind w:left="0"/>
        <w:jc w:val="left"/>
        <w:rPr>
          <w:b/>
          <w:sz w:val="19"/>
        </w:rPr>
      </w:pPr>
    </w:p>
    <w:p w:rsidR="00902328" w:rsidRDefault="00DF277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02328" w:rsidRDefault="00DF2771">
      <w:pPr>
        <w:pStyle w:val="Zkladntext"/>
        <w:ind w:right="111"/>
      </w:pPr>
      <w:r>
        <w:t>„Smlouva“) se uzavírá na základě Rozhodnutí ministra životního prostředí č. 1190400064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902328" w:rsidRDefault="00DF2771">
      <w:pPr>
        <w:pStyle w:val="Zkladntext"/>
        <w:spacing w:before="3"/>
      </w:pPr>
      <w:r>
        <w:t>„Směrnice MŽP“), platné ke dni podání žádosti.</w:t>
      </w:r>
    </w:p>
    <w:p w:rsidR="00902328" w:rsidRDefault="00DF2771">
      <w:pPr>
        <w:pStyle w:val="Odstavecseseznamem"/>
        <w:numPr>
          <w:ilvl w:val="0"/>
          <w:numId w:val="6"/>
        </w:numPr>
        <w:tabs>
          <w:tab w:val="left" w:pos="526"/>
        </w:tabs>
        <w:spacing w:before="117"/>
        <w:ind w:right="115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4/2019    k předkládání žádostí o poskytnutí podpory v rámci Národního programu Životní prostředí, vydanou podle čl. 3 Směrnice MŽP (dále jen „Výzva“), a že náležitosti akce odpovídají podmínkám 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02328" w:rsidRDefault="00902328">
      <w:pPr>
        <w:jc w:val="both"/>
        <w:rPr>
          <w:sz w:val="20"/>
        </w:rPr>
        <w:sectPr w:rsidR="00902328">
          <w:footerReference w:type="default" r:id="rId7"/>
          <w:type w:val="continuous"/>
          <w:pgSz w:w="12240" w:h="15840"/>
          <w:pgMar w:top="1480" w:right="1020" w:bottom="1060" w:left="1460" w:header="708" w:footer="877" w:gutter="0"/>
          <w:pgNumType w:start="1"/>
          <w:cols w:space="708"/>
        </w:sectPr>
      </w:pPr>
    </w:p>
    <w:p w:rsidR="00902328" w:rsidRDefault="00DF2771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902328" w:rsidRDefault="00DF2771">
      <w:pPr>
        <w:spacing w:before="119"/>
        <w:ind w:left="2382"/>
        <w:rPr>
          <w:rFonts w:ascii="Calibri" w:hAnsi="Calibri"/>
          <w:b/>
        </w:rPr>
      </w:pPr>
      <w:r>
        <w:rPr>
          <w:rFonts w:ascii="Calibri" w:hAnsi="Calibri"/>
          <w:b/>
        </w:rPr>
        <w:t>„Odstranění havarijního stavu ČOV Michalovice – rekonstrukce“</w:t>
      </w:r>
    </w:p>
    <w:p w:rsidR="00902328" w:rsidRDefault="00DF2771">
      <w:pPr>
        <w:pStyle w:val="Zkladntext"/>
        <w:spacing w:before="122"/>
        <w:ind w:left="518"/>
      </w:pPr>
      <w:r>
        <w:t>(dále jen „projekt“ nebo „akce“) realizovanou v letech 2021 až 2023. Akce je investiční.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7" w:line="265" w:lineRule="exact"/>
        <w:ind w:right="658"/>
      </w:pPr>
      <w:r>
        <w:t>II.</w:t>
      </w:r>
    </w:p>
    <w:p w:rsidR="00902328" w:rsidRDefault="00DF2771">
      <w:pPr>
        <w:spacing w:line="265" w:lineRule="exact"/>
        <w:ind w:left="1142" w:right="65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902328" w:rsidRDefault="00902328">
      <w:pPr>
        <w:pStyle w:val="Zkladntext"/>
        <w:spacing w:before="1"/>
        <w:ind w:left="0"/>
        <w:jc w:val="left"/>
        <w:rPr>
          <w:b/>
          <w:sz w:val="29"/>
        </w:rPr>
      </w:pP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8 537 714,02 Kč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(slovy:</w:t>
      </w:r>
    </w:p>
    <w:p w:rsidR="00902328" w:rsidRDefault="00DF2771">
      <w:pPr>
        <w:pStyle w:val="Zkladntext"/>
        <w:spacing w:before="1"/>
      </w:pPr>
      <w:r>
        <w:t>osm milionů pět set třicet sedm tisíc sedm set čtrnáct korun českých, dva haléře).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Základ  pro  stanovení  podpory  odpovídá  způsobilým  výdajům  stanoveným   Fondem  dle  žádosti   a jejích příloh a činí 13 392 492,60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Podpora představuje 63,75 % základu pro stanovení podpory.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 průběžně, v průběhu realizace akce) překročí základ pro stanovení podpory (popřípadě jeho část</w:t>
      </w:r>
      <w:r>
        <w:rPr>
          <w:sz w:val="20"/>
        </w:rPr>
        <w:t xml:space="preserve"> odpovídající postupu realizace akce), uhradí příjemce podpory částku tohoto překročení z vlastních zdrojů.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</w:p>
    <w:p w:rsidR="00902328" w:rsidRDefault="00DF2771">
      <w:pPr>
        <w:pStyle w:val="Zkladntext"/>
      </w:pPr>
      <w:r>
        <w:t>a dodávky na realizaci akce.</w:t>
      </w:r>
    </w:p>
    <w:p w:rsidR="00902328" w:rsidRDefault="00DF2771">
      <w:pPr>
        <w:pStyle w:val="Odstavecseseznamem"/>
        <w:numPr>
          <w:ilvl w:val="0"/>
          <w:numId w:val="5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5"/>
        <w:ind w:right="1018"/>
      </w:pPr>
      <w:r>
        <w:t>III.</w:t>
      </w:r>
    </w:p>
    <w:p w:rsidR="00902328" w:rsidRDefault="00DF2771">
      <w:pPr>
        <w:spacing w:before="1"/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902328" w:rsidRDefault="00902328">
      <w:pPr>
        <w:pStyle w:val="Zkladntext"/>
        <w:ind w:left="0"/>
        <w:jc w:val="left"/>
        <w:rPr>
          <w:b/>
        </w:rPr>
      </w:pP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</w:t>
      </w:r>
      <w:r>
        <w:rPr>
          <w:sz w:val="20"/>
        </w:rPr>
        <w:t xml:space="preserve">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8"/>
          <w:sz w:val="20"/>
        </w:rPr>
        <w:t xml:space="preserve"> </w:t>
      </w:r>
      <w:r>
        <w:rPr>
          <w:sz w:val="20"/>
        </w:rPr>
        <w:t>postupem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25"/>
          <w:sz w:val="20"/>
        </w:rPr>
        <w:t xml:space="preserve"> </w:t>
      </w:r>
      <w:r>
        <w:rPr>
          <w:sz w:val="20"/>
        </w:rPr>
        <w:t>9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</w:p>
    <w:p w:rsidR="00902328" w:rsidRDefault="00DF2771">
      <w:pPr>
        <w:pStyle w:val="Zkladntext"/>
        <w:spacing w:before="1"/>
      </w:pPr>
      <w:r>
        <w:t>byl dodržen poměr podpory a vlastních zdrojů vyplývající z níže uvedených částek.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902328" w:rsidRDefault="00902328">
      <w:pPr>
        <w:pStyle w:val="Zkladntext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902328">
        <w:trPr>
          <w:trHeight w:val="386"/>
        </w:trPr>
        <w:tc>
          <w:tcPr>
            <w:tcW w:w="4779" w:type="dxa"/>
          </w:tcPr>
          <w:p w:rsidR="00902328" w:rsidRDefault="00DF2771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902328" w:rsidRDefault="00DF2771">
            <w:pPr>
              <w:pStyle w:val="TableParagraph"/>
              <w:spacing w:before="120" w:line="246" w:lineRule="exact"/>
              <w:ind w:left="1696" w:right="1695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902328">
        <w:trPr>
          <w:trHeight w:val="385"/>
        </w:trPr>
        <w:tc>
          <w:tcPr>
            <w:tcW w:w="4779" w:type="dxa"/>
          </w:tcPr>
          <w:p w:rsidR="00902328" w:rsidRDefault="00DF2771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902328" w:rsidRDefault="00DF2771">
            <w:pPr>
              <w:pStyle w:val="TableParagraph"/>
              <w:spacing w:before="120" w:line="246" w:lineRule="exact"/>
              <w:ind w:left="1699" w:right="1695"/>
              <w:jc w:val="center"/>
              <w:rPr>
                <w:sz w:val="20"/>
              </w:rPr>
            </w:pPr>
            <w:r>
              <w:rPr>
                <w:sz w:val="20"/>
              </w:rPr>
              <w:t>1 422 952,34</w:t>
            </w:r>
          </w:p>
        </w:tc>
      </w:tr>
      <w:tr w:rsidR="00902328">
        <w:trPr>
          <w:trHeight w:val="386"/>
        </w:trPr>
        <w:tc>
          <w:tcPr>
            <w:tcW w:w="4779" w:type="dxa"/>
          </w:tcPr>
          <w:p w:rsidR="00902328" w:rsidRDefault="00DF2771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902328" w:rsidRDefault="00DF2771">
            <w:pPr>
              <w:pStyle w:val="TableParagraph"/>
              <w:spacing w:before="120" w:line="246" w:lineRule="exact"/>
              <w:ind w:left="1699" w:right="1695"/>
              <w:jc w:val="center"/>
              <w:rPr>
                <w:sz w:val="20"/>
              </w:rPr>
            </w:pPr>
            <w:r>
              <w:rPr>
                <w:sz w:val="20"/>
              </w:rPr>
              <w:t>4 268 857,01</w:t>
            </w:r>
          </w:p>
        </w:tc>
      </w:tr>
      <w:tr w:rsidR="00902328">
        <w:trPr>
          <w:trHeight w:val="385"/>
        </w:trPr>
        <w:tc>
          <w:tcPr>
            <w:tcW w:w="4779" w:type="dxa"/>
          </w:tcPr>
          <w:p w:rsidR="00902328" w:rsidRDefault="00DF2771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902328" w:rsidRDefault="00DF2771">
            <w:pPr>
              <w:pStyle w:val="TableParagraph"/>
              <w:spacing w:before="120" w:line="246" w:lineRule="exact"/>
              <w:ind w:left="1700" w:right="1694"/>
              <w:jc w:val="center"/>
              <w:rPr>
                <w:sz w:val="20"/>
              </w:rPr>
            </w:pPr>
            <w:r>
              <w:rPr>
                <w:sz w:val="20"/>
              </w:rPr>
              <w:t>2 845 904,67</w:t>
            </w:r>
          </w:p>
        </w:tc>
      </w:tr>
    </w:tbl>
    <w:p w:rsidR="00902328" w:rsidRDefault="00902328">
      <w:pPr>
        <w:spacing w:line="246" w:lineRule="exact"/>
        <w:jc w:val="center"/>
        <w:rPr>
          <w:sz w:val="20"/>
        </w:r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</w:t>
      </w:r>
      <w:r>
        <w:rPr>
          <w:sz w:val="20"/>
        </w:rPr>
        <w:t>y. Ustanovení článku V bodu 1 tím není</w:t>
      </w:r>
      <w:r>
        <w:rPr>
          <w:spacing w:val="-15"/>
          <w:sz w:val="20"/>
        </w:rPr>
        <w:t xml:space="preserve"> </w:t>
      </w:r>
      <w:r>
        <w:rPr>
          <w:sz w:val="20"/>
        </w:rPr>
        <w:t>dotčeno.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902328" w:rsidRDefault="00DF2771">
      <w:pPr>
        <w:pStyle w:val="Zkladntext"/>
      </w:pPr>
      <w:r>
        <w:t>akce. V takovém případě Fond příjemci podpory umožní i odpovídající změnu termínů realizace akce.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a na základě</w:t>
      </w:r>
      <w:r>
        <w:rPr>
          <w:spacing w:val="-17"/>
          <w:sz w:val="20"/>
        </w:rPr>
        <w:t xml:space="preserve"> </w:t>
      </w:r>
      <w:r>
        <w:rPr>
          <w:sz w:val="20"/>
        </w:rPr>
        <w:t>žádostí</w:t>
      </w:r>
    </w:p>
    <w:p w:rsidR="00902328" w:rsidRDefault="00DF2771">
      <w:pPr>
        <w:pStyle w:val="Zkladntext"/>
        <w:spacing w:before="1"/>
      </w:pPr>
      <w:r>
        <w:t xml:space="preserve">o uvolnění finančních prostředků doručených Fondu </w:t>
      </w:r>
      <w:r>
        <w:t>příjemcem podpory prostřednictvím AIS SFŽP.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902328" w:rsidRDefault="00DF2771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</w:t>
      </w:r>
      <w:r>
        <w:rPr>
          <w:sz w:val="20"/>
        </w:rPr>
        <w:t>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pouze faktury, včetně všech náležitostí a příloh, které ověřil, v souladu     s platnými právními př</w:t>
      </w:r>
      <w:r>
        <w:rPr>
          <w:sz w:val="20"/>
        </w:rPr>
        <w:t>edpisy z hlediska věcné, formální a finanční správnosti; Fond akceptuje předložení uhrazených faktur i z let předcházejících uvolnění podpory, pokud fakturace odpovídá 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02328" w:rsidRDefault="00DF2771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kopie bankovních výpisů dokladující uhrazení faktur zhotoviteli</w:t>
      </w:r>
      <w:r>
        <w:rPr>
          <w:sz w:val="20"/>
        </w:rPr>
        <w:t>, opatřené originálním, popřípadě elektronickým</w:t>
      </w:r>
      <w:r>
        <w:rPr>
          <w:spacing w:val="-13"/>
          <w:sz w:val="20"/>
        </w:rPr>
        <w:t xml:space="preserve"> </w:t>
      </w:r>
      <w:r>
        <w:rPr>
          <w:sz w:val="20"/>
        </w:rPr>
        <w:t>podpisem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3"/>
          <w:sz w:val="20"/>
        </w:rPr>
        <w:t xml:space="preserve"> </w:t>
      </w:r>
      <w:r>
        <w:rPr>
          <w:sz w:val="20"/>
        </w:rPr>
        <w:t>zástupce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6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</w:t>
      </w:r>
      <w:r>
        <w:rPr>
          <w:sz w:val="20"/>
        </w:rPr>
        <w:t>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 případě, že došlo k zápočtu pohledávek/záva</w:t>
      </w:r>
      <w:r>
        <w:rPr>
          <w:sz w:val="20"/>
        </w:rPr>
        <w:t>zků mezi příjemcem podpory a zhotovitelem (úhrada faktury není v plné výši doložena bankovním výpisem), je vždy nutno předložit písemnou smlouvu/dohodu o započtení vzájemných plnění stejného druhu (pohledávek a závazků) vzniklých na základě smluvního vztah</w:t>
      </w:r>
      <w:r>
        <w:rPr>
          <w:sz w:val="20"/>
        </w:rPr>
        <w:t>u mezi příjemcem faktury a fakturujícím zhotovitelem, podepsanou</w:t>
      </w:r>
      <w:r>
        <w:rPr>
          <w:spacing w:val="7"/>
          <w:sz w:val="20"/>
        </w:rPr>
        <w:t xml:space="preserve"> </w:t>
      </w:r>
      <w:r>
        <w:rPr>
          <w:sz w:val="20"/>
        </w:rPr>
        <w:t>příjemcem</w:t>
      </w:r>
    </w:p>
    <w:p w:rsidR="00902328" w:rsidRDefault="00902328">
      <w:pPr>
        <w:jc w:val="both"/>
        <w:rPr>
          <w:sz w:val="20"/>
        </w:rPr>
        <w:sectPr w:rsidR="00902328">
          <w:pgSz w:w="12240" w:h="15840"/>
          <w:pgMar w:top="1060" w:right="1020" w:bottom="1080" w:left="1460" w:header="0" w:footer="877" w:gutter="0"/>
          <w:cols w:space="708"/>
        </w:sectPr>
      </w:pPr>
    </w:p>
    <w:p w:rsidR="00902328" w:rsidRDefault="00DF2771">
      <w:pPr>
        <w:pStyle w:val="Zkladntext"/>
        <w:spacing w:before="73"/>
        <w:ind w:right="110"/>
      </w:pPr>
      <w:r>
        <w:lastRenderedPageBreak/>
        <w:t>podpory i zhotovitelem. Tato oboustranná vzájemná dohoda musí být uzavřena v souladu s občanským zákoníkem. V dohodě musí být uvedeny smluvní strany, identifikace proj</w:t>
      </w:r>
      <w:r>
        <w:t>ektu a faktur/y (v případě odlišného variabilního symbolu oproti číslu faktury je vhodné uvést i variabilní symbol), vzájemně započtené částky a měny, datum podpisu smluvních stran a podpisy obou smluvních stran.</w:t>
      </w:r>
    </w:p>
    <w:p w:rsidR="00902328" w:rsidRDefault="00DF2771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</w:t>
      </w:r>
      <w:r>
        <w:rPr>
          <w:sz w:val="20"/>
        </w:rPr>
        <w:t xml:space="preserve">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5"/>
        <w:ind w:right="1016"/>
      </w:pPr>
      <w:r>
        <w:t>IV.</w:t>
      </w:r>
    </w:p>
    <w:p w:rsidR="00902328" w:rsidRDefault="00DF2771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902328" w:rsidRDefault="00902328">
      <w:pPr>
        <w:pStyle w:val="Zkladntext"/>
        <w:spacing w:before="1"/>
        <w:ind w:left="0"/>
        <w:jc w:val="left"/>
        <w:rPr>
          <w:b/>
        </w:rPr>
      </w:pPr>
    </w:p>
    <w:p w:rsidR="00902328" w:rsidRDefault="00DF2771">
      <w:pPr>
        <w:pStyle w:val="Odstavecseseznamem"/>
        <w:numPr>
          <w:ilvl w:val="0"/>
          <w:numId w:val="3"/>
        </w:numPr>
        <w:tabs>
          <w:tab w:val="left" w:pos="466"/>
        </w:tabs>
        <w:spacing w:before="0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45"/>
        </w:tabs>
        <w:spacing w:before="118"/>
        <w:ind w:right="110" w:hanging="284"/>
        <w:rPr>
          <w:sz w:val="20"/>
        </w:rPr>
      </w:pPr>
      <w:r>
        <w:rPr>
          <w:sz w:val="20"/>
        </w:rPr>
        <w:t>splní účel akce „Odstranění havarijního stavu ČOV Michalovice – rekonstrukce“ tím, že akce bude provedena v souladu se 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14"/>
        </w:tabs>
        <w:ind w:left="813" w:hanging="289"/>
        <w:rPr>
          <w:sz w:val="20"/>
        </w:rPr>
      </w:pPr>
      <w:r>
        <w:rPr>
          <w:sz w:val="20"/>
        </w:rPr>
        <w:t>realizací projektu dojde k intenzifikaci ČOV na kapacitu 120</w:t>
      </w:r>
      <w:r>
        <w:rPr>
          <w:spacing w:val="-2"/>
          <w:sz w:val="20"/>
        </w:rPr>
        <w:t xml:space="preserve"> </w:t>
      </w:r>
      <w:r>
        <w:rPr>
          <w:sz w:val="20"/>
        </w:rPr>
        <w:t>EO,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11"/>
        </w:tabs>
        <w:spacing w:line="266" w:lineRule="exact"/>
        <w:ind w:left="810" w:hanging="286"/>
        <w:rPr>
          <w:sz w:val="20"/>
        </w:rPr>
      </w:pPr>
      <w:r>
        <w:rPr>
          <w:sz w:val="20"/>
        </w:rPr>
        <w:t>k termínu pro závěrečné vyhodnocení akce (ZVA) podle písmene q) bude na ČOV</w:t>
      </w:r>
      <w:r>
        <w:rPr>
          <w:spacing w:val="-23"/>
          <w:sz w:val="20"/>
        </w:rPr>
        <w:t xml:space="preserve"> </w:t>
      </w:r>
      <w:r>
        <w:rPr>
          <w:sz w:val="20"/>
        </w:rPr>
        <w:t>Michalovice</w:t>
      </w:r>
    </w:p>
    <w:p w:rsidR="00902328" w:rsidRDefault="00DF2771">
      <w:pPr>
        <w:pStyle w:val="Zkladntext"/>
        <w:spacing w:line="268" w:lineRule="exact"/>
        <w:ind w:left="810"/>
        <w:jc w:val="left"/>
      </w:pPr>
      <w:r>
        <w:rPr>
          <w:position w:val="2"/>
        </w:rPr>
        <w:t>odstraňováno navíc 0,93 t/rok CHSK</w:t>
      </w:r>
      <w:r>
        <w:rPr>
          <w:sz w:val="13"/>
        </w:rPr>
        <w:t xml:space="preserve">Cr </w:t>
      </w:r>
      <w:r>
        <w:rPr>
          <w:position w:val="2"/>
        </w:rPr>
        <w:t>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11"/>
        </w:tabs>
        <w:spacing w:before="119" w:line="276" w:lineRule="auto"/>
        <w:ind w:left="810" w:right="107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</w:t>
      </w:r>
      <w:r>
        <w:rPr>
          <w:spacing w:val="-14"/>
          <w:sz w:val="20"/>
        </w:rPr>
        <w:t xml:space="preserve"> </w:t>
      </w:r>
      <w:r>
        <w:rPr>
          <w:sz w:val="20"/>
        </w:rPr>
        <w:t>vodách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změně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zákon</w:t>
      </w:r>
      <w:r>
        <w:rPr>
          <w:sz w:val="20"/>
        </w:rPr>
        <w:t>ů</w:t>
      </w:r>
      <w:r>
        <w:rPr>
          <w:spacing w:val="-14"/>
          <w:sz w:val="20"/>
        </w:rPr>
        <w:t xml:space="preserve"> </w:t>
      </w:r>
      <w:r>
        <w:rPr>
          <w:sz w:val="20"/>
        </w:rPr>
        <w:t>(vodní</w:t>
      </w:r>
      <w:r>
        <w:rPr>
          <w:spacing w:val="-15"/>
          <w:sz w:val="20"/>
        </w:rPr>
        <w:t xml:space="preserve"> </w:t>
      </w:r>
      <w:r>
        <w:rPr>
          <w:sz w:val="20"/>
        </w:rPr>
        <w:t>zákon),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10"/>
          <w:sz w:val="20"/>
        </w:rPr>
        <w:t xml:space="preserve"> </w:t>
      </w:r>
      <w:r>
        <w:rPr>
          <w:sz w:val="20"/>
        </w:rPr>
        <w:t>hospodáře,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podporou podle této Smlouvy, jakož i budovy (stavby) a pozemky, ve kterých (na kterých) mají být umístěny (s výjimkou pozemků, kterými je pouze vedena liniová stavba). </w:t>
      </w:r>
      <w:r>
        <w:rPr>
          <w:sz w:val="20"/>
        </w:rPr>
        <w:t>Příjemce podpory je povinen zabezpečit, že předmět podpory nebude převeden bez souhlasu Fondu na jinou osobu nejméně po dobu 10 let od ukončení akce. V případě, že Fond převod předmětu podpory odsouhlasí, příjemce podpory zabezpečí, že účel, pro který je p</w:t>
      </w:r>
      <w:r>
        <w:rPr>
          <w:sz w:val="20"/>
        </w:rPr>
        <w:t>oskytnuta podpora podle této Smlouvy, bude řádně plněn po stanovenou dobu. Po tutéž dobu příjemce podpory zabezpečí řádný provoz předmětu</w:t>
      </w:r>
      <w:r>
        <w:rPr>
          <w:spacing w:val="-20"/>
          <w:sz w:val="20"/>
        </w:rPr>
        <w:t xml:space="preserve"> </w:t>
      </w:r>
      <w:r>
        <w:rPr>
          <w:sz w:val="20"/>
        </w:rPr>
        <w:t>podpory,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 pros</w:t>
      </w:r>
      <w:r>
        <w:rPr>
          <w:sz w:val="20"/>
        </w:rPr>
        <w:t>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slané</w:t>
      </w:r>
      <w:r>
        <w:rPr>
          <w:spacing w:val="-11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</w:p>
    <w:p w:rsidR="00902328" w:rsidRDefault="00DF2771">
      <w:pPr>
        <w:pStyle w:val="Zkladntext"/>
        <w:ind w:left="808"/>
      </w:pPr>
      <w:r>
        <w:t>10 let od ukončení akce,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</w:t>
      </w:r>
      <w:r>
        <w:rPr>
          <w:sz w:val="20"/>
        </w:rPr>
        <w:t>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</w:p>
    <w:p w:rsidR="00902328" w:rsidRDefault="00902328">
      <w:pPr>
        <w:jc w:val="both"/>
        <w:rPr>
          <w:sz w:val="20"/>
        </w:r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Zkladntext"/>
        <w:spacing w:before="73"/>
        <w:ind w:left="808"/>
      </w:pPr>
      <w:r>
        <w:lastRenderedPageBreak/>
        <w:t>transakcí, které s akcí nesouvisejí, a zavazuje se vést analytickou e</w:t>
      </w:r>
      <w:r>
        <w:t>videnci s vazbou ke konkrétní akci,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8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bu</w:t>
      </w:r>
      <w:r>
        <w:rPr>
          <w:sz w:val="20"/>
        </w:rPr>
        <w:t>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</w:t>
      </w:r>
      <w:r>
        <w:rPr>
          <w:sz w:val="20"/>
        </w:rPr>
        <w:t>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902328" w:rsidRDefault="00DF2771">
      <w:pPr>
        <w:pStyle w:val="Odstavecseseznamem"/>
        <w:numPr>
          <w:ilvl w:val="2"/>
          <w:numId w:val="3"/>
        </w:numPr>
        <w:tabs>
          <w:tab w:val="left" w:pos="1094"/>
        </w:tabs>
        <w:ind w:right="112"/>
        <w:rPr>
          <w:sz w:val="20"/>
        </w:rPr>
      </w:pPr>
      <w:r>
        <w:rPr>
          <w:sz w:val="20"/>
        </w:rPr>
        <w:t>předpokládaný termín ukončení stavebních a montážních prací do konce 3/2023, přitom pokud tento termín příjemce podpory nedodrží, bez zbytečného odkladu oznámí Fondu nový termín ukončení stavebních a montážních prací; dodatek k této Smlouvě se v tom případ</w:t>
      </w:r>
      <w:r>
        <w:rPr>
          <w:sz w:val="20"/>
        </w:rPr>
        <w:t>ě</w:t>
      </w:r>
      <w:r>
        <w:rPr>
          <w:spacing w:val="-22"/>
          <w:sz w:val="20"/>
        </w:rPr>
        <w:t xml:space="preserve"> </w:t>
      </w:r>
      <w:r>
        <w:rPr>
          <w:sz w:val="20"/>
        </w:rPr>
        <w:t>neuzavírá,</w:t>
      </w:r>
    </w:p>
    <w:p w:rsidR="00902328" w:rsidRDefault="00DF2771">
      <w:pPr>
        <w:pStyle w:val="Odstavecseseznamem"/>
        <w:numPr>
          <w:ilvl w:val="2"/>
          <w:numId w:val="3"/>
        </w:numPr>
        <w:tabs>
          <w:tab w:val="left" w:pos="1094"/>
        </w:tabs>
        <w:spacing w:before="119"/>
        <w:ind w:right="110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5/2023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183/2006  Sb.,  o  územním   plánování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vydán, jak kolaudační souhlas, tak oznámení o užívání, považu</w:t>
      </w:r>
      <w:r>
        <w:rPr>
          <w:sz w:val="20"/>
        </w:rPr>
        <w:t>je se za termín ukončení akce datum dokumentu vydaného</w:t>
      </w:r>
      <w:r>
        <w:rPr>
          <w:spacing w:val="-31"/>
          <w:sz w:val="20"/>
        </w:rPr>
        <w:t xml:space="preserve"> </w:t>
      </w:r>
      <w:r>
        <w:rPr>
          <w:sz w:val="20"/>
        </w:rPr>
        <w:t>později,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11"/>
        </w:tabs>
        <w:spacing w:before="120"/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8/2023 podklady k ZVA podle článku 12 písm. d)</w:t>
      </w:r>
      <w:r>
        <w:rPr>
          <w:spacing w:val="-14"/>
          <w:sz w:val="20"/>
        </w:rPr>
        <w:t xml:space="preserve"> </w:t>
      </w:r>
      <w:r>
        <w:rPr>
          <w:sz w:val="20"/>
        </w:rPr>
        <w:t>Výzvy.</w:t>
      </w:r>
    </w:p>
    <w:p w:rsidR="00902328" w:rsidRDefault="00DF2771">
      <w:pPr>
        <w:pStyle w:val="Zkladntext"/>
        <w:spacing w:before="1"/>
        <w:ind w:left="808" w:right="111"/>
      </w:pPr>
      <w:r>
        <w:t>K ZVA může Fond vydat závazné pokyny (či požádat o informace), které mohou jeho obsah blíže specifikova</w:t>
      </w:r>
      <w:r>
        <w:t>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 odkladu  (případně  ve  lhůtě  stanovené  Fondem)   splnit.   Fond  není  povinen  vydat   protokol   o ZVA dříve, než obdrží veškeré požadované podklady a informace, na základě kterých bude moci jednoznačně rozhodnout o plnění podmínek této Sml</w:t>
      </w:r>
      <w:r>
        <w:t>ouvy,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902328" w:rsidRDefault="00DF2771">
      <w:pPr>
        <w:pStyle w:val="Odstavecseseznamem"/>
        <w:numPr>
          <w:ilvl w:val="0"/>
          <w:numId w:val="3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13" w:hanging="284"/>
        <w:jc w:val="both"/>
        <w:rPr>
          <w:sz w:val="20"/>
        </w:rPr>
      </w:pPr>
      <w:r>
        <w:rPr>
          <w:sz w:val="20"/>
        </w:rPr>
        <w:t>poskytnuté finančn</w:t>
      </w:r>
      <w:r>
        <w:rPr>
          <w:sz w:val="20"/>
        </w:rPr>
        <w:t>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</w:t>
      </w:r>
      <w:r>
        <w:rPr>
          <w:sz w:val="20"/>
        </w:rPr>
        <w:t>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4"/>
          <w:sz w:val="20"/>
        </w:rPr>
        <w:t xml:space="preserve"> </w:t>
      </w:r>
      <w:r>
        <w:rPr>
          <w:sz w:val="20"/>
        </w:rPr>
        <w:t>dobu,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</w:t>
      </w:r>
      <w:r>
        <w:rPr>
          <w:sz w:val="20"/>
        </w:rPr>
        <w:t>inančního úřadu uplatněna, příjemce podpory je povinen částku</w:t>
      </w:r>
      <w:r>
        <w:rPr>
          <w:spacing w:val="-33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</w:t>
      </w:r>
      <w:r>
        <w:rPr>
          <w:sz w:val="20"/>
        </w:rPr>
        <w:t xml:space="preserve"> celkových výdajů akce) do 30 dnů vrátit tu část poskytnutých finančních prostředků, která odpovídá případnému překročení podílu dle článku II bodů 3 a</w:t>
      </w:r>
      <w:r>
        <w:rPr>
          <w:spacing w:val="-16"/>
          <w:sz w:val="20"/>
        </w:rPr>
        <w:t xml:space="preserve"> </w:t>
      </w:r>
      <w:r>
        <w:rPr>
          <w:sz w:val="20"/>
        </w:rPr>
        <w:t>4,</w:t>
      </w:r>
    </w:p>
    <w:p w:rsidR="00902328" w:rsidRDefault="00902328">
      <w:pPr>
        <w:jc w:val="both"/>
        <w:rPr>
          <w:sz w:val="20"/>
        </w:r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7" w:hanging="284"/>
        <w:jc w:val="both"/>
        <w:rPr>
          <w:sz w:val="20"/>
        </w:rPr>
      </w:pPr>
      <w:r>
        <w:rPr>
          <w:sz w:val="20"/>
        </w:rPr>
        <w:lastRenderedPageBreak/>
        <w:t>předkládat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16" w:hanging="284"/>
        <w:jc w:val="both"/>
        <w:rPr>
          <w:sz w:val="20"/>
        </w:rPr>
      </w:pPr>
      <w:r>
        <w:rPr>
          <w:sz w:val="20"/>
        </w:rPr>
        <w:t>bez zbytečného o</w:t>
      </w:r>
      <w:r>
        <w:rPr>
          <w:sz w:val="20"/>
        </w:rPr>
        <w:t>dkladu a před uplynutím smluvního termínu požádat Fond 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1"/>
          <w:sz w:val="20"/>
        </w:rPr>
        <w:t xml:space="preserve"> </w:t>
      </w:r>
      <w:r>
        <w:rPr>
          <w:sz w:val="20"/>
        </w:rPr>
        <w:t>Smlouvou),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ind w:right="11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</w:t>
      </w:r>
      <w:r>
        <w:rPr>
          <w:sz w:val="20"/>
        </w:rPr>
        <w:t>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902328" w:rsidRDefault="00DF2771">
      <w:pPr>
        <w:pStyle w:val="Zkladntext"/>
        <w:spacing w:before="1"/>
        <w:ind w:left="808"/>
      </w:pPr>
      <w:r>
        <w:t>– odkaz na Zadávání veřejných zakázek pro OPŽP 2014 - 2020, a to i v průběhu realizace akce,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64"/>
        </w:tabs>
        <w:spacing w:before="118"/>
        <w:ind w:right="110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 (vydání posledního kolaudačního souhlasu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</w:p>
    <w:p w:rsidR="00902328" w:rsidRDefault="00DF277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6"/>
        <w:ind w:right="1016"/>
      </w:pPr>
      <w:r>
        <w:t>V.</w:t>
      </w:r>
    </w:p>
    <w:p w:rsidR="00902328" w:rsidRDefault="00DF2771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902328" w:rsidRDefault="00902328">
      <w:pPr>
        <w:pStyle w:val="Zkladntext"/>
        <w:spacing w:before="1"/>
        <w:ind w:left="0"/>
        <w:jc w:val="left"/>
        <w:rPr>
          <w:b/>
        </w:rPr>
      </w:pP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 znění.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81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 toto  porušení  postiženo  odvodem z poskytnuté podpory ve výši odpovídající poměru nedosažení indikátoru. V případě plnění účelu akce podle článku IV bodu 1 písm. b) na 95 % a více a podle článku IV bodu 1 písm. c) na 80 % a v</w:t>
      </w:r>
      <w:r>
        <w:rPr>
          <w:sz w:val="20"/>
        </w:rPr>
        <w:t>íce bez odvodu.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povinnosti podle článku IV bodu 1 písm. l) bude postiženo odvodem ve výši 0,1 –</w:t>
      </w:r>
      <w:r>
        <w:rPr>
          <w:spacing w:val="8"/>
          <w:sz w:val="20"/>
        </w:rPr>
        <w:t xml:space="preserve"> </w:t>
      </w:r>
      <w:r>
        <w:rPr>
          <w:sz w:val="20"/>
        </w:rPr>
        <w:t>25 %</w:t>
      </w:r>
    </w:p>
    <w:p w:rsidR="00902328" w:rsidRDefault="00DF2771">
      <w:pPr>
        <w:pStyle w:val="Zkladntext"/>
      </w:pPr>
      <w:r>
        <w:t>z poskytnuté podpory.</w:t>
      </w:r>
    </w:p>
    <w:p w:rsidR="00902328" w:rsidRDefault="00902328">
      <w:p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</w:p>
    <w:p w:rsidR="00902328" w:rsidRDefault="00DF2771">
      <w:pPr>
        <w:pStyle w:val="Zkladntext"/>
        <w:jc w:val="left"/>
      </w:pPr>
      <w:r>
        <w:t>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6"/>
          <w:sz w:val="20"/>
        </w:rPr>
        <w:t xml:space="preserve"> </w:t>
      </w:r>
      <w:r>
        <w:rPr>
          <w:sz w:val="20"/>
        </w:rPr>
        <w:t>lhůtu</w:t>
      </w:r>
    </w:p>
    <w:p w:rsidR="00902328" w:rsidRDefault="00DF2771">
      <w:pPr>
        <w:pStyle w:val="Zkladntext"/>
        <w:spacing w:before="1"/>
        <w:jc w:val="left"/>
      </w:pPr>
      <w:r>
        <w:t>5 pracovních dnů nebude postiženo a nebude tak považováno za porušení podmínek poskytnutí</w:t>
      </w:r>
    </w:p>
    <w:p w:rsidR="00902328" w:rsidRDefault="00DF2771">
      <w:pPr>
        <w:pStyle w:val="Zkladntext"/>
        <w:jc w:val="left"/>
      </w:pPr>
      <w:r>
        <w:t>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</w:t>
      </w:r>
      <w:r>
        <w:rPr>
          <w:sz w:val="20"/>
        </w:rPr>
        <w:t>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</w:t>
      </w:r>
      <w:r>
        <w:rPr>
          <w:sz w:val="20"/>
        </w:rPr>
        <w:t>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 xml:space="preserve">Porušení povinností podle přílohy  č.  1  této  Smlouvy  bude postiženo  odvodem  ve výši 0,1  –  25  % z poskytnuté  podpory  v případě,  kdy  nejsou  zásadním   způsobem  dodrženy   podmínky  Metodiky z hlediska plnění podmínek přílohy č. 6 programového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902328" w:rsidRDefault="00DF2771">
      <w:pPr>
        <w:pStyle w:val="Odstavecseseznamem"/>
        <w:numPr>
          <w:ilvl w:val="0"/>
          <w:numId w:val="2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</w:t>
      </w:r>
      <w:r>
        <w:rPr>
          <w:sz w:val="20"/>
        </w:rPr>
        <w:t>uté</w:t>
      </w:r>
    </w:p>
    <w:p w:rsidR="00902328" w:rsidRDefault="00DF2771">
      <w:pPr>
        <w:pStyle w:val="Zkladntext"/>
        <w:jc w:val="left"/>
      </w:pPr>
      <w:r>
        <w:t>podpory.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185"/>
        <w:ind w:right="1016"/>
      </w:pPr>
      <w:r>
        <w:t>VI.</w:t>
      </w:r>
    </w:p>
    <w:p w:rsidR="00902328" w:rsidRDefault="00DF2771">
      <w:pPr>
        <w:spacing w:before="1"/>
        <w:ind w:left="1142" w:right="1015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902328" w:rsidRDefault="00902328">
      <w:pPr>
        <w:pStyle w:val="Zkladntext"/>
        <w:ind w:left="0"/>
        <w:jc w:val="left"/>
        <w:rPr>
          <w:b/>
        </w:rPr>
      </w:pP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z této Smlouvy, uzavřou smluvní strany k této Smlouvě dodatek, kterým bude zajištěn její soulad           s obecně závaznými předpisy a Směrnicí MŽP. V</w:t>
      </w:r>
      <w:r>
        <w:rPr>
          <w:sz w:val="20"/>
        </w:rPr>
        <w:t xml:space="preserve"> případě neuzavření takového dodatku má Fond právo uplatnit postup podle článku V bodu 1.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</w:t>
      </w:r>
      <w:r>
        <w:rPr>
          <w:sz w:val="20"/>
        </w:rPr>
        <w:t>a   to   zejména   tehdy,   kdy   bude   docíleno   nižších    přínosů   (nebo   dojde    k jejich opoždění), než jak tato Smlouva původně</w:t>
      </w:r>
      <w:r>
        <w:rPr>
          <w:spacing w:val="-6"/>
          <w:sz w:val="20"/>
        </w:rPr>
        <w:t xml:space="preserve"> </w:t>
      </w:r>
      <w:r>
        <w:rPr>
          <w:sz w:val="20"/>
        </w:rPr>
        <w:t>předpokládala.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02328" w:rsidRDefault="00DF2771">
      <w:pPr>
        <w:pStyle w:val="Zkladntext"/>
        <w:jc w:val="left"/>
      </w:pPr>
      <w:r>
        <w:t>Smlouvou.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902328" w:rsidRDefault="00902328">
      <w:pPr>
        <w:rPr>
          <w:sz w:val="20"/>
        </w:r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902328" w:rsidRDefault="00DF2771">
      <w:pPr>
        <w:pStyle w:val="Odstavecseseznamem"/>
        <w:numPr>
          <w:ilvl w:val="1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</w:t>
      </w:r>
      <w:r>
        <w:rPr>
          <w:sz w:val="20"/>
        </w:rPr>
        <w:t>lářích a podepsána vlastnoručně; každý exemplář má platnost originálu. Každá smluvní strana obdrží jeden exemplář.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8"/>
        </w:rPr>
      </w:pPr>
    </w:p>
    <w:p w:rsidR="00902328" w:rsidRDefault="00DF2771">
      <w:pPr>
        <w:pStyle w:val="Zkladntext"/>
        <w:spacing w:before="1"/>
        <w:ind w:left="242"/>
        <w:jc w:val="left"/>
      </w:pPr>
      <w:r>
        <w:t>V:</w:t>
      </w:r>
    </w:p>
    <w:p w:rsidR="00902328" w:rsidRDefault="00902328">
      <w:pPr>
        <w:pStyle w:val="Zkladntext"/>
        <w:spacing w:before="1"/>
        <w:ind w:left="0"/>
        <w:jc w:val="left"/>
      </w:pPr>
    </w:p>
    <w:p w:rsidR="00902328" w:rsidRDefault="00DF2771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2"/>
        </w:rPr>
      </w:pPr>
    </w:p>
    <w:p w:rsidR="00902328" w:rsidRDefault="00DF2771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902328" w:rsidRDefault="00DF2771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spacing w:before="4"/>
        <w:ind w:left="0"/>
        <w:jc w:val="left"/>
        <w:rPr>
          <w:sz w:val="23"/>
        </w:rPr>
      </w:pPr>
    </w:p>
    <w:p w:rsidR="00902328" w:rsidRDefault="00DF2771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902328" w:rsidRDefault="00902328">
      <w:pPr>
        <w:pStyle w:val="Zkladntext"/>
        <w:spacing w:before="2"/>
        <w:ind w:left="0"/>
        <w:jc w:val="left"/>
        <w:rPr>
          <w:sz w:val="38"/>
        </w:rPr>
      </w:pPr>
    </w:p>
    <w:p w:rsidR="00902328" w:rsidRDefault="00DF2771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902328" w:rsidRDefault="00902328">
      <w:pPr>
        <w:sectPr w:rsidR="00902328">
          <w:pgSz w:w="12240" w:h="15840"/>
          <w:pgMar w:top="1060" w:right="1020" w:bottom="1140" w:left="1460" w:header="0" w:footer="877" w:gutter="0"/>
          <w:cols w:space="708"/>
        </w:sectPr>
      </w:pPr>
    </w:p>
    <w:p w:rsidR="00902328" w:rsidRDefault="00DF2771">
      <w:pPr>
        <w:pStyle w:val="Zkladntext"/>
        <w:spacing w:before="79"/>
        <w:ind w:left="242"/>
        <w:jc w:val="left"/>
      </w:pPr>
      <w:r>
        <w:lastRenderedPageBreak/>
        <w:t>Příloha č. 1 - Smlouva o posky</w:t>
      </w:r>
      <w:r>
        <w:t>tnutí podpory ze Státního fondu životního prostředí České republiky</w:t>
      </w:r>
    </w:p>
    <w:p w:rsidR="00902328" w:rsidRDefault="00902328">
      <w:pPr>
        <w:pStyle w:val="Zkladntext"/>
        <w:spacing w:before="2"/>
        <w:ind w:left="0"/>
        <w:jc w:val="left"/>
        <w:rPr>
          <w:sz w:val="27"/>
        </w:rPr>
      </w:pPr>
    </w:p>
    <w:p w:rsidR="00902328" w:rsidRDefault="00DF2771">
      <w:pPr>
        <w:pStyle w:val="Nadpis1"/>
        <w:ind w:left="242"/>
        <w:jc w:val="left"/>
      </w:pPr>
      <w:r>
        <w:t>Specifické podmínky provozování pro model samostatného provozování</w:t>
      </w:r>
    </w:p>
    <w:p w:rsidR="00902328" w:rsidRDefault="00902328">
      <w:pPr>
        <w:pStyle w:val="Zkladntext"/>
        <w:spacing w:before="1"/>
        <w:ind w:left="0"/>
        <w:jc w:val="left"/>
        <w:rPr>
          <w:b/>
          <w:sz w:val="29"/>
        </w:rPr>
      </w:pPr>
    </w:p>
    <w:p w:rsidR="00902328" w:rsidRDefault="00DF2771">
      <w:pPr>
        <w:pStyle w:val="Odstavecseseznamem"/>
        <w:numPr>
          <w:ilvl w:val="2"/>
          <w:numId w:val="2"/>
        </w:numPr>
        <w:tabs>
          <w:tab w:val="left" w:pos="67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</w:t>
      </w:r>
      <w:r>
        <w:rPr>
          <w:sz w:val="20"/>
        </w:rPr>
        <w:t>vní moci posledního kolaudačního souhlasu k projektu provozována  v rámci modelu samostatného provozování (příjemce podpory provozuje sám), tzn., že příjemce podpory bude řádně sám, vlastním jménem a na vlastní odpovědnost provozovat vodohospodářskou infra</w:t>
      </w:r>
      <w:r>
        <w:rPr>
          <w:sz w:val="20"/>
        </w:rPr>
        <w:t>strukturu  a přímo   držet   povolení   k  provozování   (k  modelům   provozování   infrastruktury a podmínkám stanoveným pro samostatný model viz dokument „Metodika pro žadatele rozvádějící podmínky přílohy  č. 6 Programového dokumentu OPŽP 2014  –  2020</w:t>
      </w:r>
      <w:r>
        <w:rPr>
          <w:sz w:val="20"/>
        </w:rPr>
        <w:t>“ dále jen „Metodika“, která     je součástí PrŽaP). Pro účely stanovení podmínek týkajících se provozování vodohospodářské infrastruktury se vodohospodářskou infrastrukturou rozumí celá složka infrastruktury pořízené (rekonstruované) s podporou poskytnuto</w:t>
      </w:r>
      <w:r>
        <w:rPr>
          <w:sz w:val="20"/>
        </w:rPr>
        <w:t>u podle této Smlouvy a Rozhodnutí (podpořená infrastruktura) a veškerá další infrastruktura provozovaná v této složce na území relevantní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9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</w:t>
      </w:r>
      <w:r>
        <w:rPr>
          <w:sz w:val="20"/>
        </w:rPr>
        <w:t>ní.</w:t>
      </w:r>
    </w:p>
    <w:p w:rsidR="00902328" w:rsidRDefault="00DF2771">
      <w:pPr>
        <w:pStyle w:val="Odstavecseseznamem"/>
        <w:numPr>
          <w:ilvl w:val="2"/>
          <w:numId w:val="2"/>
        </w:numPr>
        <w:tabs>
          <w:tab w:val="left" w:pos="670"/>
        </w:tabs>
        <w:spacing w:before="120" w:line="264" w:lineRule="auto"/>
        <w:ind w:right="113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 posledního kolaudačního  souhlasu  k  projektu  bude  zabezpečena  finanční  udržitelnost  projektu,  a to za podmínek stanovených Fondem. Změna výše prostředků</w:t>
      </w:r>
      <w:r>
        <w:rPr>
          <w:sz w:val="20"/>
        </w:rPr>
        <w:t xml:space="preserve">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902328" w:rsidRDefault="00DF2771">
      <w:pPr>
        <w:pStyle w:val="Odstavecseseznamem"/>
        <w:numPr>
          <w:ilvl w:val="3"/>
          <w:numId w:val="2"/>
        </w:numPr>
        <w:tabs>
          <w:tab w:val="left" w:pos="897"/>
        </w:tabs>
        <w:spacing w:line="264" w:lineRule="auto"/>
        <w:ind w:right="120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902328" w:rsidRDefault="00DF2771">
      <w:pPr>
        <w:pStyle w:val="Odstavecseseznamem"/>
        <w:numPr>
          <w:ilvl w:val="3"/>
          <w:numId w:val="2"/>
        </w:numPr>
        <w:tabs>
          <w:tab w:val="left" w:pos="958"/>
        </w:tabs>
        <w:spacing w:before="120" w:line="264" w:lineRule="auto"/>
        <w:ind w:right="118" w:hanging="281"/>
        <w:jc w:val="both"/>
        <w:rPr>
          <w:sz w:val="20"/>
        </w:rPr>
      </w:pPr>
      <w:r>
        <w:rPr>
          <w:sz w:val="20"/>
        </w:rPr>
        <w:t>snížení na úroveň, která prokazatelně vytváří zdroje pro správu, obnovu a případné rozšíření vodovodů a/nebo kanalizací minimálně ve výši „plných odpisů“. V obou případech je nezbytné,</w:t>
      </w:r>
      <w:r>
        <w:rPr>
          <w:spacing w:val="-40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902328" w:rsidRDefault="00DF2771">
      <w:pPr>
        <w:pStyle w:val="Odstavecseseznamem"/>
        <w:numPr>
          <w:ilvl w:val="2"/>
          <w:numId w:val="2"/>
        </w:numPr>
        <w:tabs>
          <w:tab w:val="left" w:pos="670"/>
        </w:tabs>
        <w:spacing w:before="119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</w:t>
      </w:r>
      <w:r>
        <w:rPr>
          <w:sz w:val="20"/>
        </w:rPr>
        <w:t>ohospodářské infrastruktury bude použit v souladu s principy péče řádného hospodáře.</w:t>
      </w:r>
    </w:p>
    <w:p w:rsidR="00902328" w:rsidRDefault="00DF2771">
      <w:pPr>
        <w:pStyle w:val="Odstavecseseznamem"/>
        <w:numPr>
          <w:ilvl w:val="2"/>
          <w:numId w:val="2"/>
        </w:numPr>
        <w:tabs>
          <w:tab w:val="left" w:pos="670"/>
        </w:tabs>
        <w:spacing w:before="120" w:line="264" w:lineRule="auto"/>
        <w:ind w:right="111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902328" w:rsidRDefault="00902328">
      <w:pPr>
        <w:spacing w:line="264" w:lineRule="auto"/>
        <w:jc w:val="both"/>
        <w:rPr>
          <w:sz w:val="20"/>
        </w:rPr>
        <w:sectPr w:rsidR="00902328">
          <w:pgSz w:w="12240" w:h="15840"/>
          <w:pgMar w:top="1320" w:right="1020" w:bottom="1140" w:left="1460" w:header="0" w:footer="877" w:gutter="0"/>
          <w:cols w:space="708"/>
        </w:sectPr>
      </w:pPr>
    </w:p>
    <w:p w:rsidR="00902328" w:rsidRDefault="00DF2771">
      <w:pPr>
        <w:pStyle w:val="Zkladntext"/>
        <w:spacing w:before="79"/>
        <w:ind w:left="242"/>
        <w:jc w:val="left"/>
      </w:pPr>
      <w:r>
        <w:lastRenderedPageBreak/>
        <w:t>Příloha č. 2 - Smlouva o poskytnutí podpory ze Státního fondu životního pros</w:t>
      </w:r>
      <w:r>
        <w:t>tředí České republiky</w:t>
      </w: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902328">
      <w:pPr>
        <w:pStyle w:val="Zkladntext"/>
        <w:ind w:left="0"/>
        <w:jc w:val="left"/>
        <w:rPr>
          <w:sz w:val="26"/>
        </w:rPr>
      </w:pPr>
    </w:p>
    <w:p w:rsidR="00902328" w:rsidRDefault="00DF2771">
      <w:pPr>
        <w:pStyle w:val="Nadpis1"/>
        <w:spacing w:before="202" w:line="264" w:lineRule="auto"/>
        <w:ind w:left="242"/>
        <w:jc w:val="left"/>
      </w:pPr>
      <w:r>
        <w:t>Stanovení finančních oprav, které se použijí v případě porušení povinností při zadávání zakázek/ veřejných zakázek</w:t>
      </w:r>
    </w:p>
    <w:p w:rsidR="00902328" w:rsidRDefault="00902328">
      <w:pPr>
        <w:pStyle w:val="Zkladntext"/>
        <w:spacing w:before="1"/>
        <w:ind w:left="0"/>
        <w:jc w:val="left"/>
        <w:rPr>
          <w:b/>
          <w:sz w:val="27"/>
        </w:rPr>
      </w:pP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</w:t>
      </w:r>
      <w:r>
        <w:rPr>
          <w:sz w:val="20"/>
        </w:rPr>
        <w:t xml:space="preserve"> zakázek (dále souhrnně jen „veřejné zakázky“), zejména v nedodržení postupu podle zákona č. 134/2016 Sb., o zadávání veřejných zakázek, ve znění účinném  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zahájení výběrového/zadávacího řízení (dále jen „Pokyny OPŽP“)</w:t>
      </w:r>
      <w:r>
        <w:rPr>
          <w:sz w:val="20"/>
        </w:rPr>
        <w:t>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5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</w:t>
      </w:r>
      <w:r>
        <w:rPr>
          <w:sz w:val="20"/>
        </w:rPr>
        <w:t>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</w:t>
      </w:r>
      <w:r>
        <w:rPr>
          <w:sz w:val="20"/>
        </w:rPr>
        <w:t xml:space="preserve">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</w:t>
      </w:r>
      <w:r>
        <w:rPr>
          <w:sz w:val="20"/>
        </w:rPr>
        <w:t>ovena s ohledem na nejzávažnější porušení.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</w:t>
      </w:r>
      <w:r>
        <w:rPr>
          <w:sz w:val="20"/>
        </w:rPr>
        <w:t>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02328" w:rsidRDefault="00DF2771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902328" w:rsidRDefault="00DF2771">
      <w:pPr>
        <w:pStyle w:val="Zkladntext"/>
        <w:spacing w:before="28"/>
      </w:pPr>
      <w:r>
        <w:t>v tabulce níže, bude stanovena finanční oprava dle zásady přiměřenosti.</w:t>
      </w:r>
    </w:p>
    <w:p w:rsidR="00902328" w:rsidRDefault="00902328">
      <w:pPr>
        <w:sectPr w:rsidR="00902328">
          <w:pgSz w:w="12240" w:h="15840"/>
          <w:pgMar w:top="1320" w:right="1020" w:bottom="114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9023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90232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902328" w:rsidRDefault="00DF2771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902328" w:rsidRDefault="00DF27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902328" w:rsidRDefault="00DF2771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32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902328" w:rsidRDefault="00DF2771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9023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902328" w:rsidRDefault="00DF277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902328" w:rsidRDefault="00DF2771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902328" w:rsidRDefault="00DF2771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902328" w:rsidRDefault="00DF2771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32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902328" w:rsidRDefault="00DF2771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90232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902328" w:rsidRDefault="00DF2771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902328" w:rsidRDefault="00DF27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</w:t>
            </w:r>
          </w:p>
        </w:tc>
      </w:tr>
      <w:tr w:rsidR="0090232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902328" w:rsidRDefault="00DF277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90232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902328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902328" w:rsidRDefault="00DF277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902328" w:rsidRDefault="00DF277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902328" w:rsidRDefault="00DF2771">
            <w:pPr>
              <w:pStyle w:val="TableParagraph"/>
              <w:spacing w:before="27" w:line="264" w:lineRule="auto"/>
              <w:ind w:left="117" w:right="119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902328" w:rsidRDefault="00DF277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902328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902328" w:rsidRDefault="00DF277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902328" w:rsidRDefault="00DF2771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902328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902328" w:rsidRDefault="00DF277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902328" w:rsidRDefault="00DF2771">
            <w:pPr>
              <w:pStyle w:val="TableParagraph"/>
              <w:spacing w:before="1" w:line="261" w:lineRule="auto"/>
              <w:ind w:left="117" w:right="405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902328" w:rsidRDefault="00902328">
      <w:pPr>
        <w:spacing w:line="261" w:lineRule="auto"/>
        <w:rPr>
          <w:sz w:val="20"/>
        </w:rPr>
        <w:sectPr w:rsidR="0090232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9023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9023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902328" w:rsidRDefault="00DF2771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902328" w:rsidRDefault="00DF2771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902328" w:rsidRDefault="00DF277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902328" w:rsidRDefault="00DF2771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902328" w:rsidRDefault="00DF277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0232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90232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902328" w:rsidRDefault="00DF277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902328" w:rsidRDefault="00DF2771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902328" w:rsidRDefault="00DF277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9023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902328" w:rsidRDefault="00DF27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902328" w:rsidRDefault="00DF2771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02328" w:rsidRDefault="00DF27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tyto požadavky nevymezil</w:t>
            </w:r>
          </w:p>
          <w:p w:rsidR="00902328" w:rsidRDefault="00DF27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902328" w:rsidRDefault="00DF2771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902328" w:rsidRDefault="00DF2771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9023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902328" w:rsidRDefault="00DF277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902328" w:rsidRDefault="00DF2771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902328" w:rsidRDefault="00DF27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902328" w:rsidRDefault="00DF27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902328" w:rsidRDefault="00DF2771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902328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902328" w:rsidRDefault="00DF277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902328" w:rsidRDefault="00DF2771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902328" w:rsidRDefault="00DF277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902328" w:rsidRDefault="00902328">
      <w:pPr>
        <w:spacing w:line="264" w:lineRule="auto"/>
        <w:rPr>
          <w:sz w:val="20"/>
        </w:rPr>
        <w:sectPr w:rsidR="0090232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9023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9023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902328" w:rsidRDefault="00DF277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902328" w:rsidRDefault="00DF277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902328" w:rsidRDefault="00DF27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9023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902328" w:rsidRDefault="00DF27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902328" w:rsidRDefault="00DF27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902328" w:rsidRDefault="00DF277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902328" w:rsidRDefault="00DF2771">
            <w:pPr>
              <w:pStyle w:val="TableParagraph"/>
              <w:spacing w:before="1"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obchodní podmínky nebo jiné výše neuvedené podmínky účasti ve výběrovém/zadávacím řízení</w:t>
            </w:r>
          </w:p>
          <w:p w:rsidR="00902328" w:rsidRDefault="00DF2771">
            <w:pPr>
              <w:pStyle w:val="TableParagraph"/>
              <w:spacing w:before="1" w:line="261" w:lineRule="auto"/>
              <w:ind w:right="159"/>
              <w:rPr>
                <w:sz w:val="20"/>
              </w:rPr>
            </w:pPr>
            <w:r>
              <w:rPr>
                <w:sz w:val="20"/>
              </w:rPr>
              <w:t>diskriminačním způsobem nebo jiným způsobem v rozporu se</w:t>
            </w:r>
          </w:p>
          <w:p w:rsidR="00902328" w:rsidRDefault="00DF27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9023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902328" w:rsidRDefault="00DF277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023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9023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9023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902328" w:rsidRDefault="00DF27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0232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902328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902328" w:rsidRDefault="00DF277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902328" w:rsidRDefault="00DF2771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902328" w:rsidRDefault="00DF277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328" w:rsidRDefault="00DF277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02328" w:rsidRDefault="00DF277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902328" w:rsidRDefault="00DF2771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902328" w:rsidRDefault="00902328">
      <w:pPr>
        <w:spacing w:line="264" w:lineRule="auto"/>
        <w:rPr>
          <w:sz w:val="20"/>
        </w:rPr>
        <w:sectPr w:rsidR="0090232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9023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9023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902328" w:rsidRDefault="00DF277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902328" w:rsidRDefault="00DF277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902328" w:rsidRDefault="00DF27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902328" w:rsidRDefault="00DF2771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02328" w:rsidRDefault="00DF27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902328" w:rsidRDefault="00DF2771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902328" w:rsidRDefault="00DF2771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90232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902328" w:rsidRDefault="00DF27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902328" w:rsidRDefault="00DF27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902328" w:rsidRDefault="00DF277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902328" w:rsidRDefault="00DF2771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902328" w:rsidRDefault="00DF2771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902328" w:rsidRDefault="00DF27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902328" w:rsidRDefault="00DF2771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902328" w:rsidRDefault="00DF2771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90232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902328" w:rsidRDefault="00DF2771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902328" w:rsidRDefault="00DF277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902328" w:rsidRDefault="00DF277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328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902328" w:rsidRDefault="00DF2771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902328" w:rsidRDefault="00DF2771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902328" w:rsidRDefault="00DF2771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902328" w:rsidRDefault="00902328">
      <w:pPr>
        <w:rPr>
          <w:sz w:val="20"/>
        </w:rPr>
        <w:sectPr w:rsidR="0090232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9023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902328" w:rsidRDefault="00DF277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902328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902328" w:rsidRDefault="00DF27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902328" w:rsidRDefault="00DF2771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902328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902328" w:rsidRDefault="00DF2771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902328" w:rsidRDefault="00DF2771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902328" w:rsidRDefault="00DF2771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902328" w:rsidRDefault="00DF2771">
            <w:pPr>
              <w:pStyle w:val="TableParagraph"/>
              <w:spacing w:before="144"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902328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902328" w:rsidRDefault="00DF27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902328" w:rsidRDefault="00DF27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328" w:rsidRDefault="00DF2771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902328" w:rsidRDefault="00DF2771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902328" w:rsidRDefault="00DF2771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902328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902328" w:rsidRDefault="00DF2771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902328" w:rsidRDefault="00DF277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902328" w:rsidRDefault="00DF2771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902328" w:rsidRDefault="00DF277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02328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2328" w:rsidRDefault="00DF2771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902328" w:rsidRDefault="00DF27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902328" w:rsidRDefault="00DF2771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902328" w:rsidRDefault="00DF2771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902328" w:rsidRDefault="00DF2771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2328" w:rsidRDefault="00DF2771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328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02328" w:rsidRDefault="009023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902328" w:rsidRDefault="00DF2771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902328" w:rsidRDefault="00DF2771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DF2771" w:rsidRDefault="00DF2771"/>
    <w:sectPr w:rsidR="00DF2771">
      <w:pgSz w:w="12240" w:h="15840"/>
      <w:pgMar w:top="1140" w:right="1020" w:bottom="1060" w:left="14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71" w:rsidRDefault="00DF2771">
      <w:r>
        <w:separator/>
      </w:r>
    </w:p>
  </w:endnote>
  <w:endnote w:type="continuationSeparator" w:id="0">
    <w:p w:rsidR="00DF2771" w:rsidRDefault="00DF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328" w:rsidRDefault="00DF2771">
    <w:pPr>
      <w:pStyle w:val="Zkladntext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3.15pt;width:16.1pt;height:13.05pt;z-index:-251658752;mso-position-horizontal-relative:page;mso-position-vertical-relative:page" filled="f" stroked="f">
          <v:textbox inset="0,0,0,0">
            <w:txbxContent>
              <w:p w:rsidR="00902328" w:rsidRDefault="00DF2771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A33F9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71" w:rsidRDefault="00DF2771">
      <w:r>
        <w:separator/>
      </w:r>
    </w:p>
  </w:footnote>
  <w:footnote w:type="continuationSeparator" w:id="0">
    <w:p w:rsidR="00DF2771" w:rsidRDefault="00DF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5DEC"/>
    <w:multiLevelType w:val="hybridMultilevel"/>
    <w:tmpl w:val="BC22F458"/>
    <w:lvl w:ilvl="0" w:tplc="5784FE3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8DA20774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462C9B82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59CA208A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C2B8B0E4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8AC63452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BABEA378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BFCEF0B2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7FF8CBD0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3C262C9C"/>
    <w:multiLevelType w:val="hybridMultilevel"/>
    <w:tmpl w:val="31642766"/>
    <w:lvl w:ilvl="0" w:tplc="F3F807E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ABEA6D0">
      <w:start w:val="1"/>
      <w:numFmt w:val="decimal"/>
      <w:lvlText w:val="%2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F7E8400E">
      <w:start w:val="1"/>
      <w:numFmt w:val="upperRoman"/>
      <w:lvlText w:val="%3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C602C450">
      <w:start w:val="1"/>
      <w:numFmt w:val="lowerLetter"/>
      <w:lvlText w:val="%4)"/>
      <w:lvlJc w:val="left"/>
      <w:pPr>
        <w:ind w:left="950" w:hanging="22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4" w:tplc="D486D83A">
      <w:numFmt w:val="bullet"/>
      <w:lvlText w:val="•"/>
      <w:lvlJc w:val="left"/>
      <w:pPr>
        <w:ind w:left="2217" w:hanging="228"/>
      </w:pPr>
      <w:rPr>
        <w:rFonts w:hint="default"/>
        <w:lang w:val="cs-CZ" w:eastAsia="cs-CZ" w:bidi="cs-CZ"/>
      </w:rPr>
    </w:lvl>
    <w:lvl w:ilvl="5" w:tplc="E85E04B6">
      <w:numFmt w:val="bullet"/>
      <w:lvlText w:val="•"/>
      <w:lvlJc w:val="left"/>
      <w:pPr>
        <w:ind w:left="3474" w:hanging="228"/>
      </w:pPr>
      <w:rPr>
        <w:rFonts w:hint="default"/>
        <w:lang w:val="cs-CZ" w:eastAsia="cs-CZ" w:bidi="cs-CZ"/>
      </w:rPr>
    </w:lvl>
    <w:lvl w:ilvl="6" w:tplc="0D56E5F0">
      <w:numFmt w:val="bullet"/>
      <w:lvlText w:val="•"/>
      <w:lvlJc w:val="left"/>
      <w:pPr>
        <w:ind w:left="4731" w:hanging="228"/>
      </w:pPr>
      <w:rPr>
        <w:rFonts w:hint="default"/>
        <w:lang w:val="cs-CZ" w:eastAsia="cs-CZ" w:bidi="cs-CZ"/>
      </w:rPr>
    </w:lvl>
    <w:lvl w:ilvl="7" w:tplc="EF14907A">
      <w:numFmt w:val="bullet"/>
      <w:lvlText w:val="•"/>
      <w:lvlJc w:val="left"/>
      <w:pPr>
        <w:ind w:left="5988" w:hanging="228"/>
      </w:pPr>
      <w:rPr>
        <w:rFonts w:hint="default"/>
        <w:lang w:val="cs-CZ" w:eastAsia="cs-CZ" w:bidi="cs-CZ"/>
      </w:rPr>
    </w:lvl>
    <w:lvl w:ilvl="8" w:tplc="2A2AEA66">
      <w:numFmt w:val="bullet"/>
      <w:lvlText w:val="•"/>
      <w:lvlJc w:val="left"/>
      <w:pPr>
        <w:ind w:left="7245" w:hanging="228"/>
      </w:pPr>
      <w:rPr>
        <w:rFonts w:hint="default"/>
        <w:lang w:val="cs-CZ" w:eastAsia="cs-CZ" w:bidi="cs-CZ"/>
      </w:rPr>
    </w:lvl>
  </w:abstractNum>
  <w:abstractNum w:abstractNumId="2" w15:restartNumberingAfterBreak="0">
    <w:nsid w:val="3C704EC2"/>
    <w:multiLevelType w:val="hybridMultilevel"/>
    <w:tmpl w:val="58261286"/>
    <w:lvl w:ilvl="0" w:tplc="E9527F3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F66DB8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A76289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96E58A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583C5D9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99ACB3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248352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47C0F57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3169B0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ED31C84"/>
    <w:multiLevelType w:val="hybridMultilevel"/>
    <w:tmpl w:val="5DECB384"/>
    <w:lvl w:ilvl="0" w:tplc="5ED454E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A7C054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8169EA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420AE1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BEFD2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2845A4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D3838A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12ECAC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4A2DCC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B9917B9"/>
    <w:multiLevelType w:val="hybridMultilevel"/>
    <w:tmpl w:val="89B68742"/>
    <w:lvl w:ilvl="0" w:tplc="98D84636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4DED8E2">
      <w:start w:val="1"/>
      <w:numFmt w:val="lowerLetter"/>
      <w:lvlText w:val="%2)"/>
      <w:lvlJc w:val="left"/>
      <w:pPr>
        <w:ind w:left="808" w:hanging="32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076E6F86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F27408D4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4" w:tplc="EC8C6DD0">
      <w:numFmt w:val="bullet"/>
      <w:lvlText w:val="•"/>
      <w:lvlJc w:val="left"/>
      <w:pPr>
        <w:ind w:left="1100" w:hanging="286"/>
      </w:pPr>
      <w:rPr>
        <w:rFonts w:hint="default"/>
        <w:lang w:val="cs-CZ" w:eastAsia="cs-CZ" w:bidi="cs-CZ"/>
      </w:rPr>
    </w:lvl>
    <w:lvl w:ilvl="5" w:tplc="429EF2E6">
      <w:numFmt w:val="bullet"/>
      <w:lvlText w:val="•"/>
      <w:lvlJc w:val="left"/>
      <w:pPr>
        <w:ind w:left="2543" w:hanging="286"/>
      </w:pPr>
      <w:rPr>
        <w:rFonts w:hint="default"/>
        <w:lang w:val="cs-CZ" w:eastAsia="cs-CZ" w:bidi="cs-CZ"/>
      </w:rPr>
    </w:lvl>
    <w:lvl w:ilvl="6" w:tplc="1B307234">
      <w:numFmt w:val="bullet"/>
      <w:lvlText w:val="•"/>
      <w:lvlJc w:val="left"/>
      <w:pPr>
        <w:ind w:left="3986" w:hanging="286"/>
      </w:pPr>
      <w:rPr>
        <w:rFonts w:hint="default"/>
        <w:lang w:val="cs-CZ" w:eastAsia="cs-CZ" w:bidi="cs-CZ"/>
      </w:rPr>
    </w:lvl>
    <w:lvl w:ilvl="7" w:tplc="C4440862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8" w:tplc="D366A69A">
      <w:numFmt w:val="bullet"/>
      <w:lvlText w:val="•"/>
      <w:lvlJc w:val="left"/>
      <w:pPr>
        <w:ind w:left="6873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76211FF3"/>
    <w:multiLevelType w:val="hybridMultilevel"/>
    <w:tmpl w:val="E5547880"/>
    <w:lvl w:ilvl="0" w:tplc="23D4BF9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D5CA29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CC27C62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34A6431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C014715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BCC8DB6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EE62EC0C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373EC12C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4428FF8E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02328"/>
    <w:rsid w:val="00902328"/>
    <w:rsid w:val="00DF2771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26503B"/>
  <w15:docId w15:val="{70E91D06-C1D7-4648-8EB2-49F1559F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5277</Words>
  <Characters>31136</Characters>
  <Application>Microsoft Office Word</Application>
  <DocSecurity>0</DocSecurity>
  <Lines>259</Lines>
  <Paragraphs>72</Paragraphs>
  <ScaleCrop>false</ScaleCrop>
  <Company>SFZP</Company>
  <LinksUpToDate>false</LinksUpToDate>
  <CharactersWithSpaces>36341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dcterms:created xsi:type="dcterms:W3CDTF">2021-05-03T08:57:00Z</dcterms:created>
  <dcterms:modified xsi:type="dcterms:W3CDTF">2021-05-03T08:59:00Z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2021-05-03T00:00:00Z</vt:filetime>
  </property>
</Properties>
</file>