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SchoolBoard Technologies s.r.o.</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Jičínská 226/17, Žižkov, 130 00 Praha 3</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08688141</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Jméno a příjmení: Jan Patera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jednatel</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191419145/5500</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Jablonec nad Nisou, Slunečná 9, příspěvková organizace</w:t>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Slunečná 336/9, 466 01 Jablonec nad Nisou</w:t>
            </w:r>
          </w:p>
        </w:tc>
      </w:tr>
    </w:tb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72550406</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Mgr. MICHALA MAREŠOVÁ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869 vedená u Krajského soudu v Ústí nad Labem</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Interaktivní sestava BARVÍNEK 55” na kovovém mobilním stojan</w:t>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276" w:lineRule="auto"/>
              <w:ind w:right="-109.60629921259908"/>
              <w:jc w:val="both"/>
              <w:rPr>
                <w:sz w:val="20"/>
                <w:szCs w:val="20"/>
              </w:rPr>
            </w:pPr>
            <w:r w:rsidDel="00000000" w:rsidR="00000000" w:rsidRPr="00000000">
              <w:rPr>
                <w:sz w:val="20"/>
                <w:szCs w:val="20"/>
                <w:rtl w:val="0"/>
              </w:rPr>
              <w:t xml:space="preserve">120.000 Kč (jedno sto dvacet tisíc korun českých)</w:t>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 xml:space="preserve">Kupní cena bude Kupujícím zaplacena nejpozději do 30 dnů od podpisu smlouvy na číslo účtu Prodávajícího vedené v záhlaví této Smlouvy.</w:t>
        <w:br w:type="textWrapping"/>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Jablonci nad Nisou dne 28. 4. 2021</w:t>
        <w:tab/>
        <w:tab/>
        <w:tab/>
        <w:t xml:space="preserve">Prodávající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Jablonci nad Nisou dne 28. 4. 2021</w:t>
        <w:tab/>
        <w:tab/>
        <w:tab/>
        <w:t xml:space="preserve">Kupující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