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7734" w14:textId="77777777" w:rsidR="00C77FB6" w:rsidRPr="008C5F8B"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8C5F8B">
        <w:rPr>
          <w:rFonts w:cs="Arial"/>
          <w:sz w:val="20"/>
          <w:szCs w:val="20"/>
          <w:lang w:eastAsia="ar-SA"/>
        </w:rPr>
        <w:t xml:space="preserve">Příloha č. </w:t>
      </w:r>
      <w:r w:rsidR="0096621B" w:rsidRPr="008C5F8B">
        <w:rPr>
          <w:rFonts w:cs="Arial"/>
          <w:sz w:val="20"/>
          <w:szCs w:val="20"/>
          <w:lang w:eastAsia="ar-SA"/>
        </w:rPr>
        <w:t>3</w:t>
      </w:r>
    </w:p>
    <w:p w14:paraId="7912E6D8"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2EEE51" w14:textId="77777777" w:rsidR="00AF3E4F" w:rsidRPr="0038265C" w:rsidRDefault="00AF3E4F" w:rsidP="00B171EF">
      <w:pPr>
        <w:spacing w:line="360" w:lineRule="auto"/>
        <w:rPr>
          <w:rFonts w:cs="Arial"/>
          <w:b/>
          <w:sz w:val="20"/>
        </w:rPr>
      </w:pPr>
    </w:p>
    <w:p w14:paraId="69C9295E" w14:textId="77777777" w:rsidR="000175A4" w:rsidRPr="00347625" w:rsidRDefault="000175A4" w:rsidP="000175A4">
      <w:pPr>
        <w:spacing w:line="360" w:lineRule="auto"/>
        <w:rPr>
          <w:rFonts w:cs="Arial"/>
          <w:b/>
          <w:sz w:val="22"/>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r>
        <w:rPr>
          <w:rFonts w:cs="Arial"/>
          <w:b/>
          <w:sz w:val="22"/>
          <w:szCs w:val="22"/>
        </w:rPr>
        <w:t>Č</w:t>
      </w:r>
      <w:r w:rsidRPr="0038265C">
        <w:rPr>
          <w:rFonts w:cs="Arial"/>
          <w:b/>
          <w:sz w:val="22"/>
          <w:szCs w:val="22"/>
        </w:rPr>
        <w:t xml:space="preserve">ást VZ: </w:t>
      </w:r>
      <w:r>
        <w:rPr>
          <w:rFonts w:cs="Arial"/>
          <w:b/>
          <w:sz w:val="22"/>
          <w:szCs w:val="22"/>
        </w:rPr>
        <w:tab/>
      </w:r>
      <w:r>
        <w:rPr>
          <w:rFonts w:cs="Arial"/>
          <w:b/>
          <w:sz w:val="22"/>
          <w:szCs w:val="22"/>
        </w:rPr>
        <w:tab/>
      </w:r>
      <w:r>
        <w:rPr>
          <w:rFonts w:cs="Arial"/>
          <w:b/>
          <w:sz w:val="22"/>
          <w:szCs w:val="22"/>
        </w:rPr>
        <w:tab/>
      </w:r>
      <w:r>
        <w:rPr>
          <w:rFonts w:cs="Arial"/>
          <w:b/>
          <w:sz w:val="22"/>
          <w:szCs w:val="22"/>
        </w:rPr>
        <w:tab/>
      </w:r>
      <w:r w:rsidRPr="00F15A30">
        <w:rPr>
          <w:rFonts w:cs="Arial"/>
          <w:b/>
          <w:sz w:val="22"/>
          <w:szCs w:val="22"/>
          <w:shd w:val="clear" w:color="auto" w:fill="FFFFFF"/>
        </w:rPr>
        <w:t>Základní kurzy svařování</w:t>
      </w:r>
      <w:r w:rsidRPr="00F15A30">
        <w:rPr>
          <w:rFonts w:cs="Arial"/>
          <w:b/>
          <w:bCs/>
          <w:sz w:val="22"/>
          <w:szCs w:val="22"/>
          <w:shd w:val="clear" w:color="auto" w:fill="FFFFFF"/>
        </w:rPr>
        <w:t>, oblast Karviná</w:t>
      </w:r>
    </w:p>
    <w:p w14:paraId="0F98FD96" w14:textId="18D7F11E" w:rsidR="00BD2A9F" w:rsidRPr="007856D1" w:rsidRDefault="00BD2A9F" w:rsidP="00BD2A9F">
      <w:pPr>
        <w:spacing w:line="360" w:lineRule="auto"/>
        <w:rPr>
          <w:rFonts w:cs="Arial"/>
          <w:b/>
          <w:sz w:val="22"/>
          <w:szCs w:val="22"/>
        </w:rPr>
      </w:pPr>
      <w:r w:rsidRPr="007856D1">
        <w:rPr>
          <w:rFonts w:cs="Arial"/>
          <w:b/>
          <w:sz w:val="22"/>
          <w:szCs w:val="22"/>
        </w:rPr>
        <w:t xml:space="preserve">Číslo dohody: </w:t>
      </w:r>
      <w:r>
        <w:rPr>
          <w:rFonts w:cs="Arial"/>
          <w:b/>
          <w:sz w:val="22"/>
          <w:szCs w:val="22"/>
        </w:rPr>
        <w:tab/>
      </w:r>
      <w:r>
        <w:rPr>
          <w:rFonts w:cs="Arial"/>
          <w:b/>
          <w:sz w:val="22"/>
          <w:szCs w:val="22"/>
        </w:rPr>
        <w:tab/>
      </w:r>
      <w:r>
        <w:rPr>
          <w:rFonts w:cs="Arial"/>
          <w:b/>
          <w:sz w:val="22"/>
          <w:szCs w:val="22"/>
        </w:rPr>
        <w:tab/>
        <w:t>T-RD-VZ9-RK-2020-část 1</w:t>
      </w:r>
      <w:r w:rsidR="000175A4">
        <w:rPr>
          <w:rFonts w:cs="Arial"/>
          <w:b/>
          <w:sz w:val="22"/>
          <w:szCs w:val="22"/>
        </w:rPr>
        <w:t>7</w:t>
      </w:r>
      <w:r>
        <w:rPr>
          <w:rFonts w:cs="Arial"/>
          <w:sz w:val="22"/>
          <w:szCs w:val="22"/>
        </w:rPr>
        <w:t xml:space="preserve"> </w:t>
      </w:r>
    </w:p>
    <w:p w14:paraId="5197894F" w14:textId="77777777" w:rsidR="00996982" w:rsidRPr="006A3B00" w:rsidRDefault="00996982" w:rsidP="00B171EF">
      <w:pPr>
        <w:pStyle w:val="Nadpis2"/>
        <w:spacing w:before="0" w:after="0" w:line="360" w:lineRule="auto"/>
        <w:ind w:right="-284"/>
        <w:jc w:val="both"/>
        <w:rPr>
          <w:b w:val="0"/>
          <w:i w:val="0"/>
          <w:sz w:val="14"/>
          <w:szCs w:val="22"/>
        </w:rPr>
      </w:pPr>
    </w:p>
    <w:p w14:paraId="3D7B8D71" w14:textId="77777777"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47EDF78D" w14:textId="77777777" w:rsidR="004B7008" w:rsidRPr="007F5C75" w:rsidRDefault="003D2F85" w:rsidP="00B171EF">
      <w:pPr>
        <w:spacing w:line="360" w:lineRule="auto"/>
        <w:ind w:right="-284"/>
        <w:jc w:val="both"/>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  Úřad práce </w:t>
      </w:r>
      <w:r w:rsidR="0047677B" w:rsidRPr="007F5C75">
        <w:rPr>
          <w:rFonts w:cs="Arial"/>
          <w:b/>
          <w:sz w:val="22"/>
          <w:szCs w:val="22"/>
        </w:rPr>
        <w:t>České republiky</w:t>
      </w:r>
    </w:p>
    <w:p w14:paraId="0F3EAB5A" w14:textId="23BA2D14" w:rsidR="00DD5FF2" w:rsidRPr="007F5C75" w:rsidRDefault="00B95977" w:rsidP="00B171EF">
      <w:pPr>
        <w:spacing w:line="360" w:lineRule="auto"/>
        <w:ind w:right="-284"/>
        <w:jc w:val="both"/>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5FF2" w:rsidRPr="007F5C75">
        <w:rPr>
          <w:rFonts w:cs="Arial"/>
          <w:bCs/>
          <w:sz w:val="22"/>
          <w:szCs w:val="22"/>
        </w:rPr>
        <w:t xml:space="preserve">Krajská pobočka ÚP ČR v </w:t>
      </w:r>
      <w:r w:rsidR="004D230F">
        <w:rPr>
          <w:rFonts w:cs="Arial"/>
          <w:bCs/>
          <w:sz w:val="22"/>
          <w:szCs w:val="22"/>
        </w:rPr>
        <w:t>Ostravě</w:t>
      </w:r>
    </w:p>
    <w:p w14:paraId="724047FA" w14:textId="0AF25AE4" w:rsidR="00DD5FF2" w:rsidRPr="007F5C75" w:rsidRDefault="00DD5FF2" w:rsidP="00B171EF">
      <w:pPr>
        <w:spacing w:line="360" w:lineRule="auto"/>
        <w:ind w:right="-284"/>
        <w:jc w:val="both"/>
        <w:rPr>
          <w:rFonts w:cs="Arial"/>
          <w:sz w:val="22"/>
          <w:szCs w:val="22"/>
        </w:rPr>
      </w:pPr>
      <w:r w:rsidRPr="007F5C75">
        <w:rPr>
          <w:rFonts w:cs="Arial"/>
          <w:bCs/>
          <w:sz w:val="22"/>
          <w:szCs w:val="22"/>
        </w:rPr>
        <w:tab/>
      </w:r>
      <w:r w:rsidRPr="007F5C75">
        <w:rPr>
          <w:rFonts w:cs="Arial"/>
          <w:bCs/>
          <w:sz w:val="22"/>
          <w:szCs w:val="22"/>
        </w:rPr>
        <w:tab/>
      </w:r>
      <w:r w:rsidRPr="007F5C75">
        <w:rPr>
          <w:rFonts w:cs="Arial"/>
          <w:bCs/>
          <w:sz w:val="22"/>
          <w:szCs w:val="22"/>
        </w:rPr>
        <w:tab/>
      </w:r>
      <w:r w:rsidRPr="007F5C75">
        <w:rPr>
          <w:rFonts w:cs="Arial"/>
          <w:bCs/>
          <w:sz w:val="22"/>
          <w:szCs w:val="22"/>
        </w:rPr>
        <w:tab/>
      </w:r>
      <w:r w:rsidR="003B364E" w:rsidRPr="007F5C75">
        <w:rPr>
          <w:rFonts w:cs="Arial"/>
          <w:bCs/>
          <w:sz w:val="22"/>
          <w:szCs w:val="22"/>
        </w:rPr>
        <w:tab/>
      </w:r>
      <w:r w:rsidR="004D230F">
        <w:rPr>
          <w:rFonts w:cs="Arial"/>
          <w:bCs/>
          <w:sz w:val="22"/>
          <w:szCs w:val="22"/>
        </w:rPr>
        <w:t>Zahradní 368/12, 701 60 Ostrava – Moravská Ostrava</w:t>
      </w:r>
    </w:p>
    <w:p w14:paraId="27162913" w14:textId="63A8F4AF" w:rsidR="00C77FB6" w:rsidRPr="007F5C75" w:rsidRDefault="00B95977" w:rsidP="00B171EF">
      <w:pPr>
        <w:spacing w:line="360" w:lineRule="auto"/>
        <w:ind w:right="-284"/>
        <w:jc w:val="both"/>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D230F">
        <w:rPr>
          <w:rFonts w:cs="Arial"/>
          <w:bCs/>
          <w:sz w:val="22"/>
          <w:szCs w:val="22"/>
        </w:rPr>
        <w:t>Ing. Petr Prokop</w:t>
      </w:r>
    </w:p>
    <w:p w14:paraId="18327D12" w14:textId="77777777" w:rsidR="004B7008" w:rsidRPr="007F5C75" w:rsidRDefault="004B7008" w:rsidP="00996982">
      <w:pPr>
        <w:spacing w:line="360" w:lineRule="auto"/>
        <w:ind w:right="-284"/>
        <w:jc w:val="both"/>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14:paraId="63F4D3BC" w14:textId="3FEE63E3" w:rsidR="00D80047" w:rsidRPr="007F5C75" w:rsidRDefault="00B95977" w:rsidP="00996982">
      <w:pPr>
        <w:spacing w:line="360" w:lineRule="auto"/>
        <w:ind w:right="-284"/>
        <w:jc w:val="both"/>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ČR - Krajská pobočka v </w:t>
      </w:r>
      <w:r w:rsidR="004D230F">
        <w:rPr>
          <w:rFonts w:cs="Arial"/>
          <w:bCs/>
          <w:sz w:val="22"/>
          <w:szCs w:val="22"/>
        </w:rPr>
        <w:t>Ostravě</w:t>
      </w:r>
    </w:p>
    <w:p w14:paraId="426BB5FA" w14:textId="56F2CB6E" w:rsidR="00C24902" w:rsidRPr="007F5C75" w:rsidRDefault="00B95977" w:rsidP="00996982">
      <w:pPr>
        <w:spacing w:line="360" w:lineRule="auto"/>
        <w:ind w:right="-284"/>
        <w:jc w:val="both"/>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D230F">
        <w:rPr>
          <w:rFonts w:cs="Arial"/>
          <w:bCs/>
          <w:sz w:val="22"/>
          <w:szCs w:val="22"/>
        </w:rPr>
        <w:t>Česká národní banka</w:t>
      </w:r>
    </w:p>
    <w:p w14:paraId="39311A21" w14:textId="62ABB755" w:rsidR="000F646B" w:rsidRPr="007F5C75" w:rsidRDefault="00B95977" w:rsidP="00996982">
      <w:pPr>
        <w:spacing w:line="360" w:lineRule="auto"/>
        <w:ind w:right="-284"/>
        <w:jc w:val="both"/>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D230F">
        <w:rPr>
          <w:rFonts w:cs="Arial"/>
          <w:sz w:val="22"/>
          <w:szCs w:val="22"/>
        </w:rPr>
        <w:t>37822761/0710</w:t>
      </w:r>
    </w:p>
    <w:p w14:paraId="2BC42374" w14:textId="43F26825" w:rsidR="00D80047" w:rsidRPr="007F5C75" w:rsidRDefault="00996982" w:rsidP="00996982">
      <w:pPr>
        <w:spacing w:line="360" w:lineRule="auto"/>
        <w:ind w:right="-284"/>
        <w:jc w:val="both"/>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proofErr w:type="spellStart"/>
      <w:r w:rsidR="004D230F" w:rsidRPr="00C04C3C">
        <w:rPr>
          <w:rFonts w:cs="Arial"/>
          <w:sz w:val="22"/>
          <w:szCs w:val="22"/>
        </w:rPr>
        <w:t>twrzpnd</w:t>
      </w:r>
      <w:proofErr w:type="spellEnd"/>
    </w:p>
    <w:p w14:paraId="1E90ED36" w14:textId="77777777"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14:paraId="38E902D0" w14:textId="77777777" w:rsidR="004B7008" w:rsidRPr="007856D1" w:rsidRDefault="004B7008" w:rsidP="00996982">
      <w:pPr>
        <w:spacing w:line="360" w:lineRule="auto"/>
        <w:ind w:right="-284"/>
        <w:jc w:val="both"/>
        <w:rPr>
          <w:rFonts w:cs="Arial"/>
          <w:sz w:val="18"/>
          <w:szCs w:val="22"/>
        </w:rPr>
      </w:pPr>
    </w:p>
    <w:p w14:paraId="5E1DC95E" w14:textId="77777777" w:rsidR="004B7008" w:rsidRPr="007856D1" w:rsidRDefault="004B7008" w:rsidP="00996982">
      <w:pPr>
        <w:spacing w:line="360" w:lineRule="auto"/>
        <w:ind w:right="-284"/>
        <w:jc w:val="both"/>
        <w:rPr>
          <w:rFonts w:cs="Arial"/>
          <w:sz w:val="22"/>
          <w:szCs w:val="22"/>
        </w:rPr>
      </w:pPr>
      <w:r w:rsidRPr="007856D1">
        <w:rPr>
          <w:rFonts w:cs="Arial"/>
          <w:sz w:val="22"/>
          <w:szCs w:val="22"/>
        </w:rPr>
        <w:t>a</w:t>
      </w:r>
    </w:p>
    <w:p w14:paraId="37C2F2E4" w14:textId="77777777" w:rsidR="000F646B" w:rsidRPr="007856D1" w:rsidRDefault="000F646B" w:rsidP="00996982">
      <w:pPr>
        <w:spacing w:line="360" w:lineRule="auto"/>
        <w:ind w:right="-284"/>
        <w:jc w:val="both"/>
        <w:rPr>
          <w:rFonts w:cs="Arial"/>
          <w:sz w:val="18"/>
          <w:szCs w:val="22"/>
        </w:rPr>
      </w:pPr>
    </w:p>
    <w:p w14:paraId="4CECE334" w14:textId="51A8BFAC" w:rsidR="000F646B" w:rsidRPr="00966FC0"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0175A4" w:rsidRPr="00966FC0">
        <w:rPr>
          <w:rFonts w:eastAsia="Calibri" w:cs="Arial"/>
          <w:sz w:val="22"/>
          <w:szCs w:val="22"/>
        </w:rPr>
        <w:t>Střední škola techniky a služeb, Karviná, příspěvková organizace</w:t>
      </w:r>
    </w:p>
    <w:p w14:paraId="36D51B95" w14:textId="14624060" w:rsidR="000F646B" w:rsidRPr="00966FC0" w:rsidRDefault="000F646B" w:rsidP="00996982">
      <w:pPr>
        <w:spacing w:line="360" w:lineRule="auto"/>
        <w:ind w:right="-284"/>
        <w:jc w:val="both"/>
        <w:rPr>
          <w:rFonts w:cs="Arial"/>
          <w:sz w:val="22"/>
          <w:szCs w:val="22"/>
        </w:rPr>
      </w:pPr>
      <w:r w:rsidRPr="00966FC0">
        <w:rPr>
          <w:rFonts w:cs="Arial"/>
          <w:b/>
          <w:sz w:val="22"/>
          <w:szCs w:val="22"/>
        </w:rPr>
        <w:t>sídl</w:t>
      </w:r>
      <w:r w:rsidR="00B95977" w:rsidRPr="00966FC0">
        <w:rPr>
          <w:rFonts w:cs="Arial"/>
          <w:b/>
          <w:sz w:val="22"/>
          <w:szCs w:val="22"/>
        </w:rPr>
        <w:t>o</w:t>
      </w:r>
      <w:r w:rsidR="00996982" w:rsidRPr="00966FC0">
        <w:rPr>
          <w:rFonts w:cs="Arial"/>
          <w:b/>
          <w:sz w:val="22"/>
          <w:szCs w:val="22"/>
        </w:rPr>
        <w:t>:</w:t>
      </w:r>
      <w:r w:rsidR="00996982" w:rsidRPr="00966FC0">
        <w:rPr>
          <w:rFonts w:cs="Arial"/>
          <w:sz w:val="22"/>
          <w:szCs w:val="22"/>
        </w:rPr>
        <w:tab/>
      </w:r>
      <w:r w:rsidR="00996982" w:rsidRPr="00966FC0">
        <w:rPr>
          <w:rFonts w:cs="Arial"/>
          <w:sz w:val="22"/>
          <w:szCs w:val="22"/>
        </w:rPr>
        <w:tab/>
      </w:r>
      <w:r w:rsidR="00996982" w:rsidRPr="00966FC0">
        <w:rPr>
          <w:rFonts w:cs="Arial"/>
          <w:sz w:val="22"/>
          <w:szCs w:val="22"/>
        </w:rPr>
        <w:tab/>
      </w:r>
      <w:r w:rsidR="00996982" w:rsidRPr="00966FC0">
        <w:rPr>
          <w:rFonts w:cs="Arial"/>
          <w:sz w:val="22"/>
          <w:szCs w:val="22"/>
        </w:rPr>
        <w:tab/>
      </w:r>
      <w:r w:rsidR="003B364E" w:rsidRPr="00966FC0">
        <w:rPr>
          <w:rFonts w:cs="Arial"/>
          <w:sz w:val="22"/>
          <w:szCs w:val="22"/>
        </w:rPr>
        <w:tab/>
      </w:r>
      <w:r w:rsidR="00966FC0" w:rsidRPr="00966FC0">
        <w:rPr>
          <w:rFonts w:cs="Arial"/>
          <w:sz w:val="22"/>
          <w:szCs w:val="22"/>
        </w:rPr>
        <w:t>Tř. Osvobození 1111/60, 735 06 Karviná - Nové Město</w:t>
      </w:r>
    </w:p>
    <w:p w14:paraId="5672D788" w14:textId="2B09054C" w:rsidR="00C06783" w:rsidRPr="00C06783" w:rsidRDefault="000F646B" w:rsidP="00C06783">
      <w:pPr>
        <w:pStyle w:val="Default"/>
        <w:rPr>
          <w:color w:val="auto"/>
          <w:sz w:val="22"/>
          <w:szCs w:val="22"/>
        </w:rPr>
      </w:pPr>
      <w:r w:rsidRPr="00966FC0">
        <w:rPr>
          <w:b/>
          <w:sz w:val="22"/>
          <w:szCs w:val="22"/>
        </w:rPr>
        <w:t>zastoupen</w:t>
      </w:r>
      <w:r w:rsidR="00996982" w:rsidRPr="00966FC0">
        <w:rPr>
          <w:b/>
          <w:sz w:val="22"/>
          <w:szCs w:val="22"/>
        </w:rPr>
        <w:t>a:</w:t>
      </w:r>
      <w:r w:rsidR="00996982" w:rsidRPr="00966FC0">
        <w:rPr>
          <w:b/>
          <w:sz w:val="22"/>
          <w:szCs w:val="22"/>
        </w:rPr>
        <w:tab/>
      </w:r>
      <w:r w:rsidR="00996982" w:rsidRPr="00966FC0">
        <w:rPr>
          <w:sz w:val="22"/>
          <w:szCs w:val="22"/>
        </w:rPr>
        <w:tab/>
      </w:r>
      <w:r w:rsidR="00996982" w:rsidRPr="00966FC0">
        <w:rPr>
          <w:sz w:val="22"/>
          <w:szCs w:val="22"/>
        </w:rPr>
        <w:tab/>
      </w:r>
      <w:r w:rsidR="003B364E" w:rsidRPr="00966FC0">
        <w:rPr>
          <w:sz w:val="22"/>
          <w:szCs w:val="22"/>
        </w:rPr>
        <w:tab/>
      </w:r>
      <w:proofErr w:type="spellStart"/>
      <w:r w:rsidR="00416C6F">
        <w:rPr>
          <w:sz w:val="22"/>
          <w:szCs w:val="22"/>
        </w:rPr>
        <w:t>xxxxxxxxxx</w:t>
      </w:r>
      <w:proofErr w:type="spellEnd"/>
      <w:r w:rsidR="00C06783" w:rsidRPr="00C06783">
        <w:rPr>
          <w:color w:val="auto"/>
          <w:sz w:val="22"/>
          <w:szCs w:val="22"/>
        </w:rPr>
        <w:t xml:space="preserve"> </w:t>
      </w:r>
    </w:p>
    <w:p w14:paraId="288FE6DE" w14:textId="7E4AAB58" w:rsidR="000F646B" w:rsidRPr="00966FC0" w:rsidRDefault="000F646B" w:rsidP="00996982">
      <w:pPr>
        <w:spacing w:line="360" w:lineRule="auto"/>
        <w:ind w:right="-284"/>
        <w:jc w:val="both"/>
        <w:rPr>
          <w:rFonts w:cs="Arial"/>
          <w:sz w:val="22"/>
          <w:szCs w:val="22"/>
        </w:rPr>
      </w:pPr>
    </w:p>
    <w:p w14:paraId="33988DEB" w14:textId="01D8E430" w:rsidR="000F646B" w:rsidRPr="00966FC0" w:rsidRDefault="000F646B" w:rsidP="00996982">
      <w:pPr>
        <w:spacing w:line="360" w:lineRule="auto"/>
        <w:ind w:right="-284"/>
        <w:jc w:val="both"/>
        <w:rPr>
          <w:rFonts w:cs="Arial"/>
          <w:sz w:val="22"/>
          <w:szCs w:val="22"/>
        </w:rPr>
      </w:pPr>
      <w:r w:rsidRPr="00966FC0">
        <w:rPr>
          <w:rFonts w:cs="Arial"/>
          <w:b/>
          <w:sz w:val="22"/>
          <w:szCs w:val="22"/>
        </w:rPr>
        <w:t>IČ</w:t>
      </w:r>
      <w:r w:rsidR="00B95977" w:rsidRPr="00966FC0">
        <w:rPr>
          <w:rFonts w:cs="Arial"/>
          <w:b/>
          <w:sz w:val="22"/>
          <w:szCs w:val="22"/>
        </w:rPr>
        <w:t>O</w:t>
      </w:r>
      <w:r w:rsidR="00996982" w:rsidRPr="00966FC0">
        <w:rPr>
          <w:rFonts w:cs="Arial"/>
          <w:b/>
          <w:sz w:val="22"/>
          <w:szCs w:val="22"/>
        </w:rPr>
        <w:t>:</w:t>
      </w:r>
      <w:r w:rsidR="00996982" w:rsidRPr="00966FC0">
        <w:rPr>
          <w:rFonts w:cs="Arial"/>
          <w:b/>
          <w:sz w:val="22"/>
          <w:szCs w:val="22"/>
        </w:rPr>
        <w:tab/>
      </w:r>
      <w:r w:rsidR="00996982" w:rsidRPr="00966FC0">
        <w:rPr>
          <w:rFonts w:cs="Arial"/>
          <w:sz w:val="22"/>
          <w:szCs w:val="22"/>
        </w:rPr>
        <w:tab/>
      </w:r>
      <w:r w:rsidR="00996982" w:rsidRPr="00966FC0">
        <w:rPr>
          <w:rFonts w:cs="Arial"/>
          <w:sz w:val="22"/>
          <w:szCs w:val="22"/>
        </w:rPr>
        <w:tab/>
      </w:r>
      <w:r w:rsidR="00996982" w:rsidRPr="00966FC0">
        <w:rPr>
          <w:rFonts w:cs="Arial"/>
          <w:sz w:val="22"/>
          <w:szCs w:val="22"/>
        </w:rPr>
        <w:tab/>
      </w:r>
      <w:r w:rsidR="003B364E" w:rsidRPr="00966FC0">
        <w:rPr>
          <w:rFonts w:cs="Arial"/>
          <w:sz w:val="22"/>
          <w:szCs w:val="22"/>
        </w:rPr>
        <w:tab/>
      </w:r>
      <w:r w:rsidR="00966FC0" w:rsidRPr="00966FC0">
        <w:rPr>
          <w:rFonts w:cs="Arial"/>
          <w:sz w:val="22"/>
          <w:szCs w:val="22"/>
          <w:lang w:val="en-US"/>
        </w:rPr>
        <w:t>13644254</w:t>
      </w:r>
    </w:p>
    <w:p w14:paraId="7E893DD8" w14:textId="4754553E" w:rsidR="00B95977" w:rsidRPr="00966FC0" w:rsidRDefault="00996982" w:rsidP="00996982">
      <w:pPr>
        <w:spacing w:line="360" w:lineRule="auto"/>
        <w:ind w:right="-284"/>
        <w:jc w:val="both"/>
        <w:rPr>
          <w:rFonts w:cs="Arial"/>
          <w:sz w:val="22"/>
          <w:szCs w:val="22"/>
        </w:rPr>
      </w:pPr>
      <w:r w:rsidRPr="00966FC0">
        <w:rPr>
          <w:rFonts w:cs="Arial"/>
          <w:b/>
          <w:sz w:val="22"/>
          <w:szCs w:val="22"/>
        </w:rPr>
        <w:t>kontaktní a fakturační adresa:</w:t>
      </w:r>
      <w:r w:rsidRPr="00966FC0">
        <w:rPr>
          <w:rFonts w:cs="Arial"/>
          <w:sz w:val="22"/>
          <w:szCs w:val="22"/>
        </w:rPr>
        <w:tab/>
      </w:r>
      <w:r w:rsidR="00966FC0" w:rsidRPr="00966FC0">
        <w:rPr>
          <w:rFonts w:cs="Arial"/>
          <w:sz w:val="22"/>
          <w:szCs w:val="22"/>
          <w:lang w:val="en-US"/>
        </w:rPr>
        <w:t>T</w:t>
      </w:r>
      <w:r w:rsidR="00966FC0" w:rsidRPr="00966FC0">
        <w:rPr>
          <w:rFonts w:cs="Arial"/>
          <w:sz w:val="22"/>
          <w:szCs w:val="22"/>
        </w:rPr>
        <w:t>ř. Osvobození 1111/60, 735 06 Karviná - Nové Město</w:t>
      </w:r>
    </w:p>
    <w:p w14:paraId="721680A0" w14:textId="1CCCB419" w:rsidR="006259A1" w:rsidRPr="00966FC0" w:rsidRDefault="003C06B3" w:rsidP="006259A1">
      <w:pPr>
        <w:spacing w:line="360" w:lineRule="auto"/>
        <w:ind w:right="-284"/>
        <w:jc w:val="both"/>
        <w:rPr>
          <w:rFonts w:cs="Arial"/>
          <w:sz w:val="22"/>
          <w:szCs w:val="22"/>
        </w:rPr>
      </w:pPr>
      <w:r w:rsidRPr="00966FC0">
        <w:rPr>
          <w:rFonts w:cs="Arial"/>
          <w:b/>
          <w:sz w:val="22"/>
          <w:szCs w:val="22"/>
        </w:rPr>
        <w:t>bankovní spojení:</w:t>
      </w:r>
      <w:r w:rsidRPr="00966FC0">
        <w:rPr>
          <w:rFonts w:cs="Arial"/>
          <w:sz w:val="22"/>
          <w:szCs w:val="22"/>
        </w:rPr>
        <w:tab/>
      </w:r>
      <w:r w:rsidR="006259A1" w:rsidRPr="00966FC0">
        <w:rPr>
          <w:rFonts w:cs="Arial"/>
          <w:sz w:val="22"/>
          <w:szCs w:val="22"/>
        </w:rPr>
        <w:tab/>
      </w:r>
      <w:r w:rsidR="003B364E" w:rsidRPr="00966FC0">
        <w:rPr>
          <w:rFonts w:cs="Arial"/>
          <w:sz w:val="22"/>
          <w:szCs w:val="22"/>
        </w:rPr>
        <w:tab/>
      </w:r>
      <w:proofErr w:type="spellStart"/>
      <w:r w:rsidR="00416C6F">
        <w:rPr>
          <w:sz w:val="22"/>
          <w:szCs w:val="22"/>
        </w:rPr>
        <w:t>xxxxxxxxxx</w:t>
      </w:r>
      <w:proofErr w:type="spellEnd"/>
    </w:p>
    <w:p w14:paraId="64516F63" w14:textId="6D20410A" w:rsidR="006259A1" w:rsidRPr="00966FC0" w:rsidRDefault="006259A1" w:rsidP="00996982">
      <w:pPr>
        <w:spacing w:line="360" w:lineRule="auto"/>
        <w:ind w:right="-284"/>
        <w:jc w:val="both"/>
        <w:rPr>
          <w:rFonts w:cs="Arial"/>
          <w:sz w:val="22"/>
          <w:szCs w:val="22"/>
        </w:rPr>
      </w:pPr>
      <w:r w:rsidRPr="00966FC0">
        <w:rPr>
          <w:rFonts w:cs="Arial"/>
          <w:b/>
          <w:sz w:val="22"/>
          <w:szCs w:val="22"/>
        </w:rPr>
        <w:t>číslo účtu</w:t>
      </w:r>
      <w:r w:rsidR="003C06B3" w:rsidRPr="00966FC0">
        <w:rPr>
          <w:rFonts w:cs="Arial"/>
          <w:sz w:val="22"/>
          <w:szCs w:val="22"/>
        </w:rPr>
        <w:t>:</w:t>
      </w:r>
      <w:r w:rsidRPr="00966FC0">
        <w:rPr>
          <w:rFonts w:cs="Arial"/>
          <w:sz w:val="22"/>
          <w:szCs w:val="22"/>
        </w:rPr>
        <w:tab/>
      </w:r>
      <w:r w:rsidRPr="00966FC0">
        <w:rPr>
          <w:rFonts w:cs="Arial"/>
          <w:sz w:val="22"/>
          <w:szCs w:val="22"/>
        </w:rPr>
        <w:tab/>
      </w:r>
      <w:r w:rsidRPr="00966FC0">
        <w:rPr>
          <w:rFonts w:cs="Arial"/>
          <w:sz w:val="22"/>
          <w:szCs w:val="22"/>
        </w:rPr>
        <w:tab/>
      </w:r>
      <w:r w:rsidR="003B364E" w:rsidRPr="00966FC0">
        <w:rPr>
          <w:rFonts w:cs="Arial"/>
          <w:sz w:val="22"/>
          <w:szCs w:val="22"/>
        </w:rPr>
        <w:tab/>
      </w:r>
      <w:proofErr w:type="spellStart"/>
      <w:r w:rsidR="00416C6F">
        <w:rPr>
          <w:sz w:val="22"/>
          <w:szCs w:val="22"/>
        </w:rPr>
        <w:t>xxxxxxxxxx</w:t>
      </w:r>
      <w:proofErr w:type="spellEnd"/>
    </w:p>
    <w:p w14:paraId="232B0D25" w14:textId="74714DDF" w:rsidR="00B95977" w:rsidRPr="00966FC0" w:rsidRDefault="00996982" w:rsidP="00996982">
      <w:pPr>
        <w:spacing w:line="360" w:lineRule="auto"/>
        <w:ind w:right="-284"/>
        <w:jc w:val="both"/>
        <w:rPr>
          <w:rFonts w:cs="Arial"/>
          <w:sz w:val="22"/>
          <w:szCs w:val="22"/>
        </w:rPr>
      </w:pPr>
      <w:r w:rsidRPr="00966FC0">
        <w:rPr>
          <w:rFonts w:cs="Arial"/>
          <w:b/>
          <w:sz w:val="22"/>
          <w:szCs w:val="22"/>
        </w:rPr>
        <w:t>ID datové schránky:</w:t>
      </w:r>
      <w:r w:rsidRPr="00966FC0">
        <w:rPr>
          <w:rFonts w:cs="Arial"/>
          <w:sz w:val="22"/>
          <w:szCs w:val="22"/>
        </w:rPr>
        <w:tab/>
      </w:r>
      <w:r w:rsidRPr="00966FC0">
        <w:rPr>
          <w:rFonts w:cs="Arial"/>
          <w:sz w:val="22"/>
          <w:szCs w:val="22"/>
        </w:rPr>
        <w:tab/>
      </w:r>
      <w:r w:rsidR="003B364E" w:rsidRPr="00966FC0">
        <w:rPr>
          <w:rFonts w:cs="Arial"/>
          <w:sz w:val="22"/>
          <w:szCs w:val="22"/>
        </w:rPr>
        <w:tab/>
      </w:r>
      <w:r w:rsidR="00966FC0" w:rsidRPr="00966FC0">
        <w:rPr>
          <w:rFonts w:cs="Arial"/>
          <w:sz w:val="22"/>
          <w:szCs w:val="22"/>
          <w:lang w:val="en-US"/>
        </w:rPr>
        <w:t>uw9fd6a</w:t>
      </w:r>
    </w:p>
    <w:p w14:paraId="45A418A9" w14:textId="77777777" w:rsidR="000F646B" w:rsidRPr="00966FC0" w:rsidRDefault="000F646B" w:rsidP="00996982">
      <w:pPr>
        <w:spacing w:line="360" w:lineRule="auto"/>
        <w:ind w:right="-284"/>
        <w:jc w:val="both"/>
        <w:rPr>
          <w:rFonts w:cs="Arial"/>
          <w:sz w:val="22"/>
          <w:szCs w:val="22"/>
        </w:rPr>
      </w:pPr>
      <w:r w:rsidRPr="00966FC0">
        <w:rPr>
          <w:rFonts w:cs="Arial"/>
          <w:sz w:val="22"/>
          <w:szCs w:val="22"/>
        </w:rPr>
        <w:t>(dále jen „</w:t>
      </w:r>
      <w:r w:rsidRPr="00966FC0">
        <w:rPr>
          <w:rFonts w:cs="Arial"/>
          <w:i/>
          <w:sz w:val="22"/>
          <w:szCs w:val="22"/>
        </w:rPr>
        <w:t>dodavatel</w:t>
      </w:r>
      <w:r w:rsidRPr="00966FC0">
        <w:rPr>
          <w:rFonts w:cs="Arial"/>
          <w:sz w:val="22"/>
          <w:szCs w:val="22"/>
        </w:rPr>
        <w:t xml:space="preserve">“) </w:t>
      </w:r>
    </w:p>
    <w:p w14:paraId="4352EB87" w14:textId="77777777" w:rsidR="004B7008" w:rsidRPr="007856D1" w:rsidRDefault="004B7008" w:rsidP="00996982">
      <w:pPr>
        <w:spacing w:line="360" w:lineRule="auto"/>
        <w:ind w:right="-284"/>
        <w:jc w:val="both"/>
        <w:rPr>
          <w:rFonts w:cs="Arial"/>
          <w:sz w:val="18"/>
          <w:szCs w:val="22"/>
        </w:rPr>
      </w:pPr>
    </w:p>
    <w:p w14:paraId="5F22759B" w14:textId="0A747ACF"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319817B7" w14:textId="77777777" w:rsidR="00966FC0" w:rsidRDefault="00966FC0" w:rsidP="007F5C75">
      <w:pPr>
        <w:spacing w:line="360" w:lineRule="auto"/>
        <w:ind w:right="-284"/>
        <w:jc w:val="both"/>
        <w:rPr>
          <w:rFonts w:cs="Arial"/>
          <w:sz w:val="22"/>
          <w:szCs w:val="22"/>
        </w:rPr>
      </w:pPr>
    </w:p>
    <w:p w14:paraId="480693CC" w14:textId="77777777" w:rsidR="00171255" w:rsidRPr="007F5C75" w:rsidRDefault="00171255" w:rsidP="007F5C75">
      <w:pPr>
        <w:spacing w:line="360" w:lineRule="auto"/>
        <w:ind w:right="-284"/>
        <w:jc w:val="both"/>
        <w:rPr>
          <w:rFonts w:cs="Arial"/>
          <w:sz w:val="18"/>
          <w:szCs w:val="22"/>
        </w:rPr>
      </w:pPr>
    </w:p>
    <w:p w14:paraId="3F60E6CE" w14:textId="77777777"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14:paraId="038343AF" w14:textId="77777777" w:rsidR="00171255" w:rsidRPr="00171255" w:rsidRDefault="00171255" w:rsidP="00171255">
      <w:pPr>
        <w:pStyle w:val="Odstavecseseznamem"/>
        <w:spacing w:line="360" w:lineRule="auto"/>
        <w:ind w:left="567"/>
        <w:jc w:val="both"/>
        <w:rPr>
          <w:rFonts w:cs="Arial"/>
          <w:bCs/>
          <w:sz w:val="14"/>
          <w:szCs w:val="22"/>
        </w:rPr>
      </w:pPr>
    </w:p>
    <w:p w14:paraId="5DC831B1"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40D7CB9B" w14:textId="2CB86831" w:rsidR="009B476B" w:rsidRPr="007856D1" w:rsidRDefault="009B476B" w:rsidP="009B476B">
      <w:pPr>
        <w:pStyle w:val="Odstavecseseznamem"/>
        <w:spacing w:line="360" w:lineRule="auto"/>
        <w:ind w:left="360"/>
        <w:jc w:val="both"/>
        <w:rPr>
          <w:rFonts w:cs="Arial"/>
          <w:bCs/>
          <w:sz w:val="22"/>
          <w:szCs w:val="22"/>
          <w:lang w:eastAsia="cs-CZ"/>
        </w:rPr>
      </w:pPr>
      <w:r>
        <w:rPr>
          <w:rFonts w:cs="Arial"/>
          <w:bCs/>
          <w:sz w:val="22"/>
          <w:szCs w:val="22"/>
          <w:lang w:eastAsia="cs-CZ"/>
        </w:rPr>
        <w:t xml:space="preserve">    ……….</w:t>
      </w:r>
      <w:r w:rsidRPr="007856D1">
        <w:rPr>
          <w:rFonts w:cs="Arial"/>
          <w:bCs/>
          <w:sz w:val="22"/>
          <w:szCs w:val="22"/>
          <w:lang w:eastAsia="cs-CZ"/>
        </w:rPr>
        <w:t>…</w:t>
      </w:r>
      <w:r w:rsidRPr="00CA0AD4">
        <w:rPr>
          <w:rFonts w:cs="Arial"/>
          <w:b/>
          <w:bCs/>
          <w:sz w:val="22"/>
          <w:szCs w:val="22"/>
          <w:shd w:val="clear" w:color="auto" w:fill="FFFFFF"/>
        </w:rPr>
        <w:t xml:space="preserve"> </w:t>
      </w:r>
      <w:r w:rsidR="00E97297" w:rsidRPr="00F15A30">
        <w:rPr>
          <w:rFonts w:cs="Arial"/>
          <w:b/>
          <w:sz w:val="22"/>
          <w:szCs w:val="22"/>
          <w:shd w:val="clear" w:color="auto" w:fill="FFFFFF"/>
        </w:rPr>
        <w:t>Základní kurzy svařování</w:t>
      </w:r>
      <w:r w:rsidR="00E97297" w:rsidRPr="00F15A30">
        <w:rPr>
          <w:rFonts w:cs="Arial"/>
          <w:b/>
          <w:bCs/>
          <w:sz w:val="22"/>
          <w:szCs w:val="22"/>
          <w:shd w:val="clear" w:color="auto" w:fill="FFFFFF"/>
        </w:rPr>
        <w:t>, oblast Karviná</w:t>
      </w:r>
      <w:r w:rsidR="00E97297">
        <w:rPr>
          <w:rFonts w:cs="Arial"/>
          <w:bCs/>
          <w:sz w:val="22"/>
          <w:szCs w:val="22"/>
          <w:lang w:eastAsia="cs-CZ"/>
        </w:rPr>
        <w:t xml:space="preserve"> </w:t>
      </w:r>
      <w:r>
        <w:rPr>
          <w:rFonts w:cs="Arial"/>
          <w:bCs/>
          <w:sz w:val="22"/>
          <w:szCs w:val="22"/>
          <w:lang w:eastAsia="cs-CZ"/>
        </w:rPr>
        <w:t>………………………………………</w:t>
      </w:r>
    </w:p>
    <w:p w14:paraId="4F9F3CDE" w14:textId="77777777"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 platnými právními normami, a to subjektem oprávněným ve smyslu § 108 odst. 2 zákona č. 435/2004 Sb., o zaměstnanosti, ve znění pozdějších předpisů (dále jen „</w:t>
      </w:r>
      <w:proofErr w:type="spellStart"/>
      <w:r w:rsidRPr="007856D1">
        <w:rPr>
          <w:rFonts w:cs="Arial"/>
          <w:i/>
          <w:sz w:val="22"/>
          <w:szCs w:val="22"/>
        </w:rPr>
        <w:t>ZoZ</w:t>
      </w:r>
      <w:proofErr w:type="spellEnd"/>
      <w:r w:rsidRPr="007856D1">
        <w:rPr>
          <w:rFonts w:cs="Arial"/>
          <w:i/>
          <w:sz w:val="22"/>
          <w:szCs w:val="22"/>
          <w:lang w:val="en-US"/>
        </w:rPr>
        <w:t>;</w:t>
      </w:r>
      <w:r w:rsidRPr="007856D1">
        <w:rPr>
          <w:rFonts w:cs="Arial"/>
          <w:i/>
          <w:sz w:val="22"/>
          <w:szCs w:val="22"/>
        </w:rPr>
        <w:t xml:space="preserve"> zákon o zaměstnanosti</w:t>
      </w:r>
      <w:r w:rsidRPr="007856D1">
        <w:rPr>
          <w:rFonts w:cs="Arial"/>
          <w:sz w:val="22"/>
          <w:szCs w:val="22"/>
        </w:rPr>
        <w:t>“), a vyhláškou č. 519/2004 Sb. V případě rekvalifikačních kurzů dle profesních kvalifikací bude postupováno dle zákona č. 179/2006 Sb., o ověřování a uznávání výsledků dalšího vzdělávání a o změně některých zákonů, ve znění pozdějších předpisů, v souladu s vyhláškou č. 208/2007 Sb., o podrobnostech stanovených k provedení zákona o uznávání výsledků dalšího vzdělávání, ve znění pozdějších předpisů.</w:t>
      </w:r>
    </w:p>
    <w:p w14:paraId="2AEEF62E"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14:paraId="2C66FAE9" w14:textId="77777777"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proofErr w:type="spellStart"/>
      <w:r w:rsidR="00F94DF3" w:rsidRPr="007856D1">
        <w:rPr>
          <w:rFonts w:cs="Arial"/>
          <w:bCs/>
          <w:sz w:val="22"/>
          <w:szCs w:val="22"/>
          <w:lang w:eastAsia="cs-CZ"/>
        </w:rPr>
        <w:t>ZoZ</w:t>
      </w:r>
      <w:proofErr w:type="spellEnd"/>
      <w:r w:rsidR="00F94DF3" w:rsidRPr="007856D1">
        <w:rPr>
          <w:rFonts w:cs="Arial"/>
          <w:bCs/>
          <w:sz w:val="22"/>
          <w:szCs w:val="22"/>
          <w:lang w:eastAsia="cs-CZ"/>
        </w:rPr>
        <w:t xml:space="preserve"> </w:t>
      </w:r>
      <w:r w:rsidRPr="007856D1">
        <w:rPr>
          <w:rFonts w:cs="Arial"/>
          <w:bCs/>
          <w:sz w:val="22"/>
          <w:szCs w:val="22"/>
          <w:lang w:eastAsia="cs-CZ"/>
        </w:rPr>
        <w:t>a vyhláškou č. 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05B478F7" w14:textId="7B108028"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670143" w:rsidRPr="007856D1">
        <w:rPr>
          <w:rFonts w:cs="Arial"/>
          <w:bCs/>
          <w:sz w:val="22"/>
          <w:szCs w:val="22"/>
          <w:lang w:eastAsia="cs-CZ"/>
        </w:rPr>
        <w:t xml:space="preserve">Rekvalifikace </w:t>
      </w:r>
      <w:r w:rsidR="0056029F">
        <w:rPr>
          <w:rFonts w:cs="Arial"/>
          <w:bCs/>
          <w:sz w:val="22"/>
          <w:szCs w:val="22"/>
          <w:lang w:eastAsia="cs-CZ"/>
        </w:rPr>
        <w:t>pro Moravskoslezský kraj IX</w:t>
      </w:r>
      <w:r w:rsidRPr="007856D1">
        <w:rPr>
          <w:rFonts w:cs="Arial"/>
          <w:bCs/>
          <w:sz w:val="22"/>
          <w:szCs w:val="22"/>
          <w:lang w:eastAsia="cs-CZ"/>
        </w:rPr>
        <w:t>“</w:t>
      </w:r>
      <w:r w:rsidR="00996982" w:rsidRPr="007856D1">
        <w:rPr>
          <w:rFonts w:cs="Arial"/>
          <w:bCs/>
          <w:sz w:val="22"/>
          <w:szCs w:val="22"/>
          <w:lang w:eastAsia="cs-CZ"/>
        </w:rPr>
        <w:t xml:space="preserve">, část </w:t>
      </w:r>
      <w:r w:rsidR="00BD2A9F">
        <w:rPr>
          <w:rFonts w:cs="Arial"/>
          <w:bCs/>
          <w:sz w:val="22"/>
          <w:szCs w:val="22"/>
          <w:lang w:eastAsia="cs-CZ"/>
        </w:rPr>
        <w:t>1</w:t>
      </w:r>
      <w:r w:rsidR="00E97297">
        <w:rPr>
          <w:rFonts w:cs="Arial"/>
          <w:bCs/>
          <w:sz w:val="22"/>
          <w:szCs w:val="22"/>
          <w:lang w:eastAsia="cs-CZ"/>
        </w:rPr>
        <w:t>7</w:t>
      </w:r>
      <w:r w:rsidR="009B476B" w:rsidRPr="009B476B">
        <w:rPr>
          <w:rFonts w:cs="Arial"/>
          <w:bCs/>
          <w:sz w:val="22"/>
          <w:szCs w:val="22"/>
          <w:lang w:eastAsia="cs-CZ"/>
        </w:rPr>
        <w:t xml:space="preserve"> </w:t>
      </w:r>
      <w:r w:rsidR="00E97297" w:rsidRPr="00F15A30">
        <w:rPr>
          <w:rFonts w:cs="Arial"/>
          <w:b/>
          <w:sz w:val="22"/>
          <w:szCs w:val="22"/>
          <w:shd w:val="clear" w:color="auto" w:fill="FFFFFF"/>
        </w:rPr>
        <w:t>Základní kurzy svařování</w:t>
      </w:r>
      <w:r w:rsidR="00E97297" w:rsidRPr="00F15A30">
        <w:rPr>
          <w:rFonts w:cs="Arial"/>
          <w:b/>
          <w:bCs/>
          <w:sz w:val="22"/>
          <w:szCs w:val="22"/>
          <w:shd w:val="clear" w:color="auto" w:fill="FFFFFF"/>
        </w:rPr>
        <w:t>, oblast Karviná</w:t>
      </w:r>
      <w:r w:rsidR="00E97297">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14:paraId="779157AC" w14:textId="77777777" w:rsidR="000118A5" w:rsidRPr="00171255" w:rsidRDefault="000C47FC" w:rsidP="000118A5">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14:paraId="1DDD4750" w14:textId="77777777" w:rsidR="00171255" w:rsidRPr="00171255" w:rsidRDefault="00171255" w:rsidP="00171255">
      <w:pPr>
        <w:pStyle w:val="Odstavecseseznamem"/>
        <w:spacing w:line="360" w:lineRule="auto"/>
        <w:ind w:left="567"/>
        <w:jc w:val="both"/>
        <w:rPr>
          <w:rFonts w:cs="Arial"/>
          <w:bCs/>
          <w:sz w:val="18"/>
          <w:szCs w:val="22"/>
          <w:lang w:eastAsia="cs-CZ"/>
        </w:rPr>
      </w:pPr>
    </w:p>
    <w:p w14:paraId="4D059C3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6B46766B" w14:textId="77777777" w:rsidR="00DD5FF2" w:rsidRPr="006A3B00" w:rsidRDefault="00DD5FF2" w:rsidP="00171255">
      <w:pPr>
        <w:keepNext/>
        <w:spacing w:line="360" w:lineRule="auto"/>
        <w:jc w:val="center"/>
        <w:rPr>
          <w:rFonts w:cs="Arial"/>
          <w:b/>
          <w:sz w:val="14"/>
          <w:szCs w:val="22"/>
        </w:rPr>
      </w:pPr>
    </w:p>
    <w:p w14:paraId="0939C68F" w14:textId="77777777" w:rsidR="00F94DF3" w:rsidRDefault="00AE7A72" w:rsidP="00171255">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08830DC8" w14:textId="77777777" w:rsidR="00171255" w:rsidRDefault="00171255" w:rsidP="00171255">
      <w:pPr>
        <w:pStyle w:val="Odstavecseseznamem"/>
        <w:spacing w:line="360" w:lineRule="auto"/>
        <w:ind w:left="567"/>
        <w:jc w:val="both"/>
        <w:rPr>
          <w:rFonts w:cs="Arial"/>
          <w:bCs/>
          <w:sz w:val="22"/>
          <w:szCs w:val="22"/>
        </w:rPr>
      </w:pPr>
    </w:p>
    <w:p w14:paraId="26B45D1E" w14:textId="77777777" w:rsidR="00171255" w:rsidRDefault="00171255" w:rsidP="00171255">
      <w:pPr>
        <w:pStyle w:val="Odstavecseseznamem"/>
        <w:spacing w:line="360" w:lineRule="auto"/>
        <w:ind w:left="567"/>
        <w:jc w:val="both"/>
        <w:rPr>
          <w:rFonts w:cs="Arial"/>
          <w:bCs/>
          <w:sz w:val="22"/>
          <w:szCs w:val="22"/>
        </w:rPr>
      </w:pPr>
    </w:p>
    <w:p w14:paraId="706508DC" w14:textId="77777777" w:rsidR="00171255" w:rsidRDefault="00171255" w:rsidP="00171255">
      <w:pPr>
        <w:pStyle w:val="Odstavecseseznamem"/>
        <w:spacing w:line="360" w:lineRule="auto"/>
        <w:ind w:left="567"/>
        <w:jc w:val="both"/>
        <w:rPr>
          <w:rFonts w:cs="Arial"/>
          <w:bCs/>
          <w:sz w:val="22"/>
          <w:szCs w:val="22"/>
        </w:rPr>
      </w:pPr>
    </w:p>
    <w:p w14:paraId="6F11CC44" w14:textId="77777777" w:rsidR="00171255" w:rsidRDefault="00171255" w:rsidP="00171255">
      <w:pPr>
        <w:pStyle w:val="Odstavecseseznamem"/>
        <w:spacing w:line="360" w:lineRule="auto"/>
        <w:ind w:left="567"/>
        <w:jc w:val="both"/>
        <w:rPr>
          <w:rFonts w:cs="Arial"/>
          <w:bCs/>
          <w:sz w:val="22"/>
          <w:szCs w:val="22"/>
        </w:rPr>
      </w:pPr>
    </w:p>
    <w:p w14:paraId="18D63FB9" w14:textId="77777777" w:rsidR="00171255" w:rsidRPr="007856D1" w:rsidRDefault="00171255" w:rsidP="00171255">
      <w:pPr>
        <w:pStyle w:val="Odstavecseseznamem"/>
        <w:spacing w:line="360" w:lineRule="auto"/>
        <w:ind w:left="567"/>
        <w:jc w:val="both"/>
        <w:rPr>
          <w:rFonts w:cs="Arial"/>
          <w:bCs/>
          <w:sz w:val="22"/>
          <w:szCs w:val="22"/>
        </w:rPr>
      </w:pPr>
    </w:p>
    <w:p w14:paraId="6E5748C9" w14:textId="77777777"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5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66"/>
        <w:gridCol w:w="4734"/>
      </w:tblGrid>
      <w:tr w:rsidR="00E97297" w:rsidRPr="007856D1" w14:paraId="65F86F1A" w14:textId="77777777" w:rsidTr="00E97297">
        <w:trPr>
          <w:trHeight w:val="430"/>
        </w:trPr>
        <w:tc>
          <w:tcPr>
            <w:tcW w:w="4766" w:type="dxa"/>
            <w:shd w:val="clear" w:color="auto" w:fill="D9D9D9" w:themeFill="background1" w:themeFillShade="D9"/>
            <w:vAlign w:val="center"/>
          </w:tcPr>
          <w:p w14:paraId="25904A25" w14:textId="77777777" w:rsidR="00E97297" w:rsidRPr="007856D1" w:rsidRDefault="00E97297" w:rsidP="00E97297">
            <w:pPr>
              <w:tabs>
                <w:tab w:val="left" w:pos="1418"/>
              </w:tabs>
              <w:rPr>
                <w:rFonts w:cs="Arial"/>
                <w:b/>
                <w:sz w:val="22"/>
                <w:szCs w:val="22"/>
              </w:rPr>
            </w:pPr>
            <w:r w:rsidRPr="007856D1">
              <w:rPr>
                <w:rFonts w:cs="Arial"/>
                <w:b/>
                <w:sz w:val="22"/>
                <w:szCs w:val="22"/>
              </w:rPr>
              <w:t>Cena za osobu bez DPH (Kč/osoba/kurz)</w:t>
            </w:r>
          </w:p>
        </w:tc>
        <w:tc>
          <w:tcPr>
            <w:tcW w:w="4734" w:type="dxa"/>
            <w:shd w:val="clear" w:color="auto" w:fill="FFFFFF" w:themeFill="background1"/>
            <w:vAlign w:val="center"/>
          </w:tcPr>
          <w:p w14:paraId="07B03554" w14:textId="18FC8C30" w:rsidR="00E97297" w:rsidRPr="005A4D96" w:rsidRDefault="00E97297" w:rsidP="00E97297">
            <w:pPr>
              <w:tabs>
                <w:tab w:val="left" w:pos="1418"/>
              </w:tabs>
              <w:rPr>
                <w:rFonts w:cs="Arial"/>
                <w:sz w:val="22"/>
                <w:szCs w:val="22"/>
              </w:rPr>
            </w:pPr>
            <w:r w:rsidRPr="005A4D96">
              <w:rPr>
                <w:rFonts w:cs="Arial"/>
                <w:sz w:val="22"/>
                <w:szCs w:val="22"/>
              </w:rPr>
              <w:t>9 964,- Kč</w:t>
            </w:r>
          </w:p>
        </w:tc>
      </w:tr>
      <w:tr w:rsidR="00E97297" w:rsidRPr="007856D1" w14:paraId="0ECFA0DE" w14:textId="77777777" w:rsidTr="00E97297">
        <w:trPr>
          <w:trHeight w:val="430"/>
        </w:trPr>
        <w:tc>
          <w:tcPr>
            <w:tcW w:w="4766" w:type="dxa"/>
            <w:shd w:val="clear" w:color="auto" w:fill="D9D9D9" w:themeFill="background1" w:themeFillShade="D9"/>
            <w:vAlign w:val="center"/>
          </w:tcPr>
          <w:p w14:paraId="06CB3368" w14:textId="77777777" w:rsidR="00E97297" w:rsidRPr="007856D1" w:rsidRDefault="00E97297" w:rsidP="00E97297">
            <w:pPr>
              <w:tabs>
                <w:tab w:val="left" w:pos="1418"/>
              </w:tabs>
              <w:rPr>
                <w:rFonts w:cs="Arial"/>
                <w:b/>
                <w:sz w:val="22"/>
                <w:szCs w:val="22"/>
              </w:rPr>
            </w:pPr>
            <w:r w:rsidRPr="007856D1">
              <w:rPr>
                <w:rFonts w:cs="Arial"/>
                <w:b/>
                <w:sz w:val="22"/>
                <w:szCs w:val="22"/>
              </w:rPr>
              <w:t>Kvalifikační předpoklady</w:t>
            </w:r>
          </w:p>
        </w:tc>
        <w:tc>
          <w:tcPr>
            <w:tcW w:w="4734" w:type="dxa"/>
            <w:shd w:val="clear" w:color="auto" w:fill="FFFFFF" w:themeFill="background1"/>
            <w:vAlign w:val="center"/>
          </w:tcPr>
          <w:p w14:paraId="5DD5D969" w14:textId="2B9AD2AC" w:rsidR="00E97297" w:rsidRPr="005A4D96" w:rsidRDefault="00E97297" w:rsidP="00E97297">
            <w:pPr>
              <w:tabs>
                <w:tab w:val="left" w:pos="1418"/>
              </w:tabs>
              <w:rPr>
                <w:rFonts w:cs="Arial"/>
                <w:sz w:val="22"/>
                <w:szCs w:val="22"/>
              </w:rPr>
            </w:pPr>
            <w:r w:rsidRPr="005A4D96">
              <w:rPr>
                <w:rFonts w:cs="Arial"/>
                <w:sz w:val="22"/>
                <w:szCs w:val="22"/>
              </w:rPr>
              <w:t>bez vzdělání</w:t>
            </w:r>
          </w:p>
        </w:tc>
      </w:tr>
      <w:tr w:rsidR="00E97297" w:rsidRPr="007856D1" w14:paraId="3FF7033C" w14:textId="77777777" w:rsidTr="00E97297">
        <w:trPr>
          <w:trHeight w:val="430"/>
        </w:trPr>
        <w:tc>
          <w:tcPr>
            <w:tcW w:w="4766" w:type="dxa"/>
            <w:shd w:val="clear" w:color="auto" w:fill="D9D9D9" w:themeFill="background1" w:themeFillShade="D9"/>
            <w:vAlign w:val="center"/>
          </w:tcPr>
          <w:p w14:paraId="4E5B18A6" w14:textId="77777777" w:rsidR="00E97297" w:rsidRPr="007856D1" w:rsidRDefault="00E97297" w:rsidP="00E97297">
            <w:pPr>
              <w:tabs>
                <w:tab w:val="left" w:pos="1418"/>
              </w:tabs>
              <w:rPr>
                <w:rFonts w:cs="Arial"/>
                <w:b/>
                <w:sz w:val="22"/>
                <w:szCs w:val="22"/>
              </w:rPr>
            </w:pPr>
            <w:r w:rsidRPr="007856D1">
              <w:rPr>
                <w:rFonts w:cs="Arial"/>
                <w:b/>
                <w:sz w:val="22"/>
                <w:szCs w:val="22"/>
              </w:rPr>
              <w:t>Zdravotní předpoklady</w:t>
            </w:r>
          </w:p>
        </w:tc>
        <w:tc>
          <w:tcPr>
            <w:tcW w:w="4734" w:type="dxa"/>
            <w:shd w:val="clear" w:color="auto" w:fill="FFFFFF" w:themeFill="background1"/>
            <w:vAlign w:val="center"/>
          </w:tcPr>
          <w:p w14:paraId="2C8660E7" w14:textId="6D90E407" w:rsidR="00E97297" w:rsidRPr="005A4D96" w:rsidRDefault="00E97297" w:rsidP="00E97297">
            <w:pPr>
              <w:tabs>
                <w:tab w:val="left" w:pos="1418"/>
              </w:tabs>
              <w:rPr>
                <w:rFonts w:cs="Arial"/>
                <w:sz w:val="22"/>
                <w:szCs w:val="22"/>
              </w:rPr>
            </w:pPr>
            <w:r w:rsidRPr="005A4D96">
              <w:rPr>
                <w:rFonts w:ascii="ArialMT" w:hAnsi="ArialMT" w:cs="ArialMT"/>
                <w:sz w:val="22"/>
                <w:szCs w:val="22"/>
              </w:rPr>
              <w:t>Zdravotní způsobilost posouzená lékařem</w:t>
            </w:r>
          </w:p>
        </w:tc>
      </w:tr>
      <w:tr w:rsidR="00E97297" w:rsidRPr="007856D1" w14:paraId="4DF49EFA" w14:textId="77777777" w:rsidTr="00E97297">
        <w:trPr>
          <w:trHeight w:val="430"/>
        </w:trPr>
        <w:tc>
          <w:tcPr>
            <w:tcW w:w="4766" w:type="dxa"/>
            <w:shd w:val="clear" w:color="auto" w:fill="D9D9D9" w:themeFill="background1" w:themeFillShade="D9"/>
            <w:vAlign w:val="center"/>
          </w:tcPr>
          <w:p w14:paraId="0243E5A6" w14:textId="77777777" w:rsidR="00E97297" w:rsidRPr="007856D1" w:rsidRDefault="00E97297" w:rsidP="00E97297">
            <w:pPr>
              <w:tabs>
                <w:tab w:val="left" w:pos="1418"/>
              </w:tabs>
              <w:rPr>
                <w:rFonts w:cs="Arial"/>
                <w:b/>
                <w:sz w:val="22"/>
                <w:szCs w:val="22"/>
              </w:rPr>
            </w:pPr>
            <w:r w:rsidRPr="007856D1">
              <w:rPr>
                <w:rFonts w:cs="Arial"/>
                <w:b/>
                <w:sz w:val="22"/>
                <w:szCs w:val="22"/>
              </w:rPr>
              <w:t>Další předpoklady</w:t>
            </w:r>
          </w:p>
        </w:tc>
        <w:tc>
          <w:tcPr>
            <w:tcW w:w="4734" w:type="dxa"/>
            <w:shd w:val="clear" w:color="auto" w:fill="FFFFFF" w:themeFill="background1"/>
            <w:vAlign w:val="center"/>
          </w:tcPr>
          <w:p w14:paraId="50BB876D" w14:textId="77777777" w:rsidR="00E97297" w:rsidRPr="005A4D96" w:rsidRDefault="00E97297" w:rsidP="00E97297">
            <w:pPr>
              <w:tabs>
                <w:tab w:val="left" w:pos="1418"/>
              </w:tabs>
              <w:rPr>
                <w:rFonts w:cs="Arial"/>
                <w:sz w:val="22"/>
                <w:szCs w:val="22"/>
              </w:rPr>
            </w:pPr>
          </w:p>
        </w:tc>
      </w:tr>
      <w:tr w:rsidR="00E97297" w:rsidRPr="007856D1" w14:paraId="36E644FA" w14:textId="77777777" w:rsidTr="00E97297">
        <w:trPr>
          <w:trHeight w:val="430"/>
        </w:trPr>
        <w:tc>
          <w:tcPr>
            <w:tcW w:w="4766" w:type="dxa"/>
            <w:shd w:val="clear" w:color="auto" w:fill="D9D9D9" w:themeFill="background1" w:themeFillShade="D9"/>
            <w:vAlign w:val="center"/>
          </w:tcPr>
          <w:p w14:paraId="3C83BB73" w14:textId="77777777" w:rsidR="00E97297" w:rsidRPr="007856D1" w:rsidRDefault="00E97297" w:rsidP="00E97297">
            <w:pPr>
              <w:tabs>
                <w:tab w:val="left" w:pos="1418"/>
              </w:tabs>
              <w:rPr>
                <w:rFonts w:cs="Arial"/>
                <w:b/>
                <w:sz w:val="22"/>
                <w:szCs w:val="22"/>
              </w:rPr>
            </w:pPr>
            <w:r w:rsidRPr="007856D1">
              <w:rPr>
                <w:rFonts w:cs="Arial"/>
                <w:b/>
                <w:sz w:val="22"/>
                <w:szCs w:val="22"/>
              </w:rPr>
              <w:t>Výstupní doklad</w:t>
            </w:r>
          </w:p>
        </w:tc>
        <w:tc>
          <w:tcPr>
            <w:tcW w:w="4734" w:type="dxa"/>
            <w:shd w:val="clear" w:color="auto" w:fill="FFFFFF" w:themeFill="background1"/>
            <w:vAlign w:val="center"/>
          </w:tcPr>
          <w:p w14:paraId="57D07569" w14:textId="6A88CEAF" w:rsidR="00E97297" w:rsidRPr="005A4D96" w:rsidRDefault="00E97297" w:rsidP="00E97297">
            <w:pPr>
              <w:tabs>
                <w:tab w:val="left" w:pos="1418"/>
              </w:tabs>
              <w:rPr>
                <w:rFonts w:cs="Arial"/>
                <w:sz w:val="22"/>
                <w:szCs w:val="22"/>
              </w:rPr>
            </w:pPr>
            <w:r w:rsidRPr="005A4D96">
              <w:rPr>
                <w:rFonts w:ascii="ArialMT" w:hAnsi="ArialMT" w:cs="ArialMT"/>
                <w:sz w:val="22"/>
                <w:szCs w:val="22"/>
              </w:rPr>
              <w:t xml:space="preserve">Svářečský průkaz, </w:t>
            </w:r>
            <w:r w:rsidRPr="005A4D96">
              <w:rPr>
                <w:rFonts w:ascii="Helvetica" w:hAnsi="Helvetica" w:cs="Helvetica"/>
                <w:sz w:val="22"/>
                <w:szCs w:val="22"/>
              </w:rPr>
              <w:t>o</w:t>
            </w:r>
            <w:r w:rsidRPr="005A4D96">
              <w:rPr>
                <w:rFonts w:ascii="ArialMT" w:hAnsi="ArialMT" w:cs="ArialMT"/>
                <w:sz w:val="22"/>
                <w:szCs w:val="22"/>
              </w:rPr>
              <w:t>svědčení</w:t>
            </w:r>
          </w:p>
        </w:tc>
      </w:tr>
      <w:tr w:rsidR="00E97297" w:rsidRPr="007856D1" w14:paraId="611A58E9" w14:textId="77777777" w:rsidTr="00E97297">
        <w:trPr>
          <w:trHeight w:val="430"/>
        </w:trPr>
        <w:tc>
          <w:tcPr>
            <w:tcW w:w="4766" w:type="dxa"/>
            <w:shd w:val="clear" w:color="auto" w:fill="D9D9D9" w:themeFill="background1" w:themeFillShade="D9"/>
            <w:vAlign w:val="center"/>
          </w:tcPr>
          <w:p w14:paraId="3AF0E903" w14:textId="77777777" w:rsidR="00E97297" w:rsidRPr="007856D1" w:rsidRDefault="00E97297" w:rsidP="00E97297">
            <w:pPr>
              <w:tabs>
                <w:tab w:val="left" w:pos="1418"/>
              </w:tabs>
              <w:rPr>
                <w:rFonts w:cs="Arial"/>
                <w:b/>
                <w:sz w:val="22"/>
                <w:szCs w:val="22"/>
              </w:rPr>
            </w:pPr>
            <w:r w:rsidRPr="007856D1">
              <w:rPr>
                <w:rFonts w:cs="Arial"/>
                <w:b/>
                <w:sz w:val="22"/>
                <w:szCs w:val="22"/>
              </w:rPr>
              <w:t>Rozsah rekvalifikace celkem (v hodinách)</w:t>
            </w:r>
          </w:p>
        </w:tc>
        <w:tc>
          <w:tcPr>
            <w:tcW w:w="4734" w:type="dxa"/>
            <w:shd w:val="clear" w:color="auto" w:fill="FFFFFF" w:themeFill="background1"/>
            <w:vAlign w:val="center"/>
          </w:tcPr>
          <w:p w14:paraId="59AAF198" w14:textId="1D6E1061" w:rsidR="00E97297" w:rsidRPr="005A4D96" w:rsidRDefault="00E97297" w:rsidP="00E97297">
            <w:pPr>
              <w:tabs>
                <w:tab w:val="left" w:pos="1418"/>
              </w:tabs>
              <w:rPr>
                <w:rFonts w:cs="Arial"/>
                <w:sz w:val="22"/>
                <w:szCs w:val="22"/>
              </w:rPr>
            </w:pPr>
            <w:r w:rsidRPr="005A4D96">
              <w:rPr>
                <w:rFonts w:cs="Arial"/>
                <w:sz w:val="22"/>
                <w:szCs w:val="22"/>
              </w:rPr>
              <w:t>152</w:t>
            </w:r>
          </w:p>
        </w:tc>
      </w:tr>
      <w:tr w:rsidR="00E97297" w:rsidRPr="007856D1" w14:paraId="2660F0FD" w14:textId="77777777" w:rsidTr="00E97297">
        <w:trPr>
          <w:trHeight w:val="430"/>
        </w:trPr>
        <w:tc>
          <w:tcPr>
            <w:tcW w:w="4766" w:type="dxa"/>
            <w:shd w:val="clear" w:color="auto" w:fill="D9D9D9" w:themeFill="background1" w:themeFillShade="D9"/>
            <w:vAlign w:val="center"/>
          </w:tcPr>
          <w:p w14:paraId="4AD1C014" w14:textId="77777777" w:rsidR="00E97297" w:rsidRPr="007856D1" w:rsidRDefault="00E97297" w:rsidP="00E97297">
            <w:pPr>
              <w:numPr>
                <w:ilvl w:val="0"/>
                <w:numId w:val="12"/>
              </w:numPr>
              <w:tabs>
                <w:tab w:val="left" w:pos="1418"/>
              </w:tabs>
              <w:ind w:left="176" w:hanging="142"/>
              <w:contextualSpacing/>
              <w:rPr>
                <w:rFonts w:cs="Arial"/>
                <w:b/>
                <w:sz w:val="22"/>
                <w:szCs w:val="22"/>
              </w:rPr>
            </w:pPr>
            <w:r w:rsidRPr="007856D1">
              <w:rPr>
                <w:rFonts w:cs="Arial"/>
                <w:b/>
                <w:sz w:val="22"/>
                <w:szCs w:val="22"/>
              </w:rPr>
              <w:t>Teoretická příprava</w:t>
            </w:r>
          </w:p>
        </w:tc>
        <w:tc>
          <w:tcPr>
            <w:tcW w:w="4734" w:type="dxa"/>
            <w:vAlign w:val="center"/>
          </w:tcPr>
          <w:p w14:paraId="2B66C2FC" w14:textId="227715EF" w:rsidR="00E97297" w:rsidRPr="005A4D96" w:rsidRDefault="00E97297" w:rsidP="00E97297">
            <w:pPr>
              <w:tabs>
                <w:tab w:val="left" w:pos="1418"/>
              </w:tabs>
              <w:contextualSpacing/>
              <w:rPr>
                <w:rFonts w:cs="Arial"/>
                <w:sz w:val="22"/>
                <w:szCs w:val="22"/>
              </w:rPr>
            </w:pPr>
            <w:r w:rsidRPr="005A4D96">
              <w:rPr>
                <w:rFonts w:cs="Arial"/>
                <w:sz w:val="22"/>
                <w:szCs w:val="22"/>
              </w:rPr>
              <w:t>40</w:t>
            </w:r>
          </w:p>
        </w:tc>
      </w:tr>
      <w:tr w:rsidR="00E97297" w:rsidRPr="007856D1" w14:paraId="41AD7934" w14:textId="77777777" w:rsidTr="00E97297">
        <w:trPr>
          <w:trHeight w:val="430"/>
        </w:trPr>
        <w:tc>
          <w:tcPr>
            <w:tcW w:w="4766" w:type="dxa"/>
            <w:shd w:val="clear" w:color="auto" w:fill="D9D9D9" w:themeFill="background1" w:themeFillShade="D9"/>
            <w:vAlign w:val="center"/>
          </w:tcPr>
          <w:p w14:paraId="7009D3D4" w14:textId="77777777" w:rsidR="00E97297" w:rsidRPr="007856D1" w:rsidRDefault="00E97297" w:rsidP="00E97297">
            <w:pPr>
              <w:numPr>
                <w:ilvl w:val="0"/>
                <w:numId w:val="12"/>
              </w:numPr>
              <w:tabs>
                <w:tab w:val="left" w:pos="1418"/>
              </w:tabs>
              <w:ind w:left="176" w:hanging="142"/>
              <w:contextualSpacing/>
              <w:rPr>
                <w:rFonts w:cs="Arial"/>
                <w:b/>
                <w:sz w:val="22"/>
                <w:szCs w:val="22"/>
              </w:rPr>
            </w:pPr>
            <w:r w:rsidRPr="007856D1">
              <w:rPr>
                <w:rFonts w:cs="Arial"/>
                <w:b/>
                <w:sz w:val="22"/>
                <w:szCs w:val="22"/>
              </w:rPr>
              <w:t>Praktická příprava</w:t>
            </w:r>
          </w:p>
        </w:tc>
        <w:tc>
          <w:tcPr>
            <w:tcW w:w="4734" w:type="dxa"/>
            <w:vAlign w:val="center"/>
          </w:tcPr>
          <w:p w14:paraId="2C1FE062" w14:textId="4D912A3F" w:rsidR="00E97297" w:rsidRPr="005A4D96" w:rsidRDefault="00E97297" w:rsidP="00E97297">
            <w:pPr>
              <w:tabs>
                <w:tab w:val="left" w:pos="1418"/>
              </w:tabs>
              <w:contextualSpacing/>
              <w:rPr>
                <w:rFonts w:cs="Arial"/>
                <w:sz w:val="22"/>
                <w:szCs w:val="22"/>
              </w:rPr>
            </w:pPr>
            <w:r w:rsidRPr="005A4D96">
              <w:rPr>
                <w:rFonts w:cs="Arial"/>
                <w:sz w:val="22"/>
                <w:szCs w:val="22"/>
              </w:rPr>
              <w:t>104</w:t>
            </w:r>
          </w:p>
        </w:tc>
      </w:tr>
      <w:tr w:rsidR="00E97297" w:rsidRPr="007856D1" w14:paraId="57E8479C" w14:textId="77777777" w:rsidTr="00E97297">
        <w:trPr>
          <w:trHeight w:val="430"/>
        </w:trPr>
        <w:tc>
          <w:tcPr>
            <w:tcW w:w="4766" w:type="dxa"/>
            <w:shd w:val="clear" w:color="auto" w:fill="D9D9D9" w:themeFill="background1" w:themeFillShade="D9"/>
            <w:vAlign w:val="center"/>
          </w:tcPr>
          <w:p w14:paraId="370F87F9" w14:textId="77777777" w:rsidR="00E97297" w:rsidRPr="007856D1" w:rsidRDefault="00E97297" w:rsidP="00E97297">
            <w:pPr>
              <w:numPr>
                <w:ilvl w:val="0"/>
                <w:numId w:val="12"/>
              </w:numPr>
              <w:tabs>
                <w:tab w:val="left" w:pos="1418"/>
              </w:tabs>
              <w:ind w:left="176" w:hanging="142"/>
              <w:contextualSpacing/>
              <w:rPr>
                <w:rFonts w:cs="Arial"/>
                <w:b/>
                <w:sz w:val="22"/>
                <w:szCs w:val="22"/>
              </w:rPr>
            </w:pPr>
            <w:r w:rsidRPr="007856D1">
              <w:rPr>
                <w:rFonts w:cs="Arial"/>
                <w:b/>
                <w:sz w:val="22"/>
                <w:szCs w:val="22"/>
              </w:rPr>
              <w:t>Způsob ověření získaných znalostí a dovedností</w:t>
            </w:r>
          </w:p>
        </w:tc>
        <w:tc>
          <w:tcPr>
            <w:tcW w:w="4734" w:type="dxa"/>
            <w:vAlign w:val="center"/>
          </w:tcPr>
          <w:p w14:paraId="561AF9E5" w14:textId="00044CEC" w:rsidR="00E97297" w:rsidRPr="005A4D96" w:rsidRDefault="00E97297" w:rsidP="00E97297">
            <w:pPr>
              <w:tabs>
                <w:tab w:val="left" w:pos="1418"/>
              </w:tabs>
              <w:contextualSpacing/>
              <w:rPr>
                <w:rFonts w:cs="Arial"/>
                <w:sz w:val="22"/>
                <w:szCs w:val="22"/>
              </w:rPr>
            </w:pPr>
            <w:r w:rsidRPr="005A4D96">
              <w:rPr>
                <w:rFonts w:ascii="ArialMT" w:hAnsi="ArialMT" w:cs="ArialMT"/>
                <w:sz w:val="22"/>
                <w:szCs w:val="22"/>
              </w:rPr>
              <w:t xml:space="preserve">8 h  </w:t>
            </w:r>
            <w:r w:rsidR="00AE7AF8" w:rsidRPr="005A4D96">
              <w:rPr>
                <w:rFonts w:ascii="ArialMT" w:hAnsi="ArialMT" w:cs="ArialMT"/>
                <w:sz w:val="22"/>
                <w:szCs w:val="22"/>
              </w:rPr>
              <w:t xml:space="preserve">  </w:t>
            </w:r>
            <w:r w:rsidR="005A4D96">
              <w:rPr>
                <w:rFonts w:ascii="ArialMT" w:hAnsi="ArialMT" w:cs="ArialMT"/>
                <w:sz w:val="22"/>
                <w:szCs w:val="22"/>
              </w:rPr>
              <w:t xml:space="preserve"> </w:t>
            </w:r>
            <w:r w:rsidR="00AE7AF8" w:rsidRPr="005A4D96">
              <w:rPr>
                <w:rFonts w:ascii="ArialMT" w:hAnsi="ArialMT" w:cs="ArialMT"/>
                <w:sz w:val="22"/>
                <w:szCs w:val="22"/>
              </w:rPr>
              <w:t xml:space="preserve"> </w:t>
            </w:r>
            <w:r w:rsidRPr="005A4D96">
              <w:rPr>
                <w:rFonts w:ascii="ArialMT" w:hAnsi="ArialMT" w:cs="ArialMT"/>
                <w:sz w:val="22"/>
                <w:szCs w:val="22"/>
              </w:rPr>
              <w:t>Závěrečné testy</w:t>
            </w:r>
          </w:p>
        </w:tc>
      </w:tr>
    </w:tbl>
    <w:p w14:paraId="05101433" w14:textId="77777777" w:rsidR="000C47FC" w:rsidRPr="007856D1" w:rsidRDefault="000C47FC" w:rsidP="00996982">
      <w:pPr>
        <w:pStyle w:val="Odstavecseseznamem"/>
        <w:spacing w:line="360" w:lineRule="auto"/>
        <w:ind w:left="0"/>
        <w:jc w:val="both"/>
        <w:rPr>
          <w:rFonts w:cs="Arial"/>
          <w:bCs/>
          <w:sz w:val="14"/>
          <w:szCs w:val="22"/>
          <w:lang w:eastAsia="cs-CZ"/>
        </w:rPr>
      </w:pPr>
    </w:p>
    <w:p w14:paraId="54E3AAEA" w14:textId="77777777"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3D20AA4D" w14:textId="77777777" w:rsidR="00F94DF3" w:rsidRPr="00171255" w:rsidRDefault="00F94DF3" w:rsidP="00171255">
      <w:pPr>
        <w:keepNext/>
        <w:spacing w:line="360" w:lineRule="auto"/>
        <w:jc w:val="center"/>
        <w:rPr>
          <w:rFonts w:cs="Arial"/>
          <w:b/>
          <w:sz w:val="18"/>
          <w:szCs w:val="22"/>
        </w:rPr>
      </w:pPr>
    </w:p>
    <w:p w14:paraId="293216E7"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01A567F9" w14:textId="77777777" w:rsidR="00DD5FF2" w:rsidRPr="006A3B00" w:rsidRDefault="00DD5FF2" w:rsidP="00171255">
      <w:pPr>
        <w:keepNext/>
        <w:spacing w:line="360" w:lineRule="auto"/>
        <w:jc w:val="center"/>
        <w:rPr>
          <w:rFonts w:cs="Arial"/>
          <w:b/>
          <w:sz w:val="14"/>
          <w:szCs w:val="22"/>
        </w:rPr>
      </w:pPr>
    </w:p>
    <w:p w14:paraId="41927CF2"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BD02051" w14:textId="5F458B11"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realizovat konkrétní rekvalifikační kurz v plném rozsahu za podmínek stanovených pro tento typ rekvalifikačního kurzu v článku II. </w:t>
      </w:r>
      <w:r w:rsidR="00646479" w:rsidRPr="007856D1">
        <w:rPr>
          <w:rFonts w:cs="Arial"/>
          <w:sz w:val="22"/>
          <w:szCs w:val="22"/>
        </w:rPr>
        <w:t xml:space="preserve">této </w:t>
      </w:r>
      <w:r w:rsidR="00C60EA7" w:rsidRPr="007856D1">
        <w:rPr>
          <w:rFonts w:cs="Arial"/>
          <w:bCs/>
          <w:sz w:val="22"/>
          <w:szCs w:val="22"/>
        </w:rPr>
        <w:t>Rámcové dohody</w:t>
      </w:r>
      <w:r w:rsidR="00646479" w:rsidRPr="007856D1">
        <w:rPr>
          <w:rFonts w:cs="Arial"/>
          <w:bCs/>
          <w:sz w:val="22"/>
          <w:szCs w:val="22"/>
        </w:rPr>
        <w:t xml:space="preserve"> a v</w:t>
      </w:r>
      <w:r w:rsidR="00200934" w:rsidRPr="007856D1">
        <w:rPr>
          <w:rFonts w:cs="Arial"/>
          <w:bCs/>
          <w:sz w:val="22"/>
          <w:szCs w:val="22"/>
        </w:rPr>
        <w:t> Zadávací dokumentaci</w:t>
      </w:r>
      <w:r w:rsidR="00646479" w:rsidRPr="007856D1">
        <w:rPr>
          <w:rFonts w:cs="Arial"/>
          <w:bCs/>
          <w:sz w:val="22"/>
          <w:szCs w:val="22"/>
        </w:rPr>
        <w:t xml:space="preserve"> zadávacího řízení </w:t>
      </w:r>
      <w:r w:rsidR="00FC28B4" w:rsidRPr="007856D1">
        <w:rPr>
          <w:rFonts w:cs="Arial"/>
          <w:bCs/>
          <w:sz w:val="22"/>
          <w:szCs w:val="22"/>
        </w:rPr>
        <w:t xml:space="preserve">v kapitole 2 - Základní informace o předmětu zakázky a obecné technické podmínky </w:t>
      </w:r>
      <w:r w:rsidR="00646479" w:rsidRPr="007856D1">
        <w:rPr>
          <w:rFonts w:cs="Arial"/>
          <w:sz w:val="22"/>
          <w:szCs w:val="22"/>
        </w:rPr>
        <w:t xml:space="preserve">v Příloze č. </w:t>
      </w:r>
      <w:r w:rsidR="001628C6">
        <w:rPr>
          <w:rFonts w:cs="Arial"/>
          <w:sz w:val="22"/>
          <w:szCs w:val="22"/>
        </w:rPr>
        <w:t>6</w:t>
      </w:r>
      <w:r w:rsidR="00CB0669" w:rsidRPr="007856D1">
        <w:rPr>
          <w:rFonts w:cs="Arial"/>
          <w:sz w:val="22"/>
          <w:szCs w:val="22"/>
        </w:rPr>
        <w:t xml:space="preserve"> Z</w:t>
      </w:r>
      <w:r w:rsidR="00646479" w:rsidRPr="007856D1">
        <w:rPr>
          <w:rFonts w:cs="Arial"/>
          <w:sz w:val="22"/>
          <w:szCs w:val="22"/>
        </w:rPr>
        <w:t xml:space="preserve">adávací dokumentace - Specifikace a technické podmínky </w:t>
      </w:r>
      <w:r w:rsidR="00F8098E" w:rsidRPr="007856D1">
        <w:rPr>
          <w:rFonts w:cs="Arial"/>
          <w:bCs/>
          <w:sz w:val="22"/>
          <w:szCs w:val="22"/>
        </w:rPr>
        <w:t xml:space="preserve">(viz Příloha č. </w:t>
      </w:r>
      <w:r w:rsidR="000F12A4" w:rsidRPr="007856D1">
        <w:rPr>
          <w:rFonts w:cs="Arial"/>
          <w:bCs/>
          <w:sz w:val="22"/>
          <w:szCs w:val="22"/>
        </w:rPr>
        <w:t>1</w:t>
      </w:r>
      <w:r w:rsidR="00FA4B8C" w:rsidRPr="007856D1">
        <w:rPr>
          <w:rFonts w:cs="Arial"/>
          <w:bCs/>
          <w:sz w:val="22"/>
          <w:szCs w:val="22"/>
        </w:rPr>
        <w:t xml:space="preserve"> této Rámcové dohody)</w:t>
      </w:r>
      <w:r w:rsidR="008427D7" w:rsidRPr="007856D1">
        <w:rPr>
          <w:rFonts w:cs="Arial"/>
          <w:sz w:val="22"/>
          <w:szCs w:val="22"/>
        </w:rPr>
        <w:t>,</w:t>
      </w:r>
    </w:p>
    <w:p w14:paraId="6A747E8B"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2278067" w14:textId="77777777"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je seznámit s předpisy o bezpečnosti a ochraně zdraví při práci a předpisy o požární ochraně </w:t>
      </w:r>
      <w:r w:rsidRPr="007856D1">
        <w:rPr>
          <w:rFonts w:cs="Arial"/>
          <w:sz w:val="22"/>
          <w:szCs w:val="22"/>
        </w:rPr>
        <w:lastRenderedPageBreak/>
        <w:t>mající vztah k rekvalifikaci, zajistit jejich bezpečnost a ochranu zdraví během celé rekvalifikace, vybavit účastníky rekvalifikace nezbytnými ochrannými pracovními prostředky, pokud to charakter praktické přípravy vyžaduje,</w:t>
      </w:r>
    </w:p>
    <w:p w14:paraId="1075A419" w14:textId="77777777"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0C24FACC"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1B621EE"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43405551"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1615E490"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60EE348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2D617B61"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0FC70066" w14:textId="77777777"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Pr="007856D1">
        <w:rPr>
          <w:rFonts w:cs="Arial"/>
          <w:sz w:val="22"/>
          <w:szCs w:val="22"/>
        </w:rPr>
        <w:t>,</w:t>
      </w:r>
    </w:p>
    <w:p w14:paraId="6066F975" w14:textId="77777777"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697CE461" w14:textId="77777777" w:rsidR="00B149EA" w:rsidRPr="007856D1"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7524623" w14:textId="77777777" w:rsidR="00D54167" w:rsidRPr="007856D1" w:rsidRDefault="00D54167" w:rsidP="00CB29FD">
      <w:pPr>
        <w:pStyle w:val="Zkladntextodsazen"/>
        <w:numPr>
          <w:ilvl w:val="0"/>
          <w:numId w:val="6"/>
        </w:numPr>
        <w:spacing w:after="0" w:line="360" w:lineRule="auto"/>
        <w:ind w:left="851" w:right="-1" w:hanging="284"/>
        <w:jc w:val="both"/>
        <w:rPr>
          <w:rFonts w:cs="Arial"/>
          <w:sz w:val="22"/>
          <w:szCs w:val="22"/>
        </w:rPr>
      </w:pPr>
      <w:r w:rsidRPr="007856D1">
        <w:rPr>
          <w:rFonts w:cs="Arial"/>
          <w:bCs/>
          <w:iCs/>
          <w:sz w:val="22"/>
          <w:szCs w:val="22"/>
          <w:lang w:eastAsia="x-none"/>
        </w:rPr>
        <w:t xml:space="preserve">po ukončení </w:t>
      </w:r>
      <w:r w:rsidRPr="007856D1">
        <w:rPr>
          <w:rFonts w:cs="Arial"/>
          <w:sz w:val="22"/>
          <w:szCs w:val="22"/>
        </w:rPr>
        <w:t xml:space="preserve">rekvalifikačního kurzu, nejpozději s fakturací zaslat objednateli </w:t>
      </w:r>
      <w:r w:rsidR="000C33CA" w:rsidRPr="007856D1">
        <w:rPr>
          <w:rFonts w:cs="Arial"/>
          <w:sz w:val="22"/>
          <w:szCs w:val="22"/>
          <w:lang w:eastAsia="x-none"/>
        </w:rPr>
        <w:t>originály prezenční listiny účastníků kurzu (denní evidence docházky),</w:t>
      </w:r>
      <w:r w:rsidR="00C27914" w:rsidRPr="007856D1">
        <w:rPr>
          <w:rFonts w:cs="Arial"/>
          <w:sz w:val="22"/>
          <w:szCs w:val="22"/>
          <w:lang w:eastAsia="x-none"/>
        </w:rPr>
        <w:t xml:space="preserve"> originál třídní knihy</w:t>
      </w:r>
      <w:r w:rsidR="000C33CA" w:rsidRPr="007856D1">
        <w:rPr>
          <w:rFonts w:cs="Arial"/>
          <w:sz w:val="22"/>
          <w:szCs w:val="22"/>
          <w:lang w:eastAsia="x-none"/>
        </w:rPr>
        <w:t xml:space="preserve"> a </w:t>
      </w:r>
      <w:r w:rsidRPr="007856D1">
        <w:rPr>
          <w:rFonts w:cs="Arial"/>
          <w:sz w:val="22"/>
          <w:szCs w:val="22"/>
        </w:rPr>
        <w:t>závěrečný protokol, který bude minimálně obsahovat</w:t>
      </w:r>
      <w:r w:rsidR="00F11A2F" w:rsidRPr="007856D1">
        <w:rPr>
          <w:rFonts w:cs="Arial"/>
          <w:sz w:val="22"/>
          <w:szCs w:val="22"/>
        </w:rPr>
        <w:t>:</w:t>
      </w:r>
    </w:p>
    <w:p w14:paraId="2A5991F2"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940B3AD"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5239C79E" w14:textId="77777777" w:rsidR="00B149EA" w:rsidRPr="007856D1"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kontroly než </w:t>
      </w:r>
      <w:r w:rsidR="00946E10" w:rsidRPr="007856D1">
        <w:rPr>
          <w:rFonts w:cs="Arial"/>
          <w:sz w:val="22"/>
          <w:szCs w:val="22"/>
        </w:rPr>
        <w:t>objednatel</w:t>
      </w:r>
      <w:r w:rsidRPr="007856D1">
        <w:rPr>
          <w:rFonts w:cs="Arial"/>
          <w:sz w:val="22"/>
          <w:szCs w:val="22"/>
        </w:rPr>
        <w:t xml:space="preserve">, rekvalifikační zařízení bude bez zbytečného odkladu písemně informovat </w:t>
      </w:r>
      <w:r w:rsidR="00946E10" w:rsidRPr="007856D1">
        <w:rPr>
          <w:rFonts w:cs="Arial"/>
          <w:sz w:val="22"/>
          <w:szCs w:val="22"/>
        </w:rPr>
        <w:t>objednatele</w:t>
      </w:r>
      <w:r w:rsidRPr="007856D1">
        <w:rPr>
          <w:rFonts w:cs="Arial"/>
          <w:sz w:val="22"/>
          <w:szCs w:val="22"/>
        </w:rPr>
        <w:t xml:space="preserve"> o opatřeních k nápravě, která mu byla uložena, a</w:t>
      </w:r>
      <w:r w:rsidR="00550F85" w:rsidRPr="007856D1">
        <w:rPr>
          <w:rFonts w:cs="Arial"/>
          <w:sz w:val="22"/>
          <w:szCs w:val="22"/>
        </w:rPr>
        <w:t xml:space="preserve"> o realizaci opatření k nápravě,</w:t>
      </w:r>
    </w:p>
    <w:p w14:paraId="0DABD517" w14:textId="77777777" w:rsidR="000F32EE" w:rsidRDefault="00200934" w:rsidP="000F32EE">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v </w:t>
      </w:r>
      <w:r w:rsidRPr="007856D1">
        <w:rPr>
          <w:rFonts w:cs="Arial"/>
          <w:bCs/>
          <w:sz w:val="22"/>
          <w:szCs w:val="22"/>
        </w:rPr>
        <w:t>případě potřeby je dodavatel povinen zajistit souběžnou realizaci rekvalifik</w:t>
      </w:r>
      <w:r w:rsidR="00EE0E9A">
        <w:rPr>
          <w:rFonts w:cs="Arial"/>
          <w:bCs/>
          <w:sz w:val="22"/>
          <w:szCs w:val="22"/>
        </w:rPr>
        <w:t>ačních kurzů</w:t>
      </w:r>
      <w:r w:rsidR="00E40AFB">
        <w:rPr>
          <w:rFonts w:cs="Arial"/>
          <w:bCs/>
          <w:sz w:val="22"/>
          <w:szCs w:val="22"/>
        </w:rPr>
        <w:t>,</w:t>
      </w:r>
      <w:r w:rsidR="00EE0E9A">
        <w:rPr>
          <w:rFonts w:cs="Arial"/>
          <w:bCs/>
          <w:sz w:val="22"/>
          <w:szCs w:val="22"/>
        </w:rPr>
        <w:t xml:space="preserve"> (v tomto případě je nutné zajistit dokumenty dle písm. i) tohoto bodu pro každý </w:t>
      </w:r>
      <w:r w:rsidR="000F32EE">
        <w:rPr>
          <w:rFonts w:cs="Arial"/>
          <w:bCs/>
          <w:sz w:val="22"/>
          <w:szCs w:val="22"/>
        </w:rPr>
        <w:t xml:space="preserve">projekt v rámci </w:t>
      </w:r>
      <w:r w:rsidR="00EE0E9A">
        <w:rPr>
          <w:rFonts w:cs="Arial"/>
          <w:bCs/>
          <w:sz w:val="22"/>
          <w:szCs w:val="22"/>
        </w:rPr>
        <w:t>rekvalifikační</w:t>
      </w:r>
      <w:r w:rsidR="000F32EE">
        <w:rPr>
          <w:rFonts w:cs="Arial"/>
          <w:bCs/>
          <w:sz w:val="22"/>
          <w:szCs w:val="22"/>
        </w:rPr>
        <w:t>ho</w:t>
      </w:r>
      <w:r w:rsidR="00EE0E9A">
        <w:rPr>
          <w:rFonts w:cs="Arial"/>
          <w:bCs/>
          <w:sz w:val="22"/>
          <w:szCs w:val="22"/>
        </w:rPr>
        <w:t xml:space="preserve"> kurz</w:t>
      </w:r>
      <w:r w:rsidR="000F32EE">
        <w:rPr>
          <w:rFonts w:cs="Arial"/>
          <w:bCs/>
          <w:sz w:val="22"/>
          <w:szCs w:val="22"/>
        </w:rPr>
        <w:t>u</w:t>
      </w:r>
      <w:r w:rsidR="00EE0E9A">
        <w:rPr>
          <w:rFonts w:cs="Arial"/>
          <w:bCs/>
          <w:sz w:val="22"/>
          <w:szCs w:val="22"/>
        </w:rPr>
        <w:t xml:space="preserve"> samostatně),</w:t>
      </w:r>
    </w:p>
    <w:p w14:paraId="141A7AEC" w14:textId="77777777" w:rsidR="00B149EA" w:rsidRPr="007856D1" w:rsidRDefault="00200934"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lastRenderedPageBreak/>
        <w:t xml:space="preserve">jakákoliv změna místa </w:t>
      </w:r>
      <w:r w:rsidR="00D54167" w:rsidRPr="007856D1">
        <w:rPr>
          <w:rFonts w:cs="Arial"/>
          <w:sz w:val="22"/>
          <w:szCs w:val="22"/>
        </w:rPr>
        <w:t xml:space="preserve">konání kurzu </w:t>
      </w:r>
      <w:r w:rsidRPr="007856D1">
        <w:rPr>
          <w:rFonts w:cs="Arial"/>
          <w:sz w:val="22"/>
          <w:szCs w:val="22"/>
        </w:rPr>
        <w:t>musí být dodavatelem písemně ohlášena objednateli v dostatečném předstihu před zahájením každého rekvalifikačního kurzu, nejpozději 7 kalendářních dnů přede dn</w:t>
      </w:r>
      <w:r w:rsidR="00D54167" w:rsidRPr="007856D1">
        <w:rPr>
          <w:rFonts w:cs="Arial"/>
          <w:sz w:val="22"/>
          <w:szCs w:val="22"/>
        </w:rPr>
        <w:t>em, kdy tato skutečnost nastane. Změna může být provedena pouze se souhlasem objednatele,</w:t>
      </w:r>
    </w:p>
    <w:p w14:paraId="56EA5F9D" w14:textId="77777777" w:rsidR="00D04911" w:rsidRPr="007856D1" w:rsidRDefault="00D0491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nastanou-li během účinnosti této </w:t>
      </w:r>
      <w:proofErr w:type="spellStart"/>
      <w:r w:rsidRPr="007856D1">
        <w:rPr>
          <w:rFonts w:cs="Arial"/>
          <w:sz w:val="22"/>
          <w:szCs w:val="22"/>
          <w:lang w:val="en-US"/>
        </w:rPr>
        <w:t>Rámcové</w:t>
      </w:r>
      <w:proofErr w:type="spellEnd"/>
      <w:r w:rsidRPr="007856D1">
        <w:rPr>
          <w:rFonts w:cs="Arial"/>
          <w:sz w:val="22"/>
          <w:szCs w:val="22"/>
          <w:lang w:val="en-US"/>
        </w:rPr>
        <w:t xml:space="preserve"> </w:t>
      </w:r>
      <w:proofErr w:type="spellStart"/>
      <w:r w:rsidRPr="007856D1">
        <w:rPr>
          <w:rFonts w:cs="Arial"/>
          <w:sz w:val="22"/>
          <w:szCs w:val="22"/>
          <w:lang w:val="en-US"/>
        </w:rPr>
        <w:t>dohody</w:t>
      </w:r>
      <w:proofErr w:type="spellEnd"/>
      <w:r w:rsidRPr="007856D1">
        <w:rPr>
          <w:rFonts w:cs="Arial"/>
          <w:sz w:val="22"/>
          <w:szCs w:val="22"/>
        </w:rPr>
        <w:t xml:space="preserve"> jakékoli změny v</w:t>
      </w:r>
      <w:r w:rsidR="00E40AFB">
        <w:rPr>
          <w:rFonts w:cs="Arial"/>
          <w:sz w:val="22"/>
          <w:szCs w:val="22"/>
        </w:rPr>
        <w:t xml:space="preserve"> profesní způsobilosti </w:t>
      </w:r>
      <w:r w:rsidR="00A207E2" w:rsidRPr="007856D1">
        <w:rPr>
          <w:rFonts w:cs="Arial"/>
          <w:sz w:val="22"/>
          <w:szCs w:val="22"/>
        </w:rPr>
        <w:t>dle § 77 odst. 2 ZZVZ</w:t>
      </w:r>
      <w:r w:rsidRPr="007856D1">
        <w:rPr>
          <w:rFonts w:cs="Arial"/>
          <w:sz w:val="22"/>
          <w:szCs w:val="22"/>
        </w:rPr>
        <w:t xml:space="preserve">, které dodavatel ve své nabídce prokazoval, je dodavatel sám bez předchozí výzvy objednatele povinen písemně před uplynutím doby, po kterou </w:t>
      </w:r>
      <w:r w:rsidR="00E40AFB">
        <w:rPr>
          <w:rFonts w:cs="Arial"/>
          <w:sz w:val="22"/>
          <w:szCs w:val="22"/>
        </w:rPr>
        <w:t xml:space="preserve">danou způsobilost </w:t>
      </w:r>
      <w:r w:rsidRPr="007856D1">
        <w:rPr>
          <w:rFonts w:cs="Arial"/>
          <w:sz w:val="22"/>
          <w:szCs w:val="22"/>
        </w:rPr>
        <w:t xml:space="preserve">splňuje, předložit objednateli s předstihem relevantní dokumenty dokládající splnění </w:t>
      </w:r>
      <w:r w:rsidR="00414B2F">
        <w:rPr>
          <w:rFonts w:cs="Arial"/>
          <w:sz w:val="22"/>
          <w:szCs w:val="22"/>
        </w:rPr>
        <w:t>příslušné části kvalifikace.</w:t>
      </w:r>
    </w:p>
    <w:p w14:paraId="7862E67E" w14:textId="77777777" w:rsidR="00996982" w:rsidRDefault="00550F85" w:rsidP="00CB29FD">
      <w:pPr>
        <w:pStyle w:val="Odstavecseseznamem"/>
        <w:numPr>
          <w:ilvl w:val="1"/>
          <w:numId w:val="15"/>
        </w:numPr>
        <w:spacing w:line="360" w:lineRule="auto"/>
        <w:ind w:left="567" w:right="-1" w:hanging="567"/>
        <w:jc w:val="both"/>
        <w:rPr>
          <w:rFonts w:cs="Arial"/>
          <w:bCs/>
          <w:sz w:val="22"/>
          <w:szCs w:val="22"/>
          <w:lang w:eastAsia="cs-CZ"/>
        </w:rPr>
      </w:pPr>
      <w:r w:rsidRPr="007856D1">
        <w:rPr>
          <w:rFonts w:cs="Arial"/>
          <w:bCs/>
          <w:sz w:val="22"/>
          <w:szCs w:val="22"/>
          <w:lang w:eastAsia="cs-CZ"/>
        </w:rPr>
        <w:t>Objednatel se zavazuje provést výběr účastníků rek</w:t>
      </w:r>
      <w:r w:rsidR="00E40AFB">
        <w:rPr>
          <w:rFonts w:cs="Arial"/>
          <w:bCs/>
          <w:sz w:val="22"/>
          <w:szCs w:val="22"/>
          <w:lang w:eastAsia="cs-CZ"/>
        </w:rPr>
        <w:t>valifikačního kurzu v souladu s požadavky základní způsobilosti</w:t>
      </w:r>
      <w:r w:rsidRPr="007856D1">
        <w:rPr>
          <w:rFonts w:cs="Arial"/>
          <w:bCs/>
          <w:sz w:val="22"/>
          <w:szCs w:val="22"/>
          <w:lang w:eastAsia="cs-CZ"/>
        </w:rPr>
        <w:t xml:space="preserve"> stanovenými v článku II. této </w:t>
      </w:r>
      <w:r w:rsidR="008427D7" w:rsidRPr="007856D1">
        <w:rPr>
          <w:rFonts w:cs="Arial"/>
          <w:bCs/>
          <w:sz w:val="22"/>
          <w:szCs w:val="22"/>
          <w:lang w:eastAsia="cs-CZ"/>
        </w:rPr>
        <w:t>Rámcové dohody.</w:t>
      </w:r>
    </w:p>
    <w:p w14:paraId="05317586"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557651FF"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373485F2" w14:textId="77777777" w:rsidR="007D5B18" w:rsidRPr="006A3B00" w:rsidRDefault="007D5B18" w:rsidP="00171255">
      <w:pPr>
        <w:keepNext/>
        <w:spacing w:line="360" w:lineRule="auto"/>
        <w:jc w:val="center"/>
        <w:rPr>
          <w:rFonts w:cs="Arial"/>
          <w:b/>
          <w:sz w:val="14"/>
          <w:szCs w:val="22"/>
        </w:rPr>
      </w:pPr>
    </w:p>
    <w:p w14:paraId="75035460" w14:textId="7777777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856D1">
        <w:rPr>
          <w:rFonts w:cs="Arial"/>
          <w:bCs/>
          <w:sz w:val="22"/>
          <w:szCs w:val="22"/>
        </w:rPr>
        <w:t>.</w:t>
      </w:r>
    </w:p>
    <w:p w14:paraId="1BC8E14F" w14:textId="7777777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zaslat dodavateli výzvu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výzvě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výzvy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478660D" w14:textId="77777777"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se zaručeným elektronickým podpisem nebo prostřednictvím provozovatele poštovních služeb. V těchto věcech jsou kontaktními osobami za objednatele všichni zaměstnanci, u nichž to vyplývá z pracovního zařazení.</w:t>
      </w:r>
    </w:p>
    <w:p w14:paraId="19EFA5BD"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19B61329" w14:textId="77777777" w:rsidR="00311D96" w:rsidRPr="007856D1"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7909DB04"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Cena, termín plnění</w:t>
      </w:r>
      <w:r w:rsidR="00BE00EE" w:rsidRPr="0016777C">
        <w:rPr>
          <w:color w:val="FFFFFF" w:themeColor="background1"/>
          <w:sz w:val="22"/>
          <w:szCs w:val="22"/>
        </w:rPr>
        <w:t xml:space="preserve"> a platební podmínky</w:t>
      </w:r>
    </w:p>
    <w:p w14:paraId="0A242177" w14:textId="77777777" w:rsidR="007D5B18" w:rsidRPr="006A3B00" w:rsidRDefault="007D5B18" w:rsidP="00171255">
      <w:pPr>
        <w:keepNext/>
        <w:spacing w:line="360" w:lineRule="auto"/>
        <w:jc w:val="center"/>
        <w:rPr>
          <w:rFonts w:cs="Arial"/>
          <w:b/>
          <w:sz w:val="14"/>
          <w:szCs w:val="22"/>
        </w:rPr>
      </w:pPr>
    </w:p>
    <w:p w14:paraId="27249332" w14:textId="77777777"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14:paraId="412FAB26" w14:textId="5EE42438"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CA5864">
        <w:rPr>
          <w:rFonts w:cs="Arial"/>
          <w:sz w:val="22"/>
          <w:szCs w:val="22"/>
        </w:rPr>
        <w:t>7 840</w:t>
      </w:r>
      <w:r w:rsidR="00E97297" w:rsidRPr="005A4D96">
        <w:rPr>
          <w:rFonts w:cs="Arial"/>
          <w:sz w:val="22"/>
          <w:szCs w:val="22"/>
        </w:rPr>
        <w:t xml:space="preserve"> 000,- Kč</w:t>
      </w:r>
      <w:r w:rsidR="00E97297" w:rsidRPr="00171255">
        <w:rPr>
          <w:rFonts w:cs="Arial"/>
          <w:sz w:val="22"/>
          <w:szCs w:val="22"/>
        </w:rPr>
        <w:t xml:space="preserve"> </w:t>
      </w:r>
      <w:r w:rsidR="00865095" w:rsidRPr="00171255">
        <w:rPr>
          <w:rFonts w:cs="Arial"/>
          <w:sz w:val="22"/>
          <w:szCs w:val="22"/>
        </w:rPr>
        <w:t>bez DPH</w:t>
      </w:r>
      <w:r w:rsidR="00B54E64" w:rsidRPr="00171255">
        <w:rPr>
          <w:rFonts w:cs="Arial"/>
          <w:sz w:val="22"/>
          <w:szCs w:val="22"/>
        </w:rPr>
        <w:t>.</w:t>
      </w:r>
      <w:r w:rsidR="00DA5551" w:rsidRPr="00171255">
        <w:rPr>
          <w:rFonts w:cs="Arial"/>
          <w:sz w:val="22"/>
          <w:szCs w:val="22"/>
        </w:rPr>
        <w:t xml:space="preserve"> (bude doplněna částka rovnající se </w:t>
      </w:r>
      <w:r w:rsidR="00DA5551" w:rsidRPr="00171255">
        <w:rPr>
          <w:rFonts w:cs="Arial"/>
          <w:bCs/>
          <w:sz w:val="22"/>
          <w:szCs w:val="22"/>
        </w:rPr>
        <w:t>maximální hodnotě plnění podle předpokládané hodnoty části VZ uvedené v</w:t>
      </w:r>
      <w:r w:rsidR="00B54E64" w:rsidRPr="00171255">
        <w:rPr>
          <w:rFonts w:cs="Arial"/>
          <w:bCs/>
          <w:sz w:val="22"/>
          <w:szCs w:val="22"/>
        </w:rPr>
        <w:t xml:space="preserve"> zadávací dokumentaci </w:t>
      </w:r>
      <w:r w:rsidR="00DA5551" w:rsidRPr="00171255">
        <w:rPr>
          <w:rFonts w:cs="Arial"/>
          <w:bCs/>
          <w:sz w:val="22"/>
          <w:szCs w:val="22"/>
        </w:rPr>
        <w:t>v tabulce „Přehled rozdělení veřejné zakázky do jednotlivých částí a předpokládaných hodnot těchto částí“</w:t>
      </w:r>
      <w:r w:rsidR="00B54E64" w:rsidRPr="00171255">
        <w:rPr>
          <w:rFonts w:cs="Arial"/>
          <w:bCs/>
          <w:sz w:val="22"/>
          <w:szCs w:val="22"/>
        </w:rPr>
        <w:t>)</w:t>
      </w:r>
      <w:r w:rsidR="00693CD1" w:rsidRPr="00171255">
        <w:rPr>
          <w:rFonts w:cs="Arial"/>
          <w:bCs/>
          <w:sz w:val="22"/>
          <w:szCs w:val="22"/>
        </w:rPr>
        <w:t>.</w:t>
      </w:r>
    </w:p>
    <w:p w14:paraId="5CC59D4E" w14:textId="77777777"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 xml:space="preserve">ámcové dohody. Ceny lze překročit pouze v případě změny daňových předpisů, v jejichž důsledku by byl dodavatel povinen odvádět DPH, případně vyšší DPH. Ceny by tak byly navýšeny o </w:t>
      </w:r>
      <w:r w:rsidR="00694249" w:rsidRPr="007856D1">
        <w:rPr>
          <w:rFonts w:cs="Arial"/>
          <w:bCs/>
          <w:sz w:val="22"/>
          <w:szCs w:val="22"/>
          <w:lang w:eastAsia="cs-CZ"/>
        </w:rPr>
        <w:t>odváděnou DPH.</w:t>
      </w:r>
    </w:p>
    <w:p w14:paraId="2430A4A3" w14:textId="6B219649"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provede fakturaci bezprostředně, nejpozději do 14 dnů po ukončení rekvalifikačního kurzu. Lhůta splatnosti faktur je stanovena minimálně na </w:t>
      </w:r>
      <w:r w:rsidR="004A1173" w:rsidRPr="007856D1">
        <w:rPr>
          <w:rFonts w:cs="Arial"/>
          <w:bCs/>
          <w:sz w:val="22"/>
          <w:szCs w:val="22"/>
          <w:lang w:eastAsia="cs-CZ"/>
        </w:rPr>
        <w:t>30</w:t>
      </w:r>
      <w:r w:rsidRPr="007856D1">
        <w:rPr>
          <w:rFonts w:cs="Arial"/>
          <w:bCs/>
          <w:sz w:val="22"/>
          <w:szCs w:val="22"/>
          <w:lang w:eastAsia="cs-CZ"/>
        </w:rPr>
        <w:t xml:space="preserve"> kalendářních dnů po</w:t>
      </w:r>
      <w:r w:rsidR="00A65CF8" w:rsidRPr="007856D1">
        <w:rPr>
          <w:rFonts w:cs="Arial"/>
          <w:bCs/>
          <w:sz w:val="22"/>
          <w:szCs w:val="22"/>
          <w:lang w:eastAsia="cs-CZ"/>
        </w:rPr>
        <w:t xml:space="preserve"> prokazatelném</w:t>
      </w:r>
      <w:r w:rsidRPr="007856D1">
        <w:rPr>
          <w:rFonts w:cs="Arial"/>
          <w:bCs/>
          <w:sz w:val="22"/>
          <w:szCs w:val="22"/>
          <w:lang w:eastAsia="cs-CZ"/>
        </w:rPr>
        <w:t xml:space="preserve"> doručení faktury objednateli. </w:t>
      </w:r>
      <w:r w:rsidRPr="007856D1">
        <w:rPr>
          <w:rFonts w:cs="Arial"/>
          <w:bCs/>
          <w:iCs/>
          <w:sz w:val="22"/>
          <w:szCs w:val="22"/>
          <w:lang w:eastAsia="cs-CZ"/>
        </w:rPr>
        <w:t xml:space="preserve">Zaplacením faktury se pro účely této </w:t>
      </w:r>
      <w:r w:rsidRPr="007856D1">
        <w:rPr>
          <w:rFonts w:cs="Arial"/>
          <w:bCs/>
          <w:sz w:val="22"/>
          <w:szCs w:val="22"/>
          <w:lang w:eastAsia="cs-CZ"/>
        </w:rPr>
        <w:t>Rámcové dohody</w:t>
      </w:r>
      <w:r w:rsidRPr="007856D1">
        <w:rPr>
          <w:rFonts w:cs="Arial"/>
          <w:bCs/>
          <w:iCs/>
          <w:sz w:val="22"/>
          <w:szCs w:val="22"/>
          <w:lang w:eastAsia="cs-CZ"/>
        </w:rPr>
        <w:t xml:space="preserve"> rozumí </w:t>
      </w:r>
      <w:r w:rsidR="00226C58">
        <w:rPr>
          <w:rFonts w:cs="Arial"/>
          <w:bCs/>
          <w:iCs/>
          <w:sz w:val="22"/>
          <w:szCs w:val="22"/>
          <w:lang w:eastAsia="cs-CZ"/>
        </w:rPr>
        <w:t xml:space="preserve">připsání </w:t>
      </w:r>
      <w:r w:rsidRPr="007856D1">
        <w:rPr>
          <w:rFonts w:cs="Arial"/>
          <w:bCs/>
          <w:iCs/>
          <w:sz w:val="22"/>
          <w:szCs w:val="22"/>
          <w:lang w:eastAsia="cs-CZ"/>
        </w:rPr>
        <w:t xml:space="preserve">příslušné částky  na účet dodavatele. </w:t>
      </w:r>
    </w:p>
    <w:p w14:paraId="7928B8E2"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2A49B4BB"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68A742DF"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73BD5627" w14:textId="77777777" w:rsidR="00B149EA" w:rsidRPr="007856D1"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Faktury budou </w:t>
      </w:r>
      <w:r w:rsidR="00746586" w:rsidRPr="007856D1">
        <w:rPr>
          <w:rFonts w:cs="Arial"/>
          <w:bCs/>
          <w:sz w:val="22"/>
          <w:szCs w:val="22"/>
          <w:lang w:eastAsia="cs-CZ"/>
        </w:rPr>
        <w:t xml:space="preserve">vystaveny na fakturační adresu uvedenou v záhlaví této Rámcové dohody a </w:t>
      </w:r>
      <w:r w:rsidRPr="007856D1">
        <w:rPr>
          <w:rFonts w:cs="Arial"/>
          <w:bCs/>
          <w:sz w:val="22"/>
          <w:szCs w:val="22"/>
          <w:lang w:eastAsia="cs-CZ"/>
        </w:rPr>
        <w:t xml:space="preserve">zasílány na příslušná kontaktní </w:t>
      </w:r>
      <w:r w:rsidR="00D16CEA" w:rsidRPr="007856D1">
        <w:rPr>
          <w:rFonts w:cs="Arial"/>
          <w:bCs/>
          <w:sz w:val="22"/>
          <w:szCs w:val="22"/>
          <w:lang w:eastAsia="cs-CZ"/>
        </w:rPr>
        <w:t>pracoviště objednatele.</w:t>
      </w:r>
    </w:p>
    <w:p w14:paraId="419EFAA6" w14:textId="77777777" w:rsidR="00B149EA" w:rsidRPr="007856D1" w:rsidRDefault="00D5416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sz w:val="22"/>
          <w:szCs w:val="22"/>
        </w:rPr>
        <w:t xml:space="preserve">Dodavatel je oprávněn </w:t>
      </w:r>
      <w:r w:rsidR="00A65CF8" w:rsidRPr="007856D1">
        <w:rPr>
          <w:rFonts w:cs="Arial"/>
          <w:sz w:val="22"/>
          <w:szCs w:val="22"/>
        </w:rPr>
        <w:t>o</w:t>
      </w:r>
      <w:r w:rsidRPr="007856D1">
        <w:rPr>
          <w:rFonts w:cs="Arial"/>
          <w:sz w:val="22"/>
          <w:szCs w:val="22"/>
        </w:rPr>
        <w:t>bjednateli plně fakturovat náklady rekvalifikačního kurzu za účastníky, kteří na rekvalifikační kurz skutečně nastoupí</w:t>
      </w:r>
      <w:r w:rsidR="00EA351D" w:rsidRPr="007856D1">
        <w:rPr>
          <w:rFonts w:cs="Arial"/>
          <w:sz w:val="22"/>
          <w:szCs w:val="22"/>
        </w:rPr>
        <w:t xml:space="preserve"> </w:t>
      </w:r>
      <w:r w:rsidR="00D16CEA" w:rsidRPr="007856D1">
        <w:rPr>
          <w:rFonts w:cs="Arial"/>
          <w:sz w:val="22"/>
          <w:szCs w:val="22"/>
        </w:rPr>
        <w:t xml:space="preserve">a řádně ho ukončí </w:t>
      </w:r>
      <w:r w:rsidR="00EA351D" w:rsidRPr="007856D1">
        <w:rPr>
          <w:rFonts w:cs="Arial"/>
          <w:sz w:val="22"/>
          <w:szCs w:val="22"/>
        </w:rPr>
        <w:t xml:space="preserve">a </w:t>
      </w:r>
      <w:r w:rsidR="00D16CEA" w:rsidRPr="007856D1">
        <w:rPr>
          <w:rFonts w:cs="Arial"/>
          <w:sz w:val="22"/>
          <w:szCs w:val="22"/>
        </w:rPr>
        <w:t xml:space="preserve">současně </w:t>
      </w:r>
      <w:r w:rsidR="00EA351D" w:rsidRPr="007856D1">
        <w:rPr>
          <w:rFonts w:cs="Arial"/>
          <w:sz w:val="22"/>
          <w:szCs w:val="22"/>
        </w:rPr>
        <w:t>prokazatelně absolvují minimálně 80% docházky z celkového rozsahu hodin rekvalifikačního kurzu</w:t>
      </w:r>
      <w:r w:rsidRPr="007856D1">
        <w:rPr>
          <w:rFonts w:cs="Arial"/>
          <w:sz w:val="22"/>
          <w:szCs w:val="22"/>
        </w:rPr>
        <w:t xml:space="preserve">. V případě, že účastník rekvalifikační kurz nedokončí, je </w:t>
      </w:r>
      <w:r w:rsidR="00A65CF8" w:rsidRPr="007856D1">
        <w:rPr>
          <w:rFonts w:cs="Arial"/>
          <w:sz w:val="22"/>
          <w:szCs w:val="22"/>
        </w:rPr>
        <w:t>d</w:t>
      </w:r>
      <w:r w:rsidRPr="007856D1">
        <w:rPr>
          <w:rFonts w:cs="Arial"/>
          <w:sz w:val="22"/>
          <w:szCs w:val="22"/>
        </w:rPr>
        <w:t xml:space="preserve">odavatel oprávněn fakturovat </w:t>
      </w:r>
      <w:r w:rsidR="00A65CF8" w:rsidRPr="007856D1">
        <w:rPr>
          <w:rFonts w:cs="Arial"/>
          <w:sz w:val="22"/>
          <w:szCs w:val="22"/>
        </w:rPr>
        <w:lastRenderedPageBreak/>
        <w:t>o</w:t>
      </w:r>
      <w:r w:rsidRPr="007856D1">
        <w:rPr>
          <w:rFonts w:cs="Arial"/>
          <w:sz w:val="22"/>
          <w:szCs w:val="22"/>
        </w:rPr>
        <w:t xml:space="preserve">bjednateli pouze poměrnou část nákladů rekvalifikačního </w:t>
      </w:r>
      <w:r w:rsidR="00BD7B84" w:rsidRPr="007856D1">
        <w:rPr>
          <w:rFonts w:cs="Arial"/>
          <w:sz w:val="22"/>
          <w:szCs w:val="22"/>
        </w:rPr>
        <w:t xml:space="preserve">kurzu </w:t>
      </w:r>
      <w:r w:rsidR="00AC3639" w:rsidRPr="007856D1">
        <w:rPr>
          <w:rFonts w:cs="Arial"/>
          <w:sz w:val="22"/>
          <w:szCs w:val="22"/>
        </w:rPr>
        <w:t>(c</w:t>
      </w:r>
      <w:r w:rsidR="00A65CF8" w:rsidRPr="007856D1">
        <w:rPr>
          <w:rFonts w:cs="Arial"/>
          <w:sz w:val="22"/>
          <w:szCs w:val="22"/>
        </w:rPr>
        <w:t>ena za osobu / celkový počet hodin rekvalifikačního kurzu x skutečný počet absolvovaných hodin</w:t>
      </w:r>
      <w:r w:rsidR="00AC3639" w:rsidRPr="007856D1">
        <w:rPr>
          <w:rFonts w:cs="Arial"/>
          <w:sz w:val="22"/>
          <w:szCs w:val="22"/>
        </w:rPr>
        <w:t xml:space="preserve">). </w:t>
      </w:r>
    </w:p>
    <w:p w14:paraId="0B027C1D" w14:textId="77777777" w:rsidR="00B149EA" w:rsidRPr="007856D1" w:rsidRDefault="007C189E"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Objednatel </w:t>
      </w:r>
      <w:r w:rsidR="003A44C6" w:rsidRPr="007856D1">
        <w:rPr>
          <w:rFonts w:cs="Arial"/>
          <w:bCs/>
          <w:sz w:val="22"/>
          <w:szCs w:val="22"/>
          <w:lang w:eastAsia="cs-CZ"/>
        </w:rPr>
        <w:t xml:space="preserve">si vyhrazuje právo </w:t>
      </w:r>
      <w:r w:rsidRPr="007856D1">
        <w:rPr>
          <w:rFonts w:cs="Arial"/>
          <w:bCs/>
          <w:sz w:val="22"/>
          <w:szCs w:val="22"/>
          <w:lang w:eastAsia="cs-CZ"/>
        </w:rPr>
        <w:t>neuhrad</w:t>
      </w:r>
      <w:r w:rsidR="003A44C6" w:rsidRPr="007856D1">
        <w:rPr>
          <w:rFonts w:cs="Arial"/>
          <w:bCs/>
          <w:sz w:val="22"/>
          <w:szCs w:val="22"/>
          <w:lang w:eastAsia="cs-CZ"/>
        </w:rPr>
        <w:t>it</w:t>
      </w:r>
      <w:r w:rsidRPr="007856D1">
        <w:rPr>
          <w:rFonts w:cs="Arial"/>
          <w:bCs/>
          <w:sz w:val="22"/>
          <w:szCs w:val="22"/>
          <w:lang w:eastAsia="cs-CZ"/>
        </w:rPr>
        <w:t xml:space="preserve"> dodavateli platbu za rekvalifikační kurz, u kterého dodavatel nedodržel </w:t>
      </w:r>
      <w:r w:rsidR="003A44C6" w:rsidRPr="007856D1">
        <w:rPr>
          <w:rFonts w:cs="Arial"/>
          <w:bCs/>
          <w:sz w:val="22"/>
          <w:szCs w:val="22"/>
          <w:lang w:eastAsia="cs-CZ"/>
        </w:rPr>
        <w:t xml:space="preserve">významným způsobem </w:t>
      </w:r>
      <w:r w:rsidR="009070CA" w:rsidRPr="007856D1">
        <w:rPr>
          <w:rFonts w:cs="Arial"/>
          <w:bCs/>
          <w:sz w:val="22"/>
          <w:szCs w:val="22"/>
          <w:lang w:eastAsia="cs-CZ"/>
        </w:rPr>
        <w:t xml:space="preserve">či opakovaně </w:t>
      </w:r>
      <w:r w:rsidRPr="007856D1">
        <w:rPr>
          <w:rFonts w:cs="Arial"/>
          <w:bCs/>
          <w:sz w:val="22"/>
          <w:szCs w:val="22"/>
          <w:lang w:eastAsia="cs-CZ"/>
        </w:rPr>
        <w:t>sjednané podmínky.</w:t>
      </w:r>
    </w:p>
    <w:p w14:paraId="796014C9" w14:textId="77777777"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14:paraId="760A6252" w14:textId="77777777" w:rsidR="00171255" w:rsidRPr="00171255" w:rsidRDefault="00171255" w:rsidP="00171255">
      <w:pPr>
        <w:pStyle w:val="Odstavecseseznamem"/>
        <w:spacing w:line="360" w:lineRule="auto"/>
        <w:ind w:left="567"/>
        <w:jc w:val="both"/>
        <w:rPr>
          <w:rFonts w:cs="Arial"/>
          <w:bCs/>
          <w:sz w:val="18"/>
          <w:szCs w:val="22"/>
          <w:lang w:eastAsia="cs-CZ"/>
        </w:rPr>
      </w:pPr>
    </w:p>
    <w:p w14:paraId="076AD502"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6" w:name="_Toc236099590"/>
      <w:bookmarkStart w:id="27" w:name="_Toc236099819"/>
      <w:bookmarkStart w:id="28" w:name="_Toc236100399"/>
      <w:bookmarkStart w:id="29" w:name="_Toc236100782"/>
      <w:bookmarkStart w:id="30" w:name="_Toc236101306"/>
      <w:bookmarkStart w:id="31" w:name="_Toc236101364"/>
      <w:bookmarkStart w:id="32" w:name="_Toc236101457"/>
      <w:bookmarkStart w:id="33" w:name="_Toc236707277"/>
      <w:bookmarkStart w:id="34" w:name="_Toc236707860"/>
      <w:bookmarkStart w:id="35" w:name="_Toc236809005"/>
      <w:bookmarkStart w:id="36" w:name="_Toc237064632"/>
      <w:r w:rsidRPr="00171255">
        <w:rPr>
          <w:color w:val="FFFFFF" w:themeColor="background1"/>
          <w:sz w:val="22"/>
          <w:szCs w:val="22"/>
        </w:rPr>
        <w:t>Podmínky spolupráce</w:t>
      </w:r>
      <w:bookmarkEnd w:id="26"/>
      <w:bookmarkEnd w:id="27"/>
      <w:bookmarkEnd w:id="28"/>
      <w:bookmarkEnd w:id="29"/>
      <w:bookmarkEnd w:id="30"/>
      <w:bookmarkEnd w:id="31"/>
      <w:bookmarkEnd w:id="32"/>
      <w:bookmarkEnd w:id="33"/>
      <w:bookmarkEnd w:id="34"/>
      <w:bookmarkEnd w:id="35"/>
      <w:bookmarkEnd w:id="36"/>
    </w:p>
    <w:p w14:paraId="287A72E3" w14:textId="77777777" w:rsidR="00171255" w:rsidRPr="006A3B00" w:rsidRDefault="00171255" w:rsidP="00171255">
      <w:pPr>
        <w:pStyle w:val="Odstavecseseznamem"/>
        <w:spacing w:line="360" w:lineRule="auto"/>
        <w:ind w:left="567"/>
        <w:jc w:val="both"/>
        <w:rPr>
          <w:rFonts w:cs="Arial"/>
          <w:sz w:val="14"/>
          <w:szCs w:val="22"/>
        </w:rPr>
      </w:pPr>
    </w:p>
    <w:p w14:paraId="7C963B0A"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2A63E0E6"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856D1">
        <w:rPr>
          <w:rFonts w:cs="Arial"/>
          <w:sz w:val="22"/>
          <w:szCs w:val="22"/>
        </w:rPr>
        <w:t>, s pojistným plněním ve výši minimálně 1,5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54B7B18B" w14:textId="77777777" w:rsidR="003D2F85" w:rsidRDefault="008A7376"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2623011B" w14:textId="77777777" w:rsidR="00171255" w:rsidRDefault="00171255" w:rsidP="00171255">
      <w:pPr>
        <w:spacing w:line="360" w:lineRule="auto"/>
        <w:jc w:val="both"/>
        <w:rPr>
          <w:rFonts w:cs="Arial"/>
          <w:sz w:val="22"/>
          <w:szCs w:val="22"/>
        </w:rPr>
      </w:pPr>
    </w:p>
    <w:p w14:paraId="27EE39F5" w14:textId="77777777" w:rsidR="00171255" w:rsidRPr="00171255" w:rsidRDefault="00171255" w:rsidP="00171255">
      <w:pPr>
        <w:spacing w:line="360" w:lineRule="auto"/>
        <w:jc w:val="both"/>
        <w:rPr>
          <w:rFonts w:cs="Arial"/>
          <w:sz w:val="22"/>
          <w:szCs w:val="22"/>
        </w:rPr>
      </w:pPr>
    </w:p>
    <w:p w14:paraId="79323AFA"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lastRenderedPageBreak/>
        <w:t>Pod</w:t>
      </w:r>
      <w:r w:rsidRPr="00171255">
        <w:rPr>
          <w:color w:val="FFFFFF"/>
          <w:sz w:val="22"/>
          <w:szCs w:val="20"/>
          <w:lang w:val="x-none"/>
        </w:rPr>
        <w:t>dodavatelé</w:t>
      </w:r>
    </w:p>
    <w:p w14:paraId="170D73E5"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A23E165"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D8ACB4A"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60A5A96D" w14:textId="77777777"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Pr="007856D1">
        <w:rPr>
          <w:rFonts w:cs="Arial"/>
          <w:bCs/>
          <w:iCs/>
          <w:sz w:val="22"/>
          <w:szCs w:val="22"/>
          <w:lang w:eastAsia="x-none"/>
        </w:rPr>
        <w:t>ch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14:paraId="4E61A8BE" w14:textId="77777777" w:rsidR="00996982" w:rsidRPr="007856D1" w:rsidRDefault="00996982" w:rsidP="00171255">
      <w:pPr>
        <w:pStyle w:val="Odstavecseseznamem"/>
        <w:spacing w:line="360" w:lineRule="auto"/>
        <w:ind w:left="425"/>
        <w:jc w:val="both"/>
        <w:rPr>
          <w:rFonts w:cs="Arial"/>
          <w:sz w:val="18"/>
          <w:szCs w:val="22"/>
        </w:rPr>
      </w:pPr>
    </w:p>
    <w:p w14:paraId="13935B51"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1722E12F" w14:textId="77777777" w:rsidR="00171255" w:rsidRPr="006A3B00" w:rsidRDefault="00171255" w:rsidP="00171255">
      <w:pPr>
        <w:pStyle w:val="Odstavecseseznamem"/>
        <w:spacing w:line="360" w:lineRule="auto"/>
        <w:ind w:left="567"/>
        <w:jc w:val="both"/>
        <w:rPr>
          <w:rFonts w:cs="Arial"/>
          <w:sz w:val="14"/>
          <w:szCs w:val="22"/>
        </w:rPr>
      </w:pPr>
    </w:p>
    <w:p w14:paraId="302588BD" w14:textId="334E9A85" w:rsidR="00425EF2" w:rsidRPr="0056029F" w:rsidRDefault="00425EF2" w:rsidP="00C50F55">
      <w:pPr>
        <w:pStyle w:val="Odstavecseseznamem"/>
        <w:numPr>
          <w:ilvl w:val="1"/>
          <w:numId w:val="20"/>
        </w:numPr>
        <w:tabs>
          <w:tab w:val="left" w:pos="567"/>
        </w:tabs>
        <w:spacing w:line="360" w:lineRule="auto"/>
        <w:contextualSpacing/>
        <w:jc w:val="both"/>
        <w:outlineLvl w:val="0"/>
        <w:rPr>
          <w:rFonts w:cs="Arial"/>
          <w:bCs/>
          <w:iCs/>
          <w:sz w:val="22"/>
          <w:szCs w:val="22"/>
          <w:lang w:val="x-none" w:eastAsia="x-none"/>
        </w:rPr>
      </w:pPr>
      <w:r w:rsidRPr="00313C77">
        <w:rPr>
          <w:rFonts w:cs="Arial"/>
          <w:sz w:val="22"/>
          <w:szCs w:val="22"/>
        </w:rPr>
        <w:t>Tato Rámcová dohoda nabývá platnosti dnem podpisu této Rámcové dohody, účinnosti</w:t>
      </w:r>
      <w:r w:rsidRPr="0056029F">
        <w:rPr>
          <w:rFonts w:cs="Arial"/>
          <w:bCs/>
          <w:iCs/>
          <w:sz w:val="22"/>
          <w:szCs w:val="22"/>
          <w:lang w:val="x-none" w:eastAsia="x-none"/>
        </w:rPr>
        <w:t xml:space="preserve"> </w:t>
      </w:r>
      <w:r w:rsidRPr="00C50F55">
        <w:rPr>
          <w:rFonts w:cs="Arial"/>
          <w:bCs/>
          <w:iCs/>
          <w:sz w:val="22"/>
          <w:szCs w:val="22"/>
          <w:lang w:eastAsia="x-none"/>
        </w:rPr>
        <w:t xml:space="preserve">nabývá dnem uveřejnění prostřednictvím registru smluv dle zákona č. 340/2015 Sb., o zvláštních podmínkách účinnosti některých smluv, uveřejňování těchto smluv a o registru smluv (zákona o registru smluv), ve znění pozdějších předpisů. Uveřejnění do registru smluv zajistí objednatel bezprostředně po podpisu Rámcové dohody. </w:t>
      </w:r>
      <w:r w:rsidR="001139FC" w:rsidRPr="00C50F55">
        <w:rPr>
          <w:rFonts w:cs="Arial"/>
          <w:bCs/>
          <w:iCs/>
          <w:sz w:val="22"/>
          <w:szCs w:val="22"/>
          <w:lang w:eastAsia="x-none"/>
        </w:rPr>
        <w:t>Smluvní vztah skončí dosažením celkové maximální předpokládané hodnoty plnění dle článku V. této smlouvy</w:t>
      </w:r>
      <w:r w:rsidR="001139FC" w:rsidRPr="0056029F">
        <w:rPr>
          <w:rFonts w:cs="Arial"/>
          <w:bCs/>
          <w:iCs/>
          <w:sz w:val="22"/>
          <w:szCs w:val="22"/>
          <w:lang w:val="x-none" w:eastAsia="x-none"/>
        </w:rPr>
        <w:t xml:space="preserve"> nebo nejpozději </w:t>
      </w:r>
      <w:r w:rsidR="001139FC" w:rsidRPr="00A302C9">
        <w:rPr>
          <w:rFonts w:cs="Arial"/>
          <w:bCs/>
          <w:iCs/>
          <w:sz w:val="22"/>
          <w:szCs w:val="22"/>
          <w:lang w:eastAsia="x-none"/>
        </w:rPr>
        <w:t xml:space="preserve">po uplynutí 48 měsíců ode dne nabytí účinnosti Rámcové dohody s tím, že platby musí být vypořádány nejpozději </w:t>
      </w:r>
      <w:r w:rsidR="001139FC">
        <w:rPr>
          <w:rFonts w:cs="Arial"/>
          <w:bCs/>
          <w:iCs/>
          <w:sz w:val="22"/>
          <w:szCs w:val="22"/>
          <w:lang w:eastAsia="x-none"/>
        </w:rPr>
        <w:t xml:space="preserve">do </w:t>
      </w:r>
      <w:r w:rsidR="001139FC" w:rsidRPr="00A302C9">
        <w:rPr>
          <w:rFonts w:cs="Arial"/>
          <w:bCs/>
          <w:iCs/>
          <w:sz w:val="22"/>
          <w:szCs w:val="22"/>
          <w:lang w:eastAsia="x-none"/>
        </w:rPr>
        <w:t>31.12.2025. Rekvalifikační kurzy musí být ukončeny nejpozději do 31.12.2025 vyúčtování musí být předloženo nejpozději do 31.12.2025</w:t>
      </w:r>
      <w:r w:rsidR="001139FC">
        <w:rPr>
          <w:rFonts w:cs="Arial"/>
          <w:sz w:val="22"/>
          <w:szCs w:val="22"/>
        </w:rPr>
        <w:t>.</w:t>
      </w:r>
    </w:p>
    <w:p w14:paraId="0F157457" w14:textId="77777777" w:rsidR="004B7008" w:rsidRPr="007856D1" w:rsidRDefault="004B7008" w:rsidP="00C50F55">
      <w:pPr>
        <w:pStyle w:val="Odstavecseseznamem"/>
        <w:numPr>
          <w:ilvl w:val="1"/>
          <w:numId w:val="20"/>
        </w:numPr>
        <w:spacing w:line="360" w:lineRule="auto"/>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451CF10A"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0257F8C2"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03EEE214"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7E63C433" w14:textId="77777777" w:rsidR="00B149EA" w:rsidRPr="007856D1" w:rsidRDefault="00996EE0" w:rsidP="00C50F55">
      <w:pPr>
        <w:pStyle w:val="Odstavecseseznamem"/>
        <w:numPr>
          <w:ilvl w:val="1"/>
          <w:numId w:val="20"/>
        </w:numPr>
        <w:spacing w:line="360" w:lineRule="auto"/>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Pr="007856D1">
        <w:rPr>
          <w:rFonts w:cs="Arial"/>
          <w:iCs/>
          <w:sz w:val="22"/>
          <w:szCs w:val="22"/>
          <w:lang w:eastAsia="x-none"/>
        </w:rPr>
        <w:t>jího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   </w:t>
      </w:r>
    </w:p>
    <w:p w14:paraId="546ACC6E" w14:textId="77777777" w:rsidR="00B149EA" w:rsidRPr="007856D1" w:rsidRDefault="0031523A" w:rsidP="00C50F55">
      <w:pPr>
        <w:pStyle w:val="Odstavecseseznamem"/>
        <w:numPr>
          <w:ilvl w:val="1"/>
          <w:numId w:val="20"/>
        </w:numPr>
        <w:spacing w:line="360" w:lineRule="auto"/>
        <w:jc w:val="both"/>
        <w:rPr>
          <w:rFonts w:cs="Arial"/>
          <w:sz w:val="22"/>
          <w:szCs w:val="22"/>
        </w:rPr>
      </w:pPr>
      <w:r w:rsidRPr="007856D1">
        <w:rPr>
          <w:rFonts w:cs="Arial"/>
          <w:sz w:val="22"/>
          <w:szCs w:val="22"/>
        </w:rPr>
        <w:lastRenderedPageBreak/>
        <w:t xml:space="preserve">Objednatel je oprávněn ukončit tuto </w:t>
      </w:r>
      <w:r w:rsidR="008B684A" w:rsidRPr="007856D1">
        <w:rPr>
          <w:rFonts w:cs="Arial"/>
          <w:bCs/>
          <w:sz w:val="22"/>
          <w:szCs w:val="22"/>
          <w:lang w:eastAsia="cs-CZ"/>
        </w:rPr>
        <w:t>Rámcovou dohodu</w:t>
      </w:r>
      <w:r w:rsidRPr="007856D1">
        <w:rPr>
          <w:rFonts w:cs="Arial"/>
          <w:sz w:val="22"/>
          <w:szCs w:val="22"/>
        </w:rPr>
        <w:t xml:space="preserve"> písemnou výpovědí bez udání důvodu v jednoměsíční výpovědní lhůtě, přičemž tato počíná běžet prvním dnem měsíce následujícího po doručení výpovědi dodavateli.</w:t>
      </w:r>
    </w:p>
    <w:p w14:paraId="203188E1" w14:textId="77777777" w:rsidR="00B149EA" w:rsidRPr="007856D1" w:rsidRDefault="00170130" w:rsidP="00C50F55">
      <w:pPr>
        <w:pStyle w:val="Odstavecseseznamem"/>
        <w:numPr>
          <w:ilvl w:val="1"/>
          <w:numId w:val="20"/>
        </w:numPr>
        <w:spacing w:line="360" w:lineRule="auto"/>
        <w:jc w:val="both"/>
        <w:rPr>
          <w:rFonts w:cs="Arial"/>
          <w:sz w:val="22"/>
          <w:szCs w:val="22"/>
        </w:rPr>
      </w:pPr>
      <w:r w:rsidRPr="007856D1">
        <w:rPr>
          <w:rFonts w:cs="Arial"/>
          <w:sz w:val="22"/>
          <w:szCs w:val="22"/>
        </w:rPr>
        <w:t xml:space="preserve">Dodavatel je oprávněn ukončit tuto </w:t>
      </w:r>
      <w:r w:rsidRPr="007856D1">
        <w:rPr>
          <w:rFonts w:cs="Arial"/>
          <w:bCs/>
          <w:sz w:val="22"/>
          <w:szCs w:val="22"/>
          <w:lang w:eastAsia="cs-CZ"/>
        </w:rPr>
        <w:t>Rámcovou dohodu</w:t>
      </w:r>
      <w:r w:rsidRPr="007856D1">
        <w:rPr>
          <w:rFonts w:cs="Arial"/>
          <w:sz w:val="22"/>
          <w:szCs w:val="22"/>
        </w:rPr>
        <w:t xml:space="preserve"> písemnou výpovědí bez udání důvodu v tříměsíční výpovědní lhůtě, přičemž tato počíná běžet prvním dnem měsíce následujícího po doručení výpovědi </w:t>
      </w:r>
      <w:r w:rsidR="003661AC" w:rsidRPr="007856D1">
        <w:rPr>
          <w:rFonts w:cs="Arial"/>
          <w:sz w:val="22"/>
          <w:szCs w:val="22"/>
        </w:rPr>
        <w:t>objednateli</w:t>
      </w:r>
      <w:r w:rsidRPr="007856D1">
        <w:rPr>
          <w:rFonts w:cs="Arial"/>
          <w:sz w:val="22"/>
          <w:szCs w:val="22"/>
        </w:rPr>
        <w:t>.</w:t>
      </w:r>
    </w:p>
    <w:p w14:paraId="275CEF50" w14:textId="77777777" w:rsidR="00996EE0" w:rsidRDefault="009A542E" w:rsidP="00C50F55">
      <w:pPr>
        <w:pStyle w:val="Odstavecseseznamem"/>
        <w:numPr>
          <w:ilvl w:val="1"/>
          <w:numId w:val="20"/>
        </w:numPr>
        <w:spacing w:line="360" w:lineRule="auto"/>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3355A628" w14:textId="77777777" w:rsidR="00171255" w:rsidRPr="00171255" w:rsidRDefault="00171255" w:rsidP="00171255">
      <w:pPr>
        <w:pStyle w:val="Odstavecseseznamem"/>
        <w:spacing w:line="360" w:lineRule="auto"/>
        <w:ind w:left="567"/>
        <w:jc w:val="both"/>
        <w:rPr>
          <w:rFonts w:cs="Arial"/>
          <w:sz w:val="18"/>
          <w:szCs w:val="22"/>
        </w:rPr>
      </w:pPr>
    </w:p>
    <w:p w14:paraId="77D41B0E"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1F1ECFB7" w14:textId="77777777" w:rsidR="00171255" w:rsidRPr="006A3B00" w:rsidRDefault="00171255" w:rsidP="00171255">
      <w:pPr>
        <w:pStyle w:val="Odstavecseseznamem"/>
        <w:spacing w:line="360" w:lineRule="auto"/>
        <w:ind w:left="567"/>
        <w:jc w:val="both"/>
        <w:rPr>
          <w:rFonts w:cs="Arial"/>
          <w:sz w:val="14"/>
          <w:szCs w:val="22"/>
        </w:rPr>
      </w:pPr>
    </w:p>
    <w:p w14:paraId="7C135B0C"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0D98C4B6"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38BF3C9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1B83D80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2C034B5A"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156E8820" w14:textId="77777777"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4C68F197" w14:textId="77777777" w:rsidR="00CE3DED" w:rsidRPr="007856D1" w:rsidRDefault="00CE3DED" w:rsidP="00171255">
      <w:pPr>
        <w:spacing w:line="360" w:lineRule="auto"/>
        <w:jc w:val="both"/>
        <w:rPr>
          <w:rFonts w:cs="Arial"/>
          <w:sz w:val="18"/>
          <w:szCs w:val="22"/>
        </w:rPr>
      </w:pPr>
    </w:p>
    <w:p w14:paraId="71091002"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03B81AFC" w14:textId="77777777" w:rsidR="00171255" w:rsidRPr="006A3B00" w:rsidRDefault="00171255" w:rsidP="00171255">
      <w:pPr>
        <w:pStyle w:val="Odstavecseseznamem"/>
        <w:spacing w:line="360" w:lineRule="auto"/>
        <w:ind w:left="567"/>
        <w:jc w:val="both"/>
        <w:rPr>
          <w:rFonts w:cs="Arial"/>
          <w:sz w:val="14"/>
          <w:szCs w:val="22"/>
        </w:rPr>
      </w:pPr>
    </w:p>
    <w:p w14:paraId="48EFEB92" w14:textId="77777777"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72D1875"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581000DE" w14:textId="3A5B3D7E" w:rsidR="00171255" w:rsidRDefault="001B094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Dodavatel je povinen uchovávat doklady související s plněním VZ a umožnit oprávněným osobám výkon kontroly projektu (zejména se jedná o </w:t>
      </w:r>
      <w:r w:rsidR="00226C58">
        <w:rPr>
          <w:rFonts w:cs="Arial"/>
          <w:sz w:val="22"/>
          <w:szCs w:val="22"/>
        </w:rPr>
        <w:t>objednatele</w:t>
      </w:r>
      <w:r w:rsidRPr="00171255">
        <w:rPr>
          <w:rFonts w:cs="Arial"/>
          <w:sz w:val="22"/>
          <w:szCs w:val="22"/>
        </w:rPr>
        <w:t>, Ministerstvo práce a sociálních věcí, Ministerstvo financí, N</w:t>
      </w:r>
      <w:r w:rsidR="00E40AFB">
        <w:rPr>
          <w:rFonts w:cs="Arial"/>
          <w:sz w:val="22"/>
          <w:szCs w:val="22"/>
        </w:rPr>
        <w:t>ejvyšší</w:t>
      </w:r>
      <w:r w:rsidRPr="00171255">
        <w:rPr>
          <w:rFonts w:cs="Arial"/>
          <w:sz w:val="22"/>
          <w:szCs w:val="22"/>
        </w:rPr>
        <w:t xml:space="preserve"> kontrolní úřad, Evropská komise, Evropský soudní dvůr,…). Lhůta činí 10 let od skončení plnění VZ , kdy musí být současně splněna podmínka 10 let od následujícího roku po finančním vypořádání posledního realizovaného projektu, který z VZ čerpal. Desetiletá lhůta začíná běžet od 1. ledna kalendářního roku následujícího po roce finančního vypořádání.</w:t>
      </w:r>
    </w:p>
    <w:p w14:paraId="78FE1F9C" w14:textId="77777777" w:rsidR="00171255" w:rsidRDefault="00EE0E51"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se zavazuje plnit informační povinnost dle</w:t>
      </w:r>
      <w:r w:rsidR="009A0D93" w:rsidRPr="00171255">
        <w:rPr>
          <w:rFonts w:cs="Arial"/>
          <w:sz w:val="22"/>
          <w:szCs w:val="22"/>
        </w:rPr>
        <w:t xml:space="preserve"> aktuálních</w:t>
      </w:r>
      <w:r w:rsidRPr="00171255">
        <w:rPr>
          <w:rFonts w:cs="Arial"/>
          <w:sz w:val="22"/>
          <w:szCs w:val="22"/>
        </w:rPr>
        <w:t xml:space="preserve"> </w:t>
      </w:r>
      <w:r w:rsidR="00D50BF7" w:rsidRPr="00171255">
        <w:rPr>
          <w:rFonts w:cs="Arial"/>
          <w:bCs/>
          <w:sz w:val="22"/>
          <w:szCs w:val="22"/>
        </w:rPr>
        <w:t>pravidel pro publicitu a viz</w:t>
      </w:r>
      <w:r w:rsidR="009A0D93" w:rsidRPr="00171255">
        <w:rPr>
          <w:rFonts w:cs="Arial"/>
          <w:bCs/>
          <w:sz w:val="22"/>
          <w:szCs w:val="22"/>
        </w:rPr>
        <w:t xml:space="preserve">uální identitu </w:t>
      </w:r>
      <w:r w:rsidR="002E1E0D" w:rsidRPr="00171255">
        <w:rPr>
          <w:rFonts w:cs="Arial"/>
          <w:bCs/>
          <w:sz w:val="22"/>
          <w:szCs w:val="22"/>
        </w:rPr>
        <w:t>Operačního programu</w:t>
      </w:r>
      <w:r w:rsidR="009A0D93" w:rsidRPr="00171255">
        <w:rPr>
          <w:rFonts w:cs="Arial"/>
          <w:bCs/>
          <w:sz w:val="22"/>
          <w:szCs w:val="22"/>
        </w:rPr>
        <w:t xml:space="preserve"> Zaměstnanost</w:t>
      </w:r>
      <w:r w:rsidR="00D50BF7" w:rsidRPr="00171255">
        <w:rPr>
          <w:rFonts w:cs="Arial"/>
          <w:bCs/>
          <w:sz w:val="22"/>
          <w:szCs w:val="22"/>
        </w:rPr>
        <w:t>.</w:t>
      </w:r>
    </w:p>
    <w:p w14:paraId="480F9124"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183FFA75"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69780EF4"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je vypracována ve třech vyhotoveních, z nichž jedno obdrží dodavatel a dvě objednatel.</w:t>
      </w:r>
    </w:p>
    <w:p w14:paraId="3DE2862D"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36423687" w14:textId="716AE3A3"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2CABC7DF" w14:textId="2444C94C" w:rsidR="00221883" w:rsidRDefault="00221883" w:rsidP="00221883">
      <w:pPr>
        <w:pStyle w:val="Odstavecseseznamem"/>
        <w:spacing w:line="360" w:lineRule="auto"/>
        <w:ind w:left="567"/>
        <w:jc w:val="both"/>
        <w:rPr>
          <w:rFonts w:cs="Arial"/>
          <w:sz w:val="22"/>
          <w:szCs w:val="22"/>
        </w:rPr>
      </w:pPr>
    </w:p>
    <w:p w14:paraId="7DEB369B" w14:textId="48FF2EE5" w:rsidR="00221883" w:rsidRDefault="00221883" w:rsidP="00221883">
      <w:pPr>
        <w:pStyle w:val="Odstavecseseznamem"/>
        <w:spacing w:line="360" w:lineRule="auto"/>
        <w:ind w:left="567"/>
        <w:jc w:val="both"/>
        <w:rPr>
          <w:rFonts w:cs="Arial"/>
          <w:sz w:val="22"/>
          <w:szCs w:val="22"/>
        </w:rPr>
      </w:pPr>
    </w:p>
    <w:p w14:paraId="00B6DE1D" w14:textId="7A68ADCE" w:rsidR="00221883" w:rsidRDefault="00221883" w:rsidP="00221883">
      <w:pPr>
        <w:pStyle w:val="Odstavecseseznamem"/>
        <w:spacing w:line="360" w:lineRule="auto"/>
        <w:ind w:left="567"/>
        <w:jc w:val="both"/>
        <w:rPr>
          <w:rFonts w:cs="Arial"/>
          <w:sz w:val="22"/>
          <w:szCs w:val="22"/>
        </w:rPr>
      </w:pPr>
    </w:p>
    <w:p w14:paraId="1CE0BE09" w14:textId="5AE00679" w:rsidR="00221883" w:rsidRDefault="00221883" w:rsidP="00221883">
      <w:pPr>
        <w:pStyle w:val="Odstavecseseznamem"/>
        <w:spacing w:line="360" w:lineRule="auto"/>
        <w:ind w:left="567"/>
        <w:jc w:val="both"/>
        <w:rPr>
          <w:rFonts w:cs="Arial"/>
          <w:sz w:val="22"/>
          <w:szCs w:val="22"/>
        </w:rPr>
      </w:pPr>
    </w:p>
    <w:p w14:paraId="5F652F57" w14:textId="1821A2C7" w:rsidR="00221883" w:rsidRDefault="00221883" w:rsidP="00221883">
      <w:pPr>
        <w:pStyle w:val="Odstavecseseznamem"/>
        <w:spacing w:line="360" w:lineRule="auto"/>
        <w:ind w:left="567"/>
        <w:jc w:val="both"/>
        <w:rPr>
          <w:rFonts w:cs="Arial"/>
          <w:sz w:val="22"/>
          <w:szCs w:val="22"/>
        </w:rPr>
      </w:pPr>
    </w:p>
    <w:p w14:paraId="5D6E7499" w14:textId="22AFC125" w:rsidR="00221883" w:rsidRDefault="00221883" w:rsidP="00221883">
      <w:pPr>
        <w:pStyle w:val="Odstavecseseznamem"/>
        <w:spacing w:line="360" w:lineRule="auto"/>
        <w:ind w:left="567"/>
        <w:jc w:val="both"/>
        <w:rPr>
          <w:rFonts w:cs="Arial"/>
          <w:sz w:val="22"/>
          <w:szCs w:val="22"/>
        </w:rPr>
      </w:pPr>
    </w:p>
    <w:p w14:paraId="4B9168A8" w14:textId="68FA873D" w:rsidR="00221883" w:rsidRDefault="00221883" w:rsidP="00221883">
      <w:pPr>
        <w:pStyle w:val="Odstavecseseznamem"/>
        <w:spacing w:line="360" w:lineRule="auto"/>
        <w:ind w:left="567"/>
        <w:jc w:val="both"/>
        <w:rPr>
          <w:rFonts w:cs="Arial"/>
          <w:sz w:val="22"/>
          <w:szCs w:val="22"/>
        </w:rPr>
      </w:pPr>
    </w:p>
    <w:p w14:paraId="6E232A44" w14:textId="1AAAC9DF" w:rsidR="00221883" w:rsidRDefault="00221883" w:rsidP="00221883">
      <w:pPr>
        <w:pStyle w:val="Odstavecseseznamem"/>
        <w:spacing w:line="360" w:lineRule="auto"/>
        <w:ind w:left="567"/>
        <w:jc w:val="both"/>
        <w:rPr>
          <w:rFonts w:cs="Arial"/>
          <w:sz w:val="22"/>
          <w:szCs w:val="22"/>
        </w:rPr>
      </w:pPr>
    </w:p>
    <w:p w14:paraId="250F3566" w14:textId="77777777" w:rsidR="00221883" w:rsidRDefault="00221883" w:rsidP="00221883">
      <w:pPr>
        <w:pStyle w:val="Odstavecseseznamem"/>
        <w:spacing w:line="360" w:lineRule="auto"/>
        <w:ind w:left="567"/>
        <w:jc w:val="both"/>
        <w:rPr>
          <w:rFonts w:cs="Arial"/>
          <w:sz w:val="22"/>
          <w:szCs w:val="22"/>
        </w:rPr>
      </w:pPr>
    </w:p>
    <w:p w14:paraId="2532AC24"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14450E11" w14:textId="77777777" w:rsidR="0056029F" w:rsidRDefault="0056029F" w:rsidP="00C03490">
      <w:pPr>
        <w:pStyle w:val="Odstavecseseznamem"/>
        <w:spacing w:line="360" w:lineRule="auto"/>
        <w:ind w:left="0"/>
        <w:jc w:val="both"/>
        <w:rPr>
          <w:rFonts w:cs="Arial"/>
          <w:sz w:val="22"/>
          <w:szCs w:val="22"/>
          <w:u w:val="single"/>
        </w:rPr>
      </w:pPr>
    </w:p>
    <w:p w14:paraId="63036268" w14:textId="77777777" w:rsidR="0056029F" w:rsidRDefault="0056029F" w:rsidP="00C03490">
      <w:pPr>
        <w:pStyle w:val="Odstavecseseznamem"/>
        <w:spacing w:line="360" w:lineRule="auto"/>
        <w:ind w:left="0"/>
        <w:jc w:val="both"/>
        <w:rPr>
          <w:rFonts w:cs="Arial"/>
          <w:sz w:val="22"/>
          <w:szCs w:val="22"/>
          <w:u w:val="single"/>
        </w:rPr>
      </w:pPr>
    </w:p>
    <w:p w14:paraId="5B5D9495" w14:textId="77777777" w:rsidR="0056029F" w:rsidRDefault="0056029F" w:rsidP="00C03490">
      <w:pPr>
        <w:pStyle w:val="Odstavecseseznamem"/>
        <w:spacing w:line="360" w:lineRule="auto"/>
        <w:ind w:left="0"/>
        <w:jc w:val="both"/>
        <w:rPr>
          <w:rFonts w:cs="Arial"/>
          <w:sz w:val="22"/>
          <w:szCs w:val="22"/>
          <w:u w:val="single"/>
        </w:rPr>
      </w:pPr>
    </w:p>
    <w:p w14:paraId="3FBAE080" w14:textId="77777777" w:rsidR="0056029F" w:rsidRDefault="0056029F" w:rsidP="00C03490">
      <w:pPr>
        <w:pStyle w:val="Odstavecseseznamem"/>
        <w:spacing w:line="360" w:lineRule="auto"/>
        <w:ind w:left="0"/>
        <w:jc w:val="both"/>
        <w:rPr>
          <w:rFonts w:cs="Arial"/>
          <w:sz w:val="22"/>
          <w:szCs w:val="22"/>
          <w:u w:val="single"/>
        </w:rPr>
      </w:pPr>
    </w:p>
    <w:p w14:paraId="6D622DF7" w14:textId="77777777" w:rsidR="0056029F" w:rsidRDefault="0056029F" w:rsidP="00C03490">
      <w:pPr>
        <w:pStyle w:val="Odstavecseseznamem"/>
        <w:spacing w:line="360" w:lineRule="auto"/>
        <w:ind w:left="0"/>
        <w:jc w:val="both"/>
        <w:rPr>
          <w:rFonts w:cs="Arial"/>
          <w:sz w:val="22"/>
          <w:szCs w:val="22"/>
          <w:u w:val="single"/>
        </w:rPr>
      </w:pPr>
    </w:p>
    <w:p w14:paraId="1490A02A" w14:textId="4A6059CF"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B5D17C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tbl>
      <w:tblPr>
        <w:tblW w:w="9639" w:type="dxa"/>
        <w:tblInd w:w="108" w:type="dxa"/>
        <w:tblLayout w:type="fixed"/>
        <w:tblLook w:val="01E0" w:firstRow="1" w:lastRow="1" w:firstColumn="1" w:lastColumn="1" w:noHBand="0" w:noVBand="0"/>
      </w:tblPr>
      <w:tblGrid>
        <w:gridCol w:w="4428"/>
        <w:gridCol w:w="236"/>
        <w:gridCol w:w="4975"/>
      </w:tblGrid>
      <w:tr w:rsidR="009503E6" w:rsidRPr="007856D1" w14:paraId="17C52AC1" w14:textId="77777777" w:rsidTr="002D4168">
        <w:tc>
          <w:tcPr>
            <w:tcW w:w="4428" w:type="dxa"/>
          </w:tcPr>
          <w:p w14:paraId="49CEB1CF" w14:textId="77777777" w:rsidR="00200934" w:rsidRDefault="00200934" w:rsidP="00200934">
            <w:pPr>
              <w:rPr>
                <w:rFonts w:cs="Arial"/>
                <w:i/>
                <w:sz w:val="22"/>
                <w:szCs w:val="22"/>
              </w:rPr>
            </w:pPr>
          </w:p>
          <w:p w14:paraId="0C5202A8" w14:textId="15FA9910" w:rsidR="001139FC" w:rsidRPr="007856D1" w:rsidRDefault="001139FC" w:rsidP="00200934">
            <w:pPr>
              <w:rPr>
                <w:rFonts w:cs="Arial"/>
                <w:i/>
                <w:sz w:val="22"/>
                <w:szCs w:val="22"/>
              </w:rPr>
            </w:pPr>
          </w:p>
        </w:tc>
        <w:tc>
          <w:tcPr>
            <w:tcW w:w="236" w:type="dxa"/>
          </w:tcPr>
          <w:p w14:paraId="413C926A" w14:textId="77777777" w:rsidR="001851A3" w:rsidRPr="007856D1" w:rsidRDefault="001851A3" w:rsidP="00996982">
            <w:pPr>
              <w:keepNext/>
              <w:tabs>
                <w:tab w:val="left" w:pos="4680"/>
              </w:tabs>
              <w:spacing w:line="360" w:lineRule="auto"/>
              <w:jc w:val="both"/>
              <w:rPr>
                <w:rFonts w:cs="Arial"/>
                <w:sz w:val="22"/>
                <w:szCs w:val="22"/>
              </w:rPr>
            </w:pPr>
          </w:p>
        </w:tc>
        <w:tc>
          <w:tcPr>
            <w:tcW w:w="4975" w:type="dxa"/>
          </w:tcPr>
          <w:p w14:paraId="4BC9CCDD" w14:textId="77777777" w:rsidR="001851A3" w:rsidRPr="007856D1" w:rsidRDefault="001851A3" w:rsidP="00996982">
            <w:pPr>
              <w:keepNext/>
              <w:tabs>
                <w:tab w:val="left" w:pos="4680"/>
              </w:tabs>
              <w:spacing w:line="360" w:lineRule="auto"/>
              <w:jc w:val="center"/>
              <w:rPr>
                <w:rFonts w:cs="Arial"/>
                <w:sz w:val="22"/>
                <w:szCs w:val="22"/>
              </w:rPr>
            </w:pPr>
          </w:p>
        </w:tc>
      </w:tr>
    </w:tbl>
    <w:p w14:paraId="0205FA3F" w14:textId="06EC95B7"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 xml:space="preserve">V </w:t>
      </w:r>
      <w:r w:rsidR="0056029F">
        <w:rPr>
          <w:rFonts w:cs="Arial"/>
          <w:sz w:val="22"/>
          <w:szCs w:val="22"/>
        </w:rPr>
        <w:t>Ostravě</w:t>
      </w:r>
      <w:r w:rsidRPr="007856D1">
        <w:rPr>
          <w:rFonts w:cs="Arial"/>
          <w:sz w:val="22"/>
          <w:szCs w:val="22"/>
        </w:rPr>
        <w:t xml:space="preserve"> dne </w:t>
      </w:r>
      <w:r w:rsidR="0056029F">
        <w:rPr>
          <w:rFonts w:cs="Arial"/>
          <w:sz w:val="22"/>
          <w:szCs w:val="22"/>
        </w:rPr>
        <w:t>……..</w:t>
      </w:r>
      <w:r w:rsidRPr="007856D1">
        <w:rPr>
          <w:rFonts w:cs="Arial"/>
          <w:sz w:val="22"/>
          <w:szCs w:val="22"/>
        </w:rPr>
        <w:tab/>
        <w:t>V</w:t>
      </w:r>
      <w:r w:rsidR="007856D1" w:rsidRPr="007856D1">
        <w:rPr>
          <w:rFonts w:cs="Arial"/>
          <w:sz w:val="22"/>
          <w:szCs w:val="22"/>
        </w:rPr>
        <w:t> </w:t>
      </w:r>
      <w:r w:rsidR="0056029F">
        <w:rPr>
          <w:rFonts w:cs="Arial"/>
          <w:sz w:val="22"/>
          <w:szCs w:val="22"/>
        </w:rPr>
        <w:t>Ostravě</w:t>
      </w:r>
      <w:r w:rsidR="007856D1" w:rsidRPr="007856D1">
        <w:rPr>
          <w:rFonts w:cs="Arial"/>
          <w:sz w:val="22"/>
          <w:szCs w:val="22"/>
        </w:rPr>
        <w:t xml:space="preserve"> </w:t>
      </w:r>
      <w:r w:rsidRPr="007856D1">
        <w:rPr>
          <w:rFonts w:cs="Arial"/>
          <w:sz w:val="22"/>
          <w:szCs w:val="22"/>
        </w:rPr>
        <w:t xml:space="preserve">dne </w:t>
      </w:r>
      <w:r w:rsidR="0056029F">
        <w:rPr>
          <w:rFonts w:cs="Arial"/>
          <w:sz w:val="22"/>
          <w:szCs w:val="22"/>
        </w:rPr>
        <w:t>………..</w:t>
      </w:r>
    </w:p>
    <w:p w14:paraId="3F263D77" w14:textId="1988387B" w:rsidR="007856D1" w:rsidRDefault="007856D1" w:rsidP="00200934">
      <w:pPr>
        <w:tabs>
          <w:tab w:val="left" w:pos="4680"/>
        </w:tabs>
        <w:spacing w:line="360" w:lineRule="auto"/>
        <w:jc w:val="both"/>
        <w:rPr>
          <w:rFonts w:cs="Arial"/>
          <w:sz w:val="22"/>
          <w:szCs w:val="22"/>
        </w:rPr>
      </w:pPr>
    </w:p>
    <w:p w14:paraId="19EB77D7" w14:textId="77777777" w:rsidR="001139FC" w:rsidRPr="007856D1" w:rsidRDefault="001139FC" w:rsidP="00200934">
      <w:pPr>
        <w:tabs>
          <w:tab w:val="left" w:pos="4680"/>
        </w:tabs>
        <w:spacing w:line="360" w:lineRule="auto"/>
        <w:jc w:val="both"/>
        <w:rPr>
          <w:rFonts w:cs="Arial"/>
          <w:sz w:val="22"/>
          <w:szCs w:val="22"/>
        </w:rPr>
      </w:pPr>
    </w:p>
    <w:p w14:paraId="3910C543" w14:textId="77777777"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t>…………………………………………….</w:t>
      </w:r>
    </w:p>
    <w:p w14:paraId="536C7CAC" w14:textId="77777777" w:rsidR="007856D1" w:rsidRPr="007856D1" w:rsidRDefault="007856D1" w:rsidP="007856D1">
      <w:pPr>
        <w:tabs>
          <w:tab w:val="left" w:pos="4680"/>
        </w:tabs>
        <w:spacing w:line="360" w:lineRule="auto"/>
        <w:jc w:val="both"/>
        <w:rPr>
          <w:rFonts w:cs="Arial"/>
          <w:sz w:val="22"/>
          <w:szCs w:val="22"/>
        </w:rPr>
      </w:pPr>
      <w:r w:rsidRPr="007856D1">
        <w:rPr>
          <w:rFonts w:cs="Arial"/>
          <w:sz w:val="22"/>
          <w:szCs w:val="22"/>
        </w:rPr>
        <w:t>Dodavatel</w:t>
      </w:r>
      <w:r w:rsidRPr="007856D1">
        <w:rPr>
          <w:rFonts w:cs="Arial"/>
          <w:sz w:val="22"/>
          <w:szCs w:val="22"/>
        </w:rPr>
        <w:tab/>
        <w:t>Objednatel</w:t>
      </w:r>
    </w:p>
    <w:p w14:paraId="03F7AA74" w14:textId="77777777" w:rsidR="00200934" w:rsidRPr="007856D1" w:rsidRDefault="00200934" w:rsidP="00200934">
      <w:pPr>
        <w:tabs>
          <w:tab w:val="left" w:pos="4680"/>
        </w:tabs>
        <w:spacing w:line="360" w:lineRule="auto"/>
        <w:jc w:val="both"/>
        <w:rPr>
          <w:rFonts w:cs="Arial"/>
          <w:bCs/>
          <w:sz w:val="22"/>
          <w:szCs w:val="22"/>
        </w:rPr>
      </w:pPr>
      <w:r w:rsidRPr="007856D1">
        <w:rPr>
          <w:rFonts w:cs="Arial"/>
          <w:bCs/>
          <w:sz w:val="22"/>
          <w:szCs w:val="22"/>
        </w:rPr>
        <w:tab/>
      </w:r>
      <w:r w:rsidRPr="007856D1">
        <w:rPr>
          <w:rFonts w:cs="Arial"/>
          <w:sz w:val="22"/>
          <w:szCs w:val="22"/>
        </w:rPr>
        <w:tab/>
      </w:r>
    </w:p>
    <w:sectPr w:rsidR="00200934" w:rsidRPr="007856D1"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7EF71" w14:textId="77777777" w:rsidR="00E7368E" w:rsidRDefault="00E7368E">
      <w:r>
        <w:separator/>
      </w:r>
    </w:p>
  </w:endnote>
  <w:endnote w:type="continuationSeparator" w:id="0">
    <w:p w14:paraId="58476157" w14:textId="77777777" w:rsidR="00E7368E" w:rsidRDefault="00E7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2F6AB" w14:textId="4E862959" w:rsidR="00425EF2" w:rsidRPr="007856D1" w:rsidRDefault="00425EF2"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221883">
      <w:rPr>
        <w:rFonts w:cs="Arial"/>
        <w:noProof/>
        <w:sz w:val="18"/>
        <w:szCs w:val="20"/>
      </w:rPr>
      <w:t>10</w:t>
    </w:r>
    <w:r w:rsidRPr="007856D1">
      <w:rPr>
        <w:rFonts w:cs="Arial"/>
        <w:sz w:val="18"/>
        <w:szCs w:val="20"/>
      </w:rPr>
      <w:fldChar w:fldCharType="end"/>
    </w:r>
    <w:r w:rsidRPr="007856D1">
      <w:rPr>
        <w:rFonts w:cs="Arial"/>
        <w:sz w:val="18"/>
        <w:szCs w:val="20"/>
      </w:rPr>
      <w:t xml:space="preserve"> /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221883">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72470" w14:textId="77777777" w:rsidR="00E7368E" w:rsidRDefault="00E7368E">
      <w:r>
        <w:separator/>
      </w:r>
    </w:p>
  </w:footnote>
  <w:footnote w:type="continuationSeparator" w:id="0">
    <w:p w14:paraId="1B2E0DB1" w14:textId="77777777" w:rsidR="00E7368E" w:rsidRDefault="00E7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87B52" w14:textId="77777777" w:rsidR="00425EF2" w:rsidRDefault="00425EF2" w:rsidP="00DF00AD">
    <w:pPr>
      <w:pStyle w:val="Zhlav"/>
    </w:pPr>
    <w:r>
      <w:rPr>
        <w:noProof/>
      </w:rPr>
      <w:drawing>
        <wp:inline distT="0" distB="0" distL="0" distR="0" wp14:anchorId="047ADE56" wp14:editId="78B03632">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C290A5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ADE2872"/>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CC05020"/>
    <w:multiLevelType w:val="multilevel"/>
    <w:tmpl w:val="D15AF4E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0C61CC2"/>
    <w:lvl w:ilvl="0">
      <w:start w:val="8"/>
      <w:numFmt w:val="decimal"/>
      <w:lvlText w:val="%1"/>
      <w:lvlJc w:val="left"/>
      <w:pPr>
        <w:ind w:left="360" w:hanging="360"/>
      </w:pPr>
      <w:rPr>
        <w:rFonts w:hint="default"/>
      </w:rPr>
    </w:lvl>
    <w:lvl w:ilvl="1">
      <w:start w:val="1"/>
      <w:numFmt w:val="decimal"/>
      <w:lvlText w:val="%1.%2"/>
      <w:lvlJc w:val="left"/>
      <w:pPr>
        <w:ind w:left="624" w:hanging="567"/>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7CC3FC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20"/>
  </w:num>
  <w:num w:numId="4">
    <w:abstractNumId w:val="5"/>
  </w:num>
  <w:num w:numId="5">
    <w:abstractNumId w:val="27"/>
  </w:num>
  <w:num w:numId="6">
    <w:abstractNumId w:val="18"/>
  </w:num>
  <w:num w:numId="7">
    <w:abstractNumId w:val="10"/>
  </w:num>
  <w:num w:numId="8">
    <w:abstractNumId w:val="8"/>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5"/>
  </w:num>
  <w:num w:numId="13">
    <w:abstractNumId w:val="11"/>
  </w:num>
  <w:num w:numId="14">
    <w:abstractNumId w:val="19"/>
  </w:num>
  <w:num w:numId="15">
    <w:abstractNumId w:val="29"/>
  </w:num>
  <w:num w:numId="16">
    <w:abstractNumId w:val="31"/>
  </w:num>
  <w:num w:numId="17">
    <w:abstractNumId w:val="28"/>
  </w:num>
  <w:num w:numId="18">
    <w:abstractNumId w:val="4"/>
  </w:num>
  <w:num w:numId="19">
    <w:abstractNumId w:val="16"/>
  </w:num>
  <w:num w:numId="20">
    <w:abstractNumId w:val="17"/>
  </w:num>
  <w:num w:numId="21">
    <w:abstractNumId w:val="1"/>
  </w:num>
  <w:num w:numId="22">
    <w:abstractNumId w:val="26"/>
  </w:num>
  <w:num w:numId="23">
    <w:abstractNumId w:val="0"/>
  </w:num>
  <w:num w:numId="24">
    <w:abstractNumId w:val="24"/>
  </w:num>
  <w:num w:numId="25">
    <w:abstractNumId w:val="2"/>
  </w:num>
  <w:num w:numId="26">
    <w:abstractNumId w:val="6"/>
  </w:num>
  <w:num w:numId="27">
    <w:abstractNumId w:val="9"/>
  </w:num>
  <w:num w:numId="28">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7"/>
  </w:num>
  <w:num w:numId="31">
    <w:abstractNumId w:val="30"/>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118A5"/>
    <w:rsid w:val="00014CB3"/>
    <w:rsid w:val="00016D52"/>
    <w:rsid w:val="000175A4"/>
    <w:rsid w:val="00020504"/>
    <w:rsid w:val="00031638"/>
    <w:rsid w:val="0003316E"/>
    <w:rsid w:val="00034325"/>
    <w:rsid w:val="000371C7"/>
    <w:rsid w:val="000408F8"/>
    <w:rsid w:val="00041D2B"/>
    <w:rsid w:val="00042124"/>
    <w:rsid w:val="00045EBB"/>
    <w:rsid w:val="00047F5B"/>
    <w:rsid w:val="000501EF"/>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4753"/>
    <w:rsid w:val="00105A25"/>
    <w:rsid w:val="0010704D"/>
    <w:rsid w:val="001109DC"/>
    <w:rsid w:val="00112661"/>
    <w:rsid w:val="001139FC"/>
    <w:rsid w:val="001158EF"/>
    <w:rsid w:val="00120167"/>
    <w:rsid w:val="001203B8"/>
    <w:rsid w:val="00121506"/>
    <w:rsid w:val="00126241"/>
    <w:rsid w:val="00132410"/>
    <w:rsid w:val="00132C82"/>
    <w:rsid w:val="00134865"/>
    <w:rsid w:val="001349C3"/>
    <w:rsid w:val="00135A56"/>
    <w:rsid w:val="00137198"/>
    <w:rsid w:val="001409D3"/>
    <w:rsid w:val="00141080"/>
    <w:rsid w:val="001429A5"/>
    <w:rsid w:val="00144949"/>
    <w:rsid w:val="00147194"/>
    <w:rsid w:val="00152D8C"/>
    <w:rsid w:val="001538FA"/>
    <w:rsid w:val="001550E3"/>
    <w:rsid w:val="0016145C"/>
    <w:rsid w:val="001628C6"/>
    <w:rsid w:val="001650D0"/>
    <w:rsid w:val="001650D6"/>
    <w:rsid w:val="00165804"/>
    <w:rsid w:val="0016757E"/>
    <w:rsid w:val="0016777C"/>
    <w:rsid w:val="00170130"/>
    <w:rsid w:val="00171255"/>
    <w:rsid w:val="001723CB"/>
    <w:rsid w:val="00175ED5"/>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B58"/>
    <w:rsid w:val="001E6AF8"/>
    <w:rsid w:val="001F29B3"/>
    <w:rsid w:val="001F2B2A"/>
    <w:rsid w:val="001F2C49"/>
    <w:rsid w:val="001F3473"/>
    <w:rsid w:val="001F77F4"/>
    <w:rsid w:val="00200934"/>
    <w:rsid w:val="00206D18"/>
    <w:rsid w:val="002074DB"/>
    <w:rsid w:val="00210F26"/>
    <w:rsid w:val="002150E8"/>
    <w:rsid w:val="00221883"/>
    <w:rsid w:val="00222084"/>
    <w:rsid w:val="00226C58"/>
    <w:rsid w:val="002278E5"/>
    <w:rsid w:val="00231A87"/>
    <w:rsid w:val="00234722"/>
    <w:rsid w:val="00237079"/>
    <w:rsid w:val="002374D0"/>
    <w:rsid w:val="00240D27"/>
    <w:rsid w:val="0024275D"/>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36B"/>
    <w:rsid w:val="00290796"/>
    <w:rsid w:val="0029282E"/>
    <w:rsid w:val="002930C6"/>
    <w:rsid w:val="00296974"/>
    <w:rsid w:val="00297DE0"/>
    <w:rsid w:val="002A08F5"/>
    <w:rsid w:val="002A5570"/>
    <w:rsid w:val="002A7DD9"/>
    <w:rsid w:val="002A7FE7"/>
    <w:rsid w:val="002B21C4"/>
    <w:rsid w:val="002B2C8C"/>
    <w:rsid w:val="002B57A6"/>
    <w:rsid w:val="002B758E"/>
    <w:rsid w:val="002B7BE0"/>
    <w:rsid w:val="002C0F88"/>
    <w:rsid w:val="002C2A25"/>
    <w:rsid w:val="002D4168"/>
    <w:rsid w:val="002D7D58"/>
    <w:rsid w:val="002E1E0D"/>
    <w:rsid w:val="002E6144"/>
    <w:rsid w:val="002F3B45"/>
    <w:rsid w:val="002F5AFA"/>
    <w:rsid w:val="002F6617"/>
    <w:rsid w:val="002F77BC"/>
    <w:rsid w:val="00301A9A"/>
    <w:rsid w:val="00304012"/>
    <w:rsid w:val="003106DF"/>
    <w:rsid w:val="003112AD"/>
    <w:rsid w:val="00311D96"/>
    <w:rsid w:val="00312B94"/>
    <w:rsid w:val="00313C77"/>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364E"/>
    <w:rsid w:val="003B458B"/>
    <w:rsid w:val="003B4C39"/>
    <w:rsid w:val="003C06B3"/>
    <w:rsid w:val="003C30A1"/>
    <w:rsid w:val="003C7C8C"/>
    <w:rsid w:val="003C7E7D"/>
    <w:rsid w:val="003D1CFF"/>
    <w:rsid w:val="003D279A"/>
    <w:rsid w:val="003D2F85"/>
    <w:rsid w:val="003D3DB1"/>
    <w:rsid w:val="003D7213"/>
    <w:rsid w:val="003E01F2"/>
    <w:rsid w:val="003E0D55"/>
    <w:rsid w:val="003E4259"/>
    <w:rsid w:val="003F3337"/>
    <w:rsid w:val="00402927"/>
    <w:rsid w:val="004058E6"/>
    <w:rsid w:val="00410A56"/>
    <w:rsid w:val="00411543"/>
    <w:rsid w:val="00414B2F"/>
    <w:rsid w:val="00415815"/>
    <w:rsid w:val="00416C6F"/>
    <w:rsid w:val="00417263"/>
    <w:rsid w:val="00417331"/>
    <w:rsid w:val="00417AA9"/>
    <w:rsid w:val="004207BD"/>
    <w:rsid w:val="00421986"/>
    <w:rsid w:val="004242B6"/>
    <w:rsid w:val="00424E4F"/>
    <w:rsid w:val="00425EF2"/>
    <w:rsid w:val="00441211"/>
    <w:rsid w:val="00450E92"/>
    <w:rsid w:val="00451176"/>
    <w:rsid w:val="00461E94"/>
    <w:rsid w:val="00462B09"/>
    <w:rsid w:val="00463CF2"/>
    <w:rsid w:val="00471FBE"/>
    <w:rsid w:val="00472F2B"/>
    <w:rsid w:val="004756F0"/>
    <w:rsid w:val="0047677B"/>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30F"/>
    <w:rsid w:val="004D2B4D"/>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029F"/>
    <w:rsid w:val="005659BA"/>
    <w:rsid w:val="00565CE0"/>
    <w:rsid w:val="00567971"/>
    <w:rsid w:val="00567EEB"/>
    <w:rsid w:val="00572DDC"/>
    <w:rsid w:val="0057332F"/>
    <w:rsid w:val="00577690"/>
    <w:rsid w:val="00580A6E"/>
    <w:rsid w:val="00582E66"/>
    <w:rsid w:val="0058403D"/>
    <w:rsid w:val="00585072"/>
    <w:rsid w:val="005875F8"/>
    <w:rsid w:val="005908C4"/>
    <w:rsid w:val="00592592"/>
    <w:rsid w:val="00592954"/>
    <w:rsid w:val="00593DC1"/>
    <w:rsid w:val="00595590"/>
    <w:rsid w:val="00597EBB"/>
    <w:rsid w:val="005A00A2"/>
    <w:rsid w:val="005A0DC0"/>
    <w:rsid w:val="005A2F03"/>
    <w:rsid w:val="005A4D96"/>
    <w:rsid w:val="005A7567"/>
    <w:rsid w:val="005B089D"/>
    <w:rsid w:val="005B0CAB"/>
    <w:rsid w:val="005B3B1F"/>
    <w:rsid w:val="005B46BD"/>
    <w:rsid w:val="005B5E58"/>
    <w:rsid w:val="005C5242"/>
    <w:rsid w:val="005C6F68"/>
    <w:rsid w:val="005D23CF"/>
    <w:rsid w:val="005D282E"/>
    <w:rsid w:val="005D450A"/>
    <w:rsid w:val="005D4EC8"/>
    <w:rsid w:val="005D757B"/>
    <w:rsid w:val="005F1F09"/>
    <w:rsid w:val="005F348E"/>
    <w:rsid w:val="005F7472"/>
    <w:rsid w:val="00600372"/>
    <w:rsid w:val="006016D9"/>
    <w:rsid w:val="006036C2"/>
    <w:rsid w:val="00604D17"/>
    <w:rsid w:val="006066AC"/>
    <w:rsid w:val="00606CF1"/>
    <w:rsid w:val="00612033"/>
    <w:rsid w:val="00612D2E"/>
    <w:rsid w:val="006136BD"/>
    <w:rsid w:val="00614C96"/>
    <w:rsid w:val="00616C62"/>
    <w:rsid w:val="0062380F"/>
    <w:rsid w:val="006259A1"/>
    <w:rsid w:val="006278D7"/>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C01AE"/>
    <w:rsid w:val="006C3241"/>
    <w:rsid w:val="006C60C2"/>
    <w:rsid w:val="006D242E"/>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692F"/>
    <w:rsid w:val="0074779F"/>
    <w:rsid w:val="00747E66"/>
    <w:rsid w:val="00750C25"/>
    <w:rsid w:val="00752C26"/>
    <w:rsid w:val="007655C7"/>
    <w:rsid w:val="00765E99"/>
    <w:rsid w:val="00765EF3"/>
    <w:rsid w:val="0076658F"/>
    <w:rsid w:val="0077100E"/>
    <w:rsid w:val="00771799"/>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2FF2"/>
    <w:rsid w:val="007D5B18"/>
    <w:rsid w:val="007E0C71"/>
    <w:rsid w:val="007F00E7"/>
    <w:rsid w:val="007F0825"/>
    <w:rsid w:val="007F4485"/>
    <w:rsid w:val="007F5C75"/>
    <w:rsid w:val="0080467D"/>
    <w:rsid w:val="00805540"/>
    <w:rsid w:val="00806195"/>
    <w:rsid w:val="00806543"/>
    <w:rsid w:val="0080781B"/>
    <w:rsid w:val="00817FA0"/>
    <w:rsid w:val="008248F0"/>
    <w:rsid w:val="00825B68"/>
    <w:rsid w:val="00825F44"/>
    <w:rsid w:val="00826915"/>
    <w:rsid w:val="00830601"/>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7BC0"/>
    <w:rsid w:val="008A0541"/>
    <w:rsid w:val="008A3CB6"/>
    <w:rsid w:val="008A45CE"/>
    <w:rsid w:val="008A7376"/>
    <w:rsid w:val="008B064D"/>
    <w:rsid w:val="008B5968"/>
    <w:rsid w:val="008B684A"/>
    <w:rsid w:val="008B7265"/>
    <w:rsid w:val="008C1BDC"/>
    <w:rsid w:val="008C5F8B"/>
    <w:rsid w:val="008D0021"/>
    <w:rsid w:val="008D08A4"/>
    <w:rsid w:val="008D64D5"/>
    <w:rsid w:val="008E57D4"/>
    <w:rsid w:val="008F2B16"/>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1202"/>
    <w:rsid w:val="009461FA"/>
    <w:rsid w:val="00946494"/>
    <w:rsid w:val="00946E10"/>
    <w:rsid w:val="009503E6"/>
    <w:rsid w:val="00952C86"/>
    <w:rsid w:val="00956352"/>
    <w:rsid w:val="009639E6"/>
    <w:rsid w:val="0096621B"/>
    <w:rsid w:val="00966DD9"/>
    <w:rsid w:val="00966FC0"/>
    <w:rsid w:val="00966FCB"/>
    <w:rsid w:val="00971561"/>
    <w:rsid w:val="00973E07"/>
    <w:rsid w:val="00976C68"/>
    <w:rsid w:val="00980015"/>
    <w:rsid w:val="00980225"/>
    <w:rsid w:val="00981C52"/>
    <w:rsid w:val="009849A7"/>
    <w:rsid w:val="0098657B"/>
    <w:rsid w:val="009869BF"/>
    <w:rsid w:val="00996982"/>
    <w:rsid w:val="00996EE0"/>
    <w:rsid w:val="009A0D93"/>
    <w:rsid w:val="009A3291"/>
    <w:rsid w:val="009A542E"/>
    <w:rsid w:val="009B1907"/>
    <w:rsid w:val="009B3456"/>
    <w:rsid w:val="009B3D53"/>
    <w:rsid w:val="009B476B"/>
    <w:rsid w:val="009B4D7A"/>
    <w:rsid w:val="009C0D48"/>
    <w:rsid w:val="009C14F8"/>
    <w:rsid w:val="009C3EDA"/>
    <w:rsid w:val="009C45A9"/>
    <w:rsid w:val="009C5BE3"/>
    <w:rsid w:val="009C7DDD"/>
    <w:rsid w:val="009D5768"/>
    <w:rsid w:val="009D6A7A"/>
    <w:rsid w:val="009E3991"/>
    <w:rsid w:val="009E4337"/>
    <w:rsid w:val="009E57E5"/>
    <w:rsid w:val="009F0824"/>
    <w:rsid w:val="009F289E"/>
    <w:rsid w:val="009F6169"/>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281B"/>
    <w:rsid w:val="00A2518D"/>
    <w:rsid w:val="00A25CA3"/>
    <w:rsid w:val="00A2632E"/>
    <w:rsid w:val="00A32825"/>
    <w:rsid w:val="00A35DA9"/>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C3639"/>
    <w:rsid w:val="00AC4E2F"/>
    <w:rsid w:val="00AC76C0"/>
    <w:rsid w:val="00AD2FA7"/>
    <w:rsid w:val="00AE58F2"/>
    <w:rsid w:val="00AE7A72"/>
    <w:rsid w:val="00AE7AF8"/>
    <w:rsid w:val="00AF1099"/>
    <w:rsid w:val="00AF3E4F"/>
    <w:rsid w:val="00AF5004"/>
    <w:rsid w:val="00AF6229"/>
    <w:rsid w:val="00AF6D99"/>
    <w:rsid w:val="00AF792B"/>
    <w:rsid w:val="00B008B8"/>
    <w:rsid w:val="00B01F7B"/>
    <w:rsid w:val="00B03FDF"/>
    <w:rsid w:val="00B1388E"/>
    <w:rsid w:val="00B149EA"/>
    <w:rsid w:val="00B14EFA"/>
    <w:rsid w:val="00B15ECA"/>
    <w:rsid w:val="00B161FF"/>
    <w:rsid w:val="00B171EF"/>
    <w:rsid w:val="00B2077F"/>
    <w:rsid w:val="00B228D0"/>
    <w:rsid w:val="00B46D6B"/>
    <w:rsid w:val="00B50B58"/>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2A9F"/>
    <w:rsid w:val="00BD5740"/>
    <w:rsid w:val="00BD7562"/>
    <w:rsid w:val="00BD7B84"/>
    <w:rsid w:val="00BE00EE"/>
    <w:rsid w:val="00BE1548"/>
    <w:rsid w:val="00BE6001"/>
    <w:rsid w:val="00BE6596"/>
    <w:rsid w:val="00BF3BAB"/>
    <w:rsid w:val="00BF48F1"/>
    <w:rsid w:val="00BF4DEE"/>
    <w:rsid w:val="00C005F1"/>
    <w:rsid w:val="00C03490"/>
    <w:rsid w:val="00C043B8"/>
    <w:rsid w:val="00C0458E"/>
    <w:rsid w:val="00C06783"/>
    <w:rsid w:val="00C06BF1"/>
    <w:rsid w:val="00C11716"/>
    <w:rsid w:val="00C119EF"/>
    <w:rsid w:val="00C13918"/>
    <w:rsid w:val="00C24902"/>
    <w:rsid w:val="00C27914"/>
    <w:rsid w:val="00C30123"/>
    <w:rsid w:val="00C324AB"/>
    <w:rsid w:val="00C347E2"/>
    <w:rsid w:val="00C365FE"/>
    <w:rsid w:val="00C4090B"/>
    <w:rsid w:val="00C40BAB"/>
    <w:rsid w:val="00C43E6F"/>
    <w:rsid w:val="00C442EE"/>
    <w:rsid w:val="00C44AF9"/>
    <w:rsid w:val="00C459E7"/>
    <w:rsid w:val="00C477C0"/>
    <w:rsid w:val="00C47C15"/>
    <w:rsid w:val="00C50F5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5D23"/>
    <w:rsid w:val="00C97015"/>
    <w:rsid w:val="00CA01D9"/>
    <w:rsid w:val="00CA111B"/>
    <w:rsid w:val="00CA1BB1"/>
    <w:rsid w:val="00CA3C4E"/>
    <w:rsid w:val="00CA5864"/>
    <w:rsid w:val="00CB0669"/>
    <w:rsid w:val="00CB29FD"/>
    <w:rsid w:val="00CB2D30"/>
    <w:rsid w:val="00CB635F"/>
    <w:rsid w:val="00CC10DC"/>
    <w:rsid w:val="00CC465C"/>
    <w:rsid w:val="00CC7C2C"/>
    <w:rsid w:val="00CD1F7C"/>
    <w:rsid w:val="00CD2FF3"/>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4794"/>
    <w:rsid w:val="00D65678"/>
    <w:rsid w:val="00D65A75"/>
    <w:rsid w:val="00D72C3D"/>
    <w:rsid w:val="00D76F77"/>
    <w:rsid w:val="00D80047"/>
    <w:rsid w:val="00D8133D"/>
    <w:rsid w:val="00D92524"/>
    <w:rsid w:val="00DA11AE"/>
    <w:rsid w:val="00DA5551"/>
    <w:rsid w:val="00DA6966"/>
    <w:rsid w:val="00DC0B84"/>
    <w:rsid w:val="00DC0F31"/>
    <w:rsid w:val="00DD01F0"/>
    <w:rsid w:val="00DD2BAA"/>
    <w:rsid w:val="00DD2D60"/>
    <w:rsid w:val="00DD4DD5"/>
    <w:rsid w:val="00DD5FF2"/>
    <w:rsid w:val="00DD779C"/>
    <w:rsid w:val="00DE04A6"/>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6C8C"/>
    <w:rsid w:val="00E313A7"/>
    <w:rsid w:val="00E331EE"/>
    <w:rsid w:val="00E34877"/>
    <w:rsid w:val="00E40AFB"/>
    <w:rsid w:val="00E4568D"/>
    <w:rsid w:val="00E46C07"/>
    <w:rsid w:val="00E5315A"/>
    <w:rsid w:val="00E64DBE"/>
    <w:rsid w:val="00E65770"/>
    <w:rsid w:val="00E66267"/>
    <w:rsid w:val="00E66E27"/>
    <w:rsid w:val="00E67396"/>
    <w:rsid w:val="00E71924"/>
    <w:rsid w:val="00E71B26"/>
    <w:rsid w:val="00E7368E"/>
    <w:rsid w:val="00E832CF"/>
    <w:rsid w:val="00E86F18"/>
    <w:rsid w:val="00E87945"/>
    <w:rsid w:val="00E87B85"/>
    <w:rsid w:val="00E97297"/>
    <w:rsid w:val="00EA0E66"/>
    <w:rsid w:val="00EA1D62"/>
    <w:rsid w:val="00EA210B"/>
    <w:rsid w:val="00EA351D"/>
    <w:rsid w:val="00EA3CFD"/>
    <w:rsid w:val="00EA4712"/>
    <w:rsid w:val="00EB3E14"/>
    <w:rsid w:val="00EB423E"/>
    <w:rsid w:val="00EC3334"/>
    <w:rsid w:val="00EC391F"/>
    <w:rsid w:val="00EE0C64"/>
    <w:rsid w:val="00EE0E51"/>
    <w:rsid w:val="00EE0E9A"/>
    <w:rsid w:val="00EE48DB"/>
    <w:rsid w:val="00EE609D"/>
    <w:rsid w:val="00EE7F40"/>
    <w:rsid w:val="00EF5362"/>
    <w:rsid w:val="00EF595E"/>
    <w:rsid w:val="00EF6AB1"/>
    <w:rsid w:val="00F00947"/>
    <w:rsid w:val="00F0378D"/>
    <w:rsid w:val="00F03E5C"/>
    <w:rsid w:val="00F05522"/>
    <w:rsid w:val="00F102A3"/>
    <w:rsid w:val="00F104D0"/>
    <w:rsid w:val="00F11A2F"/>
    <w:rsid w:val="00F11D6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36A"/>
    <w:rsid w:val="00FD273A"/>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6214EF"/>
  <w15:docId w15:val="{976450FF-7E44-4990-8F46-2C6156C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C067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7F62-0FC6-419B-80F5-CF494B6F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3202</Words>
  <Characters>19932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(UPP-KRP)</dc:creator>
  <cp:lastModifiedBy>Tyrková Radka Ing. (UPT-KRP)</cp:lastModifiedBy>
  <cp:revision>3</cp:revision>
  <cp:lastPrinted>2018-06-20T11:15:00Z</cp:lastPrinted>
  <dcterms:created xsi:type="dcterms:W3CDTF">2021-04-21T11:50:00Z</dcterms:created>
  <dcterms:modified xsi:type="dcterms:W3CDTF">2021-04-21T11:51:00Z</dcterms:modified>
</cp:coreProperties>
</file>