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proofErr w:type="spellStart"/>
      <w:r w:rsidRPr="00B105D1">
        <w:rPr>
          <w:b/>
          <w:bCs/>
          <w:sz w:val="20"/>
        </w:rPr>
        <w:t>Industry</w:t>
      </w:r>
      <w:proofErr w:type="spellEnd"/>
      <w:r w:rsidRPr="00B105D1">
        <w:rPr>
          <w:b/>
          <w:bCs/>
          <w:sz w:val="20"/>
        </w:rPr>
        <w:t xml:space="preserve"> Servis ZK, a.s.</w:t>
      </w:r>
    </w:p>
    <w:p w:rsidR="00CF0040" w:rsidRPr="00AE2F7B" w:rsidRDefault="00CF0040" w:rsidP="00CF0040">
      <w:pPr>
        <w:rPr>
          <w:bCs/>
          <w:sz w:val="20"/>
        </w:rPr>
      </w:pPr>
      <w:r w:rsidRPr="00AE2F7B">
        <w:rPr>
          <w:sz w:val="20"/>
        </w:rPr>
        <w:t>se sídlem Holešov, Holešovská 1691, PSČ 769 01</w:t>
      </w:r>
    </w:p>
    <w:p w:rsidR="00CF0040" w:rsidRPr="00AE2F7B" w:rsidRDefault="00CF0040" w:rsidP="00CF0040">
      <w:pPr>
        <w:rPr>
          <w:bCs/>
          <w:sz w:val="20"/>
        </w:rPr>
      </w:pPr>
      <w:r w:rsidRPr="00AE2F7B">
        <w:rPr>
          <w:sz w:val="20"/>
        </w:rPr>
        <w:t xml:space="preserve">IČ: 63080303 </w:t>
      </w:r>
    </w:p>
    <w:p w:rsidR="00CF0040" w:rsidRPr="0051661F" w:rsidRDefault="00CF0040" w:rsidP="00CF0040">
      <w:pPr>
        <w:rPr>
          <w:bCs/>
          <w:sz w:val="20"/>
        </w:rPr>
      </w:pPr>
      <w:r w:rsidRPr="0051661F">
        <w:rPr>
          <w:bCs/>
          <w:sz w:val="20"/>
        </w:rPr>
        <w:t xml:space="preserve">DIČ: CZ63080303  </w:t>
      </w:r>
    </w:p>
    <w:p w:rsidR="00CF0040" w:rsidRPr="0051661F" w:rsidRDefault="00CF0040" w:rsidP="00CF0040">
      <w:pPr>
        <w:rPr>
          <w:bCs/>
          <w:sz w:val="20"/>
        </w:rPr>
      </w:pPr>
      <w:proofErr w:type="gramStart"/>
      <w:r w:rsidRPr="0051661F">
        <w:rPr>
          <w:bCs/>
          <w:sz w:val="20"/>
        </w:rPr>
        <w:t xml:space="preserve">zastoupená </w:t>
      </w:r>
      <w:r w:rsidR="00933B6C" w:rsidRPr="0051661F">
        <w:rPr>
          <w:bCs/>
          <w:sz w:val="20"/>
        </w:rPr>
        <w:t xml:space="preserve"> </w:t>
      </w:r>
      <w:r w:rsidR="00AE2F7B" w:rsidRPr="0051661F">
        <w:rPr>
          <w:sz w:val="20"/>
        </w:rPr>
        <w:t>Ing.</w:t>
      </w:r>
      <w:proofErr w:type="gramEnd"/>
      <w:r w:rsidR="00AE2F7B" w:rsidRPr="0051661F">
        <w:rPr>
          <w:sz w:val="20"/>
        </w:rPr>
        <w:t xml:space="preserve"> Mgr. Lucií Pluhařovou, předsedkyní představenstva</w:t>
      </w:r>
    </w:p>
    <w:p w:rsidR="00CF0040" w:rsidRPr="0051661F" w:rsidRDefault="00CF0040" w:rsidP="00CF0040">
      <w:pPr>
        <w:rPr>
          <w:sz w:val="20"/>
        </w:rPr>
      </w:pPr>
      <w:r w:rsidRPr="0051661F">
        <w:rPr>
          <w:bCs/>
          <w:sz w:val="20"/>
        </w:rPr>
        <w:t>zapsaná v obchodním rejstříku vedeném Krajským soudem v Brně, oddíl B, vložka 1952</w:t>
      </w:r>
    </w:p>
    <w:p w:rsidR="00CF0040" w:rsidRPr="0051661F" w:rsidRDefault="00CF0040" w:rsidP="00CF0040">
      <w:pPr>
        <w:rPr>
          <w:bCs/>
          <w:sz w:val="20"/>
        </w:rPr>
      </w:pPr>
      <w:r w:rsidRPr="0051661F">
        <w:rPr>
          <w:bCs/>
          <w:sz w:val="20"/>
        </w:rPr>
        <w:t xml:space="preserve">bankovní spojení: </w:t>
      </w:r>
      <w:proofErr w:type="spellStart"/>
      <w:r w:rsidR="008F1236">
        <w:rPr>
          <w:bCs/>
          <w:sz w:val="20"/>
        </w:rPr>
        <w:t>xxxxxxxxxxxxxx</w:t>
      </w:r>
      <w:proofErr w:type="spellEnd"/>
    </w:p>
    <w:p w:rsidR="00CF0040" w:rsidRPr="0051661F" w:rsidRDefault="00CF0040" w:rsidP="00CF0040">
      <w:pPr>
        <w:rPr>
          <w:sz w:val="20"/>
        </w:rPr>
      </w:pPr>
      <w:r w:rsidRPr="0051661F">
        <w:rPr>
          <w:bCs/>
          <w:sz w:val="20"/>
        </w:rPr>
        <w:t xml:space="preserve">č. </w:t>
      </w:r>
      <w:r w:rsidRPr="0051661F">
        <w:rPr>
          <w:sz w:val="20"/>
        </w:rPr>
        <w:t xml:space="preserve">účtu: </w:t>
      </w:r>
      <w:proofErr w:type="spellStart"/>
      <w:r w:rsidR="008F1236">
        <w:rPr>
          <w:sz w:val="20"/>
        </w:rPr>
        <w:t>xxxxxxxxxxxxxxxx</w:t>
      </w:r>
      <w:proofErr w:type="spellEnd"/>
    </w:p>
    <w:p w:rsidR="00CF0040" w:rsidRPr="0051661F" w:rsidRDefault="00CF0040" w:rsidP="00CF0040">
      <w:pPr>
        <w:rPr>
          <w:sz w:val="20"/>
        </w:rPr>
      </w:pPr>
      <w:r w:rsidRPr="0051661F">
        <w:rPr>
          <w:sz w:val="20"/>
        </w:rPr>
        <w:t>(dále jen jako „</w:t>
      </w:r>
      <w:r w:rsidRPr="0051661F">
        <w:rPr>
          <w:b/>
          <w:sz w:val="20"/>
        </w:rPr>
        <w:t>pronajímatel</w:t>
      </w:r>
      <w:r w:rsidRPr="0051661F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3C0F6D" w:rsidRPr="003C0F6D" w:rsidRDefault="003C0F6D" w:rsidP="003C0F6D">
      <w:pPr>
        <w:pStyle w:val="Nadpis20"/>
        <w:keepNext/>
        <w:keepLines/>
        <w:shd w:val="clear" w:color="auto" w:fill="auto"/>
        <w:spacing w:before="0" w:after="0" w:line="250" w:lineRule="exact"/>
        <w:ind w:firstLine="0"/>
        <w:rPr>
          <w:sz w:val="20"/>
          <w:szCs w:val="20"/>
        </w:rPr>
      </w:pPr>
      <w:bookmarkStart w:id="0" w:name="bookmark3"/>
      <w:proofErr w:type="spellStart"/>
      <w:r w:rsidRPr="003C0F6D">
        <w:rPr>
          <w:sz w:val="20"/>
          <w:szCs w:val="20"/>
        </w:rPr>
        <w:t>Pollyset</w:t>
      </w:r>
      <w:proofErr w:type="spellEnd"/>
      <w:r w:rsidRPr="003C0F6D">
        <w:rPr>
          <w:sz w:val="20"/>
          <w:szCs w:val="20"/>
        </w:rPr>
        <w:t xml:space="preserve"> s.r.o.</w:t>
      </w:r>
      <w:bookmarkEnd w:id="0"/>
    </w:p>
    <w:p w:rsidR="003C0F6D" w:rsidRPr="003C0F6D" w:rsidRDefault="003C0F6D" w:rsidP="003C0F6D">
      <w:pPr>
        <w:pStyle w:val="Zkladntext20"/>
        <w:shd w:val="clear" w:color="auto" w:fill="auto"/>
        <w:spacing w:before="0" w:after="0" w:line="250" w:lineRule="exact"/>
        <w:ind w:right="680" w:firstLine="0"/>
        <w:jc w:val="left"/>
        <w:rPr>
          <w:sz w:val="20"/>
          <w:szCs w:val="20"/>
        </w:rPr>
      </w:pPr>
      <w:r w:rsidRPr="003C0F6D">
        <w:rPr>
          <w:sz w:val="20"/>
          <w:szCs w:val="20"/>
        </w:rPr>
        <w:t>se sídlem: Prokopova 148/15, Žižkov, 130 00 Praha 3 IČ: 03406491 DIČ: CZ03406491</w:t>
      </w:r>
    </w:p>
    <w:p w:rsidR="003C0F6D" w:rsidRPr="003C0F6D" w:rsidRDefault="003C0F6D" w:rsidP="003C0F6D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sz w:val="20"/>
          <w:szCs w:val="20"/>
        </w:rPr>
      </w:pPr>
      <w:r w:rsidRPr="003C0F6D">
        <w:rPr>
          <w:sz w:val="20"/>
          <w:szCs w:val="20"/>
        </w:rPr>
        <w:t>zapsán v: v obchodním rejstříku vedeném Městským soudem v Praze, oddíl C, vložka 231272</w:t>
      </w:r>
    </w:p>
    <w:p w:rsidR="003C0F6D" w:rsidRPr="003C0F6D" w:rsidRDefault="0039468A" w:rsidP="003C0F6D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 w:rsidR="00DE48C9">
        <w:rPr>
          <w:sz w:val="20"/>
          <w:szCs w:val="20"/>
        </w:rPr>
        <w:t xml:space="preserve">Ing. </w:t>
      </w:r>
      <w:r>
        <w:rPr>
          <w:sz w:val="20"/>
          <w:szCs w:val="20"/>
        </w:rPr>
        <w:t xml:space="preserve">Liborem </w:t>
      </w:r>
      <w:proofErr w:type="spellStart"/>
      <w:r>
        <w:rPr>
          <w:sz w:val="20"/>
          <w:szCs w:val="20"/>
        </w:rPr>
        <w:t>Sos</w:t>
      </w:r>
      <w:r w:rsidR="003C0F6D" w:rsidRPr="003C0F6D">
        <w:rPr>
          <w:sz w:val="20"/>
          <w:szCs w:val="20"/>
        </w:rPr>
        <w:t>kou</w:t>
      </w:r>
      <w:proofErr w:type="spellEnd"/>
      <w:r w:rsidR="003C0F6D" w:rsidRPr="003C0F6D">
        <w:rPr>
          <w:sz w:val="20"/>
          <w:szCs w:val="20"/>
        </w:rPr>
        <w:t>, jednatelem</w:t>
      </w:r>
    </w:p>
    <w:p w:rsidR="003C0F6D" w:rsidRPr="003C0F6D" w:rsidRDefault="003C0F6D" w:rsidP="003C0F6D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sz w:val="20"/>
          <w:szCs w:val="20"/>
        </w:rPr>
      </w:pPr>
      <w:r w:rsidRPr="003C0F6D">
        <w:rPr>
          <w:sz w:val="20"/>
          <w:szCs w:val="20"/>
        </w:rPr>
        <w:t xml:space="preserve">bankovní spojení: </w:t>
      </w:r>
      <w:proofErr w:type="spellStart"/>
      <w:r w:rsidR="008F1236">
        <w:rPr>
          <w:sz w:val="20"/>
          <w:szCs w:val="20"/>
        </w:rPr>
        <w:t>xxxxxxxxxxxxx</w:t>
      </w:r>
      <w:proofErr w:type="spellEnd"/>
    </w:p>
    <w:p w:rsidR="003C0F6D" w:rsidRPr="003C0F6D" w:rsidRDefault="003C0F6D" w:rsidP="003C0F6D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sz w:val="20"/>
          <w:szCs w:val="20"/>
        </w:rPr>
      </w:pPr>
      <w:r w:rsidRPr="003C0F6D">
        <w:rPr>
          <w:sz w:val="20"/>
          <w:szCs w:val="20"/>
        </w:rPr>
        <w:t xml:space="preserve">č. účtu: </w:t>
      </w:r>
      <w:r w:rsidR="008F1236">
        <w:rPr>
          <w:sz w:val="20"/>
          <w:szCs w:val="20"/>
        </w:rPr>
        <w:t>xxxxxxxxxxxxxxxxx</w:t>
      </w:r>
      <w:bookmarkStart w:id="1" w:name="_GoBack"/>
      <w:bookmarkEnd w:id="1"/>
    </w:p>
    <w:p w:rsidR="00CF0040" w:rsidRPr="00B105D1" w:rsidRDefault="003C0F6D" w:rsidP="003C0F6D">
      <w:pPr>
        <w:rPr>
          <w:sz w:val="20"/>
        </w:rPr>
      </w:pPr>
      <w:r w:rsidRPr="00B105D1">
        <w:rPr>
          <w:sz w:val="20"/>
        </w:rPr>
        <w:t xml:space="preserve"> </w:t>
      </w:r>
      <w:r w:rsidR="00990671" w:rsidRPr="00B105D1">
        <w:rPr>
          <w:sz w:val="20"/>
        </w:rPr>
        <w:t>(dále jen jako „</w:t>
      </w:r>
      <w:r w:rsidR="00990671" w:rsidRPr="00B105D1">
        <w:rPr>
          <w:b/>
          <w:sz w:val="20"/>
        </w:rPr>
        <w:t>nájemce</w:t>
      </w:r>
      <w:r w:rsidR="00990671"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1.1 </w:t>
      </w:r>
      <w:r w:rsidRPr="00B105D1">
        <w:rPr>
          <w:sz w:val="20"/>
        </w:rPr>
        <w:t xml:space="preserve">Pronajímatel je výlučným vlastníkem </w:t>
      </w:r>
      <w:r w:rsidRPr="00B105D1">
        <w:rPr>
          <w:b/>
          <w:sz w:val="20"/>
        </w:rPr>
        <w:t>budovy č. p. 169</w:t>
      </w:r>
      <w:r w:rsidR="00990671" w:rsidRPr="00B105D1">
        <w:rPr>
          <w:b/>
          <w:sz w:val="20"/>
        </w:rPr>
        <w:t>2</w:t>
      </w:r>
      <w:r w:rsidRPr="00B105D1">
        <w:rPr>
          <w:sz w:val="20"/>
        </w:rPr>
        <w:t>, postavené na pozemku p. č. 2760/8</w:t>
      </w:r>
      <w:r w:rsidR="00990671" w:rsidRPr="00B105D1">
        <w:rPr>
          <w:sz w:val="20"/>
        </w:rPr>
        <w:t>1</w:t>
      </w:r>
      <w:r w:rsidR="00933B6C" w:rsidRPr="00B105D1">
        <w:rPr>
          <w:sz w:val="20"/>
        </w:rPr>
        <w:t xml:space="preserve"> v k. 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B105D1">
        <w:rPr>
          <w:sz w:val="20"/>
        </w:rPr>
        <w:t xml:space="preserve">k. 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a obec</w:t>
      </w:r>
      <w:proofErr w:type="gramEnd"/>
      <w:r w:rsidRPr="00B105D1">
        <w:rPr>
          <w:sz w:val="20"/>
        </w:rPr>
        <w:t xml:space="preserve"> (</w:t>
      </w:r>
      <w:r w:rsidRPr="00B105D1">
        <w:rPr>
          <w:b/>
          <w:sz w:val="20"/>
        </w:rPr>
        <w:t>dále také jen „SO 10</w:t>
      </w:r>
      <w:r w:rsidR="00990671" w:rsidRPr="00B105D1">
        <w:rPr>
          <w:b/>
          <w:sz w:val="20"/>
        </w:rPr>
        <w:t>3</w:t>
      </w:r>
      <w:r w:rsidRPr="00B105D1">
        <w:rPr>
          <w:b/>
          <w:sz w:val="20"/>
        </w:rPr>
        <w:t>“</w:t>
      </w:r>
      <w:r w:rsidRPr="00B105D1">
        <w:rPr>
          <w:sz w:val="20"/>
        </w:rPr>
        <w:t>). Pronajímatel vybudova</w:t>
      </w:r>
      <w:r w:rsidR="00990671" w:rsidRPr="00B105D1">
        <w:rPr>
          <w:sz w:val="20"/>
        </w:rPr>
        <w:t>l objekt SO 103</w:t>
      </w:r>
      <w:r w:rsidRPr="00B105D1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Pr="00B105D1">
        <w:rPr>
          <w:b/>
          <w:sz w:val="20"/>
        </w:rPr>
        <w:t xml:space="preserve"> ve II. NP SO 10</w:t>
      </w:r>
      <w:r w:rsidR="00990671" w:rsidRPr="00B105D1">
        <w:rPr>
          <w:b/>
          <w:sz w:val="20"/>
        </w:rPr>
        <w:t>3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CF0040">
      <w:pPr>
        <w:spacing w:line="40" w:lineRule="atLeast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CF0040" w:rsidRPr="00B105D1" w:rsidRDefault="00990671" w:rsidP="00CF0040">
      <w:pPr>
        <w:spacing w:line="40" w:lineRule="atLeast"/>
        <w:rPr>
          <w:b/>
          <w:sz w:val="20"/>
        </w:rPr>
      </w:pPr>
      <w:r w:rsidRPr="00B105D1">
        <w:rPr>
          <w:b/>
          <w:sz w:val="20"/>
        </w:rPr>
        <w:t>2.21</w:t>
      </w:r>
      <w:r w:rsidRPr="00B105D1">
        <w:rPr>
          <w:b/>
          <w:sz w:val="20"/>
        </w:rPr>
        <w:tab/>
      </w:r>
      <w:r w:rsidRPr="00B105D1">
        <w:rPr>
          <w:b/>
          <w:sz w:val="20"/>
        </w:rPr>
        <w:tab/>
        <w:t>laboratoř</w:t>
      </w:r>
      <w:r w:rsidRPr="00B105D1">
        <w:rPr>
          <w:b/>
          <w:sz w:val="20"/>
        </w:rPr>
        <w:tab/>
      </w:r>
      <w:r w:rsidRPr="00B105D1">
        <w:rPr>
          <w:b/>
          <w:sz w:val="20"/>
        </w:rPr>
        <w:tab/>
        <w:t>34,36</w:t>
      </w:r>
      <w:r w:rsidR="00CF0040" w:rsidRPr="00B105D1">
        <w:rPr>
          <w:b/>
          <w:sz w:val="20"/>
        </w:rPr>
        <w:tab/>
      </w:r>
      <w:r w:rsidR="00CF0040" w:rsidRPr="00B105D1">
        <w:rPr>
          <w:b/>
          <w:sz w:val="20"/>
        </w:rPr>
        <w:tab/>
      </w:r>
    </w:p>
    <w:p w:rsidR="00CF0040" w:rsidRPr="00B105D1" w:rsidRDefault="00CF0040" w:rsidP="00CF0040">
      <w:pPr>
        <w:pStyle w:val="Zkladntext"/>
        <w:rPr>
          <w:sz w:val="20"/>
        </w:rPr>
      </w:pP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Pr="00B105D1">
        <w:rPr>
          <w:sz w:val="20"/>
        </w:rPr>
        <w:t xml:space="preserve"> v II. NP SO 10</w:t>
      </w:r>
      <w:r w:rsidR="00990671" w:rsidRPr="00B105D1">
        <w:rPr>
          <w:sz w:val="20"/>
        </w:rPr>
        <w:t>3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b/>
          <w:sz w:val="20"/>
        </w:rPr>
        <w:t xml:space="preserve">1.3 </w:t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spoluužívání společných prostorů v I. a II. NP </w:t>
      </w:r>
      <w:r w:rsidR="00990671" w:rsidRPr="00B105D1">
        <w:rPr>
          <w:b/>
          <w:sz w:val="20"/>
        </w:rPr>
        <w:t>SO 103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Nájemce je oprávněn prostor</w:t>
      </w:r>
      <w:r w:rsidR="00990671" w:rsidRPr="00B105D1">
        <w:rPr>
          <w:sz w:val="20"/>
        </w:rPr>
        <w:t xml:space="preserve"> užívat jako laboratoř vývoje termosetických hmot</w:t>
      </w:r>
      <w:r w:rsidR="00D52569" w:rsidRPr="00B105D1">
        <w:rPr>
          <w:sz w:val="20"/>
        </w:rPr>
        <w:t xml:space="preserve"> bez zaměření na výrobní činnost.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39468A" w:rsidRPr="0039468A" w:rsidRDefault="00CF0040" w:rsidP="0039468A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Pr="00B105D1">
        <w:rPr>
          <w:sz w:val="20"/>
        </w:rPr>
        <w:t xml:space="preserve">Nájemní smlouva se uzavírá na dobu </w:t>
      </w:r>
      <w:r w:rsidR="00933B6C" w:rsidRPr="00B105D1">
        <w:rPr>
          <w:b/>
          <w:sz w:val="20"/>
        </w:rPr>
        <w:t>určitou</w:t>
      </w:r>
      <w:r w:rsidR="00B750D3" w:rsidRPr="00B105D1">
        <w:rPr>
          <w:b/>
          <w:sz w:val="20"/>
        </w:rPr>
        <w:t xml:space="preserve">, počínaje </w:t>
      </w:r>
      <w:r w:rsidR="00B750D3" w:rsidRPr="003C0F6D">
        <w:rPr>
          <w:b/>
          <w:sz w:val="20"/>
        </w:rPr>
        <w:t>od</w:t>
      </w:r>
      <w:r w:rsidR="00990671" w:rsidRPr="003C0F6D">
        <w:rPr>
          <w:b/>
          <w:sz w:val="20"/>
        </w:rPr>
        <w:t xml:space="preserve"> </w:t>
      </w:r>
      <w:r w:rsidR="00DE48C9">
        <w:rPr>
          <w:b/>
          <w:sz w:val="20"/>
        </w:rPr>
        <w:t>1.</w:t>
      </w:r>
      <w:r w:rsidR="004503B7">
        <w:rPr>
          <w:b/>
          <w:sz w:val="20"/>
        </w:rPr>
        <w:t xml:space="preserve"> </w:t>
      </w:r>
      <w:r w:rsidR="00DE48C9">
        <w:rPr>
          <w:b/>
          <w:sz w:val="20"/>
        </w:rPr>
        <w:t>5</w:t>
      </w:r>
      <w:r w:rsidR="003C0F6D" w:rsidRPr="003C0F6D">
        <w:rPr>
          <w:b/>
          <w:sz w:val="20"/>
        </w:rPr>
        <w:t>.</w:t>
      </w:r>
      <w:r w:rsidR="00DE48C9">
        <w:rPr>
          <w:b/>
          <w:sz w:val="20"/>
        </w:rPr>
        <w:t xml:space="preserve"> </w:t>
      </w:r>
      <w:r w:rsidR="003C0F6D" w:rsidRPr="003C0F6D">
        <w:rPr>
          <w:b/>
          <w:sz w:val="20"/>
        </w:rPr>
        <w:t>2021</w:t>
      </w:r>
      <w:r w:rsidR="00131D2A" w:rsidRPr="003C0F6D">
        <w:rPr>
          <w:b/>
          <w:sz w:val="20"/>
        </w:rPr>
        <w:t xml:space="preserve"> do 31. 12. 2022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25546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CF0040">
      <w:pPr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f) čísla nefakturačních měřidel a stav měřidel, </w:t>
      </w:r>
    </w:p>
    <w:p w:rsidR="00CF0040" w:rsidRDefault="00CF0040" w:rsidP="00DC3B67">
      <w:pPr>
        <w:jc w:val="both"/>
        <w:rPr>
          <w:sz w:val="20"/>
        </w:rPr>
      </w:pPr>
      <w:r w:rsidRPr="00B105D1">
        <w:rPr>
          <w:sz w:val="20"/>
        </w:rPr>
        <w:t>g) podpisy osob, které budou účastny předání a převzetí.</w:t>
      </w:r>
    </w:p>
    <w:p w:rsidR="0039468A" w:rsidRDefault="0039468A" w:rsidP="00DC3B67">
      <w:pPr>
        <w:jc w:val="both"/>
        <w:rPr>
          <w:sz w:val="20"/>
        </w:rPr>
      </w:pPr>
    </w:p>
    <w:p w:rsidR="0039468A" w:rsidRPr="0039468A" w:rsidRDefault="00772C50" w:rsidP="0039468A">
      <w:pPr>
        <w:pStyle w:val="Zkladntext20"/>
        <w:shd w:val="clear" w:color="auto" w:fill="auto"/>
        <w:spacing w:before="0" w:after="0" w:line="230" w:lineRule="exact"/>
        <w:jc w:val="both"/>
        <w:rPr>
          <w:sz w:val="20"/>
          <w:szCs w:val="20"/>
        </w:rPr>
      </w:pPr>
      <w:r>
        <w:t xml:space="preserve">4.3 </w:t>
      </w:r>
      <w:r w:rsidR="0039468A" w:rsidRPr="0039468A">
        <w:rPr>
          <w:sz w:val="20"/>
          <w:szCs w:val="20"/>
        </w:rPr>
        <w:t>Pronajímatel vydá nájemci požadovaný počet vstupních karet umožňujících vstup do pronajatých prostor.</w:t>
      </w:r>
      <w:r w:rsidR="0039468A">
        <w:rPr>
          <w:sz w:val="20"/>
          <w:szCs w:val="20"/>
        </w:rPr>
        <w:t xml:space="preserve"> </w:t>
      </w:r>
      <w:r w:rsidR="0039468A" w:rsidRPr="0039468A">
        <w:rPr>
          <w:sz w:val="20"/>
          <w:szCs w:val="20"/>
        </w:rPr>
        <w:t xml:space="preserve">Nevratný poplatek za vytavení jedné </w:t>
      </w:r>
      <w:r w:rsidR="0051661F">
        <w:rPr>
          <w:sz w:val="20"/>
          <w:szCs w:val="20"/>
        </w:rPr>
        <w:t>vstupní karty je 500</w:t>
      </w:r>
      <w:r w:rsidR="0039468A" w:rsidRPr="0039468A">
        <w:rPr>
          <w:sz w:val="20"/>
          <w:szCs w:val="20"/>
        </w:rPr>
        <w:t xml:space="preserve"> Kč + DPH. Současně za každou poskytnutou k</w:t>
      </w:r>
      <w:r w:rsidR="0051661F">
        <w:rPr>
          <w:sz w:val="20"/>
          <w:szCs w:val="20"/>
        </w:rPr>
        <w:t>artu uhradí nájemce zálohu 200</w:t>
      </w:r>
      <w:r w:rsidR="0039468A" w:rsidRPr="0039468A">
        <w:rPr>
          <w:sz w:val="20"/>
          <w:szCs w:val="20"/>
        </w:rPr>
        <w:t xml:space="preserve"> Kč, která mu bude po skončení nájmu po odevzdání karty vrácena. Záloha se neúročí.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5.1 Nájemné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Nájemce se zavazuje platit pronajímateli nájemné, a to ve výši stanovené v souvislosti s realizací projektu „Technologický park Holešov“ v odst. 1.1 této smlouvy (dále také </w:t>
      </w:r>
      <w:r w:rsidR="004503B7">
        <w:rPr>
          <w:sz w:val="20"/>
        </w:rPr>
        <w:t xml:space="preserve">nájemné). Výše </w:t>
      </w:r>
      <w:r w:rsidRPr="00B105D1">
        <w:rPr>
          <w:sz w:val="20"/>
        </w:rPr>
        <w:t>nájemného je uvedena v </w:t>
      </w:r>
      <w:r w:rsidRPr="00B105D1">
        <w:rPr>
          <w:b/>
          <w:sz w:val="20"/>
        </w:rPr>
        <w:t xml:space="preserve">příloze č. 2 </w:t>
      </w:r>
      <w:proofErr w:type="gramStart"/>
      <w:r w:rsidRPr="00B105D1">
        <w:rPr>
          <w:b/>
          <w:sz w:val="20"/>
        </w:rPr>
        <w:t>této</w:t>
      </w:r>
      <w:proofErr w:type="gramEnd"/>
      <w:r w:rsidRPr="00B105D1">
        <w:rPr>
          <w:b/>
          <w:sz w:val="20"/>
        </w:rPr>
        <w:t xml:space="preserve"> smlouvy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</w:t>
      </w:r>
      <w:r w:rsidR="00F4088A">
        <w:rPr>
          <w:sz w:val="20"/>
        </w:rPr>
        <w:t>užeb v odst. 5.4.1 písm. e) až o</w:t>
      </w:r>
      <w:r w:rsidRPr="00B105D1">
        <w:rPr>
          <w:sz w:val="20"/>
        </w:rPr>
        <w:t xml:space="preserve">) smlouvy.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Nájemné bude hrazeno bezhotovostním převodem na účet pronajímatele, uvedený na daňovém dokladu. K nájemnému a k ceně za služ</w:t>
      </w:r>
      <w:r w:rsidR="00C325B7" w:rsidRPr="00B105D1">
        <w:rPr>
          <w:sz w:val="20"/>
        </w:rPr>
        <w:t>by spojené s užíváváním prostoru</w:t>
      </w:r>
      <w:r w:rsidRPr="00B105D1">
        <w:rPr>
          <w:sz w:val="20"/>
        </w:rPr>
        <w:t xml:space="preserve"> (odst. 5.4) bude připočtena daň z přidané hodnoty. Sazba DPH bude stanovena dle zákona o DPH platného v době uskutečnění zdanitelného plnění. Základem </w:t>
      </w:r>
      <w:r w:rsidR="00C325B7" w:rsidRPr="00B105D1">
        <w:rPr>
          <w:sz w:val="20"/>
        </w:rPr>
        <w:t>daně je v případě nájmu prostoru</w:t>
      </w:r>
      <w:r w:rsidRPr="00B105D1">
        <w:rPr>
          <w:sz w:val="20"/>
        </w:rPr>
        <w:t xml:space="preserve"> zvýhodněné nájemné a v případě služeb spoje</w:t>
      </w:r>
      <w:r w:rsidR="00C325B7" w:rsidRPr="00B105D1">
        <w:rPr>
          <w:sz w:val="20"/>
        </w:rPr>
        <w:t>ných s užíváním prostoru</w:t>
      </w:r>
      <w:r w:rsidR="00582B3C">
        <w:rPr>
          <w:sz w:val="20"/>
        </w:rPr>
        <w:t xml:space="preserve"> v odst. 5.4.1 písm. e</w:t>
      </w:r>
      <w:r w:rsidRPr="00B105D1">
        <w:rPr>
          <w:sz w:val="20"/>
        </w:rPr>
        <w:t xml:space="preserve">) až </w:t>
      </w:r>
      <w:r w:rsidR="00582B3C">
        <w:rPr>
          <w:sz w:val="20"/>
        </w:rPr>
        <w:t>n</w:t>
      </w:r>
      <w:r w:rsidRPr="00B105D1">
        <w:rPr>
          <w:sz w:val="20"/>
        </w:rPr>
        <w:t>) zvýhodněná cena těchto služeb.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5.4 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plynu </w:t>
      </w:r>
      <w:r w:rsidRPr="00B105D1">
        <w:rPr>
          <w:sz w:val="20"/>
        </w:rPr>
        <w:t>– služba není poskytována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lastRenderedPageBreak/>
        <w:t>údržba komunikací a ploch v areálu – letní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parkovišti v areálu TP Holešov – 1 místo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CF0040" w:rsidRPr="00B105D1" w:rsidRDefault="00730E9E" w:rsidP="00CF0040">
      <w:pPr>
        <w:pStyle w:val="Zkladntext"/>
        <w:numPr>
          <w:ilvl w:val="0"/>
          <w:numId w:val="5"/>
        </w:numPr>
        <w:rPr>
          <w:b/>
          <w:sz w:val="20"/>
        </w:rPr>
      </w:pPr>
      <w:proofErr w:type="spellStart"/>
      <w:r w:rsidRPr="00B105D1">
        <w:rPr>
          <w:b/>
          <w:sz w:val="20"/>
        </w:rPr>
        <w:t>serverovna</w:t>
      </w:r>
      <w:proofErr w:type="spellEnd"/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1000B4" w:rsidRPr="002E10A9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úklid prostorů </w:t>
      </w:r>
      <w:r w:rsidR="00C325B7" w:rsidRPr="00B105D1">
        <w:rPr>
          <w:sz w:val="20"/>
        </w:rPr>
        <w:t>– služba není poskytována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2E10A9" w:rsidRPr="002E10A9" w:rsidRDefault="002E10A9" w:rsidP="002E10A9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>5.4.1.2 Otápění prostorů a poskytování TUV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2E10A9">
        <w:rPr>
          <w:sz w:val="20"/>
        </w:rPr>
        <w:t>č. 2  této smlouvy</w:t>
      </w:r>
      <w:proofErr w:type="gramEnd"/>
      <w:r w:rsidRPr="002E10A9">
        <w:rPr>
          <w:sz w:val="20"/>
        </w:rPr>
        <w:t>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>a. paušální platbu za otápění a poskytování TUV pro kanceláře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2E10A9">
        <w:rPr>
          <w:sz w:val="20"/>
        </w:rPr>
        <w:t>této</w:t>
      </w:r>
      <w:proofErr w:type="gramEnd"/>
      <w:r w:rsidRPr="002E10A9">
        <w:rPr>
          <w:sz w:val="20"/>
        </w:rPr>
        <w:t xml:space="preserve"> smlouvy nájemci, pokud pronajímatel nesdělí nájemci pozdější termín účinnosti. </w:t>
      </w:r>
    </w:p>
    <w:p w:rsidR="002E10A9" w:rsidRPr="002E10A9" w:rsidRDefault="002E10A9" w:rsidP="002E10A9">
      <w:pPr>
        <w:spacing w:after="120"/>
        <w:rPr>
          <w:sz w:val="20"/>
        </w:rPr>
      </w:pPr>
      <w:r w:rsidRPr="002E10A9">
        <w:rPr>
          <w:b/>
          <w:sz w:val="20"/>
        </w:rPr>
        <w:t xml:space="preserve">5.4.1.3 Plyn </w:t>
      </w:r>
      <w:r w:rsidR="004E22CE">
        <w:rPr>
          <w:b/>
          <w:sz w:val="20"/>
        </w:rPr>
        <w:t>– není poskytováno</w:t>
      </w:r>
    </w:p>
    <w:p w:rsidR="002E10A9" w:rsidRPr="002E10A9" w:rsidRDefault="002E10A9" w:rsidP="002E10A9">
      <w:pPr>
        <w:pStyle w:val="Zkladntext"/>
        <w:spacing w:after="120"/>
        <w:rPr>
          <w:b/>
          <w:sz w:val="20"/>
        </w:rPr>
      </w:pPr>
      <w:r w:rsidRPr="002E10A9">
        <w:rPr>
          <w:b/>
          <w:sz w:val="20"/>
        </w:rPr>
        <w:t>5.4.1.4 Vodné a stočné</w:t>
      </w:r>
    </w:p>
    <w:p w:rsidR="002E10A9" w:rsidRPr="002E10A9" w:rsidRDefault="002E10A9" w:rsidP="002E10A9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2E10A9" w:rsidP="002E10A9">
      <w:pPr>
        <w:pStyle w:val="Zkladntext"/>
        <w:spacing w:after="120"/>
        <w:rPr>
          <w:b/>
          <w:sz w:val="20"/>
        </w:rPr>
      </w:pPr>
      <w:r w:rsidRPr="0073662D">
        <w:rPr>
          <w:b/>
          <w:sz w:val="20"/>
        </w:rPr>
        <w:t>5.4.1.5</w:t>
      </w:r>
      <w:r>
        <w:rPr>
          <w:b/>
          <w:sz w:val="20"/>
        </w:rPr>
        <w:t xml:space="preserve"> Princip přeúčtování</w:t>
      </w:r>
    </w:p>
    <w:p w:rsidR="002E10A9" w:rsidRDefault="002E10A9" w:rsidP="002E10A9">
      <w:pPr>
        <w:pStyle w:val="Zkladntext"/>
        <w:spacing w:before="120" w:after="120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>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2E10A9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>5.4.1.6 Služby spojené s užívání</w:t>
      </w:r>
      <w:r w:rsidR="00582B3C">
        <w:rPr>
          <w:b/>
          <w:sz w:val="20"/>
        </w:rPr>
        <w:t>m prostorů v odst. 5.4.1 písm. e</w:t>
      </w:r>
      <w:r w:rsidRPr="00B105D1">
        <w:rPr>
          <w:b/>
          <w:sz w:val="20"/>
        </w:rPr>
        <w:t xml:space="preserve">) až </w:t>
      </w:r>
      <w:r w:rsidR="00582B3C">
        <w:rPr>
          <w:b/>
          <w:sz w:val="20"/>
        </w:rPr>
        <w:t>n</w:t>
      </w:r>
      <w:r w:rsidRPr="00B105D1">
        <w:rPr>
          <w:b/>
          <w:sz w:val="20"/>
        </w:rPr>
        <w:t>):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582B3C">
        <w:rPr>
          <w:sz w:val="20"/>
        </w:rPr>
        <w:t xml:space="preserve"> v odst. 5.4.1 písm. e) až n</w:t>
      </w:r>
      <w:r w:rsidRPr="00B105D1">
        <w:rPr>
          <w:sz w:val="20"/>
        </w:rPr>
        <w:t xml:space="preserve">), 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 V příloze č. 2 je rovněž vymezena tržní cena těchto služeb.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 odst. 5.4.1 písm. e</w:t>
      </w:r>
      <w:r w:rsidRPr="00B105D1">
        <w:rPr>
          <w:sz w:val="20"/>
        </w:rPr>
        <w:t xml:space="preserve">) až </w:t>
      </w:r>
      <w:r w:rsidR="00582B3C">
        <w:rPr>
          <w:sz w:val="20"/>
        </w:rPr>
        <w:t>n</w:t>
      </w:r>
      <w:r w:rsidRPr="00B105D1">
        <w:rPr>
          <w:sz w:val="20"/>
        </w:rPr>
        <w:t xml:space="preserve">) v měsíčních splátkách, na základě daňového dokladu (faktury), vystaveného pronajímatelem a doručeného nájemci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proofErr w:type="gramStart"/>
      <w:r w:rsidRPr="00B105D1">
        <w:rPr>
          <w:sz w:val="20"/>
        </w:rPr>
        <w:t>el</w:t>
      </w:r>
      <w:proofErr w:type="gramEnd"/>
      <w:r w:rsidRPr="00B105D1">
        <w:rPr>
          <w:sz w:val="20"/>
        </w:rPr>
        <w:t>.</w:t>
      </w:r>
      <w:proofErr w:type="gramStart"/>
      <w:r w:rsidRPr="00B105D1">
        <w:rPr>
          <w:sz w:val="20"/>
        </w:rPr>
        <w:t>energie</w:t>
      </w:r>
      <w:proofErr w:type="spellEnd"/>
      <w:proofErr w:type="gramEnd"/>
      <w:r w:rsidRPr="00B105D1">
        <w:rPr>
          <w:sz w:val="20"/>
        </w:rPr>
        <w:t>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lastRenderedPageBreak/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služeb v odst. 5.4.1 písm. e) až n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r w:rsidR="00151394">
        <w:rPr>
          <w:sz w:val="20"/>
          <w:u w:val="single"/>
        </w:rPr>
        <w:t>109.905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a zvýhodněnou cenou těchto služeb.</w:t>
      </w:r>
    </w:p>
    <w:p w:rsidR="00CF0040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 w:rsidR="00F4088A">
        <w:rPr>
          <w:b/>
          <w:sz w:val="20"/>
        </w:rPr>
        <w:t>o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tohoto ujednání</w:t>
      </w:r>
      <w:r w:rsidR="00F4088A">
        <w:rPr>
          <w:sz w:val="20"/>
        </w:rPr>
        <w:t>,</w:t>
      </w:r>
      <w:r w:rsidRPr="00B105D1">
        <w:rPr>
          <w:sz w:val="20"/>
        </w:rPr>
        <w:t xml:space="preserve"> hradí nájemce ode dne zastavení poskytování podpory malého rozsahu tržní cenu služeb uvedenou 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</w:t>
      </w:r>
    </w:p>
    <w:p w:rsidR="004503B7" w:rsidRPr="00B105D1" w:rsidRDefault="004503B7" w:rsidP="004503B7">
      <w:pPr>
        <w:spacing w:after="120"/>
        <w:jc w:val="both"/>
        <w:rPr>
          <w:sz w:val="20"/>
        </w:rPr>
      </w:pPr>
      <w:r w:rsidRPr="00B105D1">
        <w:rPr>
          <w:sz w:val="20"/>
        </w:rPr>
        <w:t>Pronajím</w:t>
      </w:r>
      <w:r>
        <w:rPr>
          <w:sz w:val="20"/>
        </w:rPr>
        <w:t xml:space="preserve">atel si tímto vyhrazuje právo </w:t>
      </w:r>
      <w:r w:rsidR="00541640">
        <w:rPr>
          <w:sz w:val="20"/>
        </w:rPr>
        <w:t>ne</w:t>
      </w:r>
      <w:r w:rsidRPr="00B105D1">
        <w:rPr>
          <w:sz w:val="20"/>
        </w:rPr>
        <w:t xml:space="preserve">poskytnout nájemci podporu malého rozsahu formou slevy z ceny </w:t>
      </w:r>
      <w:r w:rsidR="00F4088A">
        <w:rPr>
          <w:sz w:val="20"/>
        </w:rPr>
        <w:t xml:space="preserve">služeb </w:t>
      </w:r>
      <w:r w:rsidRPr="00B105D1">
        <w:rPr>
          <w:sz w:val="20"/>
        </w:rPr>
        <w:t xml:space="preserve">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4503B7" w:rsidRDefault="004503B7" w:rsidP="004503B7">
      <w:pPr>
        <w:pStyle w:val="Zkladntext"/>
        <w:spacing w:after="120"/>
        <w:rPr>
          <w:sz w:val="20"/>
        </w:rPr>
      </w:pPr>
      <w:r w:rsidRPr="00B105D1">
        <w:rPr>
          <w:sz w:val="20"/>
        </w:rPr>
        <w:t xml:space="preserve">V případě uplatnění výše uvedeného práva pronajímatelem hradí nájemce ode dne zastavení poskytování podpory malého rozsahu tržní nájemné uvedené 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</w:t>
      </w:r>
    </w:p>
    <w:p w:rsidR="00F4088A" w:rsidRPr="00B105D1" w:rsidRDefault="00F4088A" w:rsidP="00F4088A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F4088A" w:rsidRPr="00B105D1" w:rsidRDefault="00F4088A" w:rsidP="004503B7">
      <w:pPr>
        <w:pStyle w:val="Zkladntext"/>
        <w:spacing w:after="120"/>
        <w:rPr>
          <w:sz w:val="20"/>
        </w:rPr>
      </w:pPr>
    </w:p>
    <w:p w:rsidR="004503B7" w:rsidRPr="00B105D1" w:rsidRDefault="004503B7" w:rsidP="00DC3B67">
      <w:pPr>
        <w:pStyle w:val="Zkladntext"/>
        <w:spacing w:after="120"/>
        <w:rPr>
          <w:b/>
          <w:sz w:val="20"/>
        </w:rPr>
      </w:pP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BE6CC7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energie</w:t>
      </w:r>
      <w:proofErr w:type="spellEnd"/>
      <w:proofErr w:type="gramEnd"/>
      <w:r w:rsidRPr="00BE6CC7">
        <w:rPr>
          <w:sz w:val="20"/>
        </w:rPr>
        <w:t>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bude platit měsíční splátky paušální platby za otápění prostorů a poskytování TUV ve výši 1/12 roční paušální platby stanovené v Příloze č. 2 </w:t>
      </w:r>
      <w:proofErr w:type="gramStart"/>
      <w:r w:rsidRPr="00BE6CC7">
        <w:rPr>
          <w:sz w:val="20"/>
        </w:rPr>
        <w:t>této</w:t>
      </w:r>
      <w:proofErr w:type="gramEnd"/>
      <w:r w:rsidRPr="00BE6CC7">
        <w:rPr>
          <w:sz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4E22CE">
      <w:pPr>
        <w:spacing w:after="120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BE6CC7" w:rsidRDefault="00BE6CC7" w:rsidP="00BE6CC7">
      <w:pPr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790E95" w:rsidRPr="00790E95" w:rsidRDefault="00790E95" w:rsidP="00790E95">
      <w:pPr>
        <w:jc w:val="both"/>
        <w:rPr>
          <w:sz w:val="20"/>
        </w:rPr>
      </w:pPr>
      <w:r w:rsidRPr="00790E95">
        <w:rPr>
          <w:sz w:val="20"/>
        </w:rPr>
        <w:t xml:space="preserve">Nájemce je povinen do </w:t>
      </w:r>
      <w:r w:rsidR="00825FB5">
        <w:rPr>
          <w:sz w:val="20"/>
        </w:rPr>
        <w:t>dvou</w:t>
      </w:r>
      <w:r w:rsidRPr="00790E95">
        <w:rPr>
          <w:sz w:val="20"/>
        </w:rPr>
        <w:t xml:space="preserve"> měsíc</w:t>
      </w:r>
      <w:r w:rsidR="00825FB5">
        <w:rPr>
          <w:sz w:val="20"/>
        </w:rPr>
        <w:t>ů</w:t>
      </w:r>
      <w:r w:rsidRPr="00790E95">
        <w:rPr>
          <w:sz w:val="20"/>
        </w:rPr>
        <w:t xml:space="preserve">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825FB5">
        <w:rPr>
          <w:b/>
          <w:sz w:val="20"/>
        </w:rPr>
        <w:t>5</w:t>
      </w:r>
      <w:r w:rsidR="00B0755F">
        <w:rPr>
          <w:b/>
          <w:sz w:val="20"/>
        </w:rPr>
        <w:t> 000</w:t>
      </w:r>
      <w:r w:rsidRPr="00790E95">
        <w:rPr>
          <w:b/>
          <w:sz w:val="20"/>
        </w:rPr>
        <w:t xml:space="preserve"> Kč.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 či její zbylá část bezodkladně (do jednoho měsíce) vrácena nájemci. Jistota se neúročí.</w:t>
      </w:r>
    </w:p>
    <w:p w:rsidR="00790E95" w:rsidRPr="00BE6CC7" w:rsidRDefault="00790E95" w:rsidP="00BE6CC7">
      <w:pPr>
        <w:rPr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CF0040" w:rsidRPr="00B105D1" w:rsidRDefault="00CF0040" w:rsidP="00DC3B67">
      <w:pPr>
        <w:keepNext/>
        <w:rPr>
          <w:b/>
          <w:sz w:val="20"/>
        </w:rPr>
      </w:pPr>
    </w:p>
    <w:p w:rsidR="00CF0040" w:rsidRPr="00B105D1" w:rsidRDefault="00CF0040" w:rsidP="00DC3B67">
      <w:pPr>
        <w:keepNext/>
        <w:rPr>
          <w:b/>
          <w:sz w:val="20"/>
        </w:rPr>
      </w:pPr>
      <w:r w:rsidRPr="00B105D1">
        <w:rPr>
          <w:b/>
          <w:sz w:val="20"/>
        </w:rPr>
        <w:t xml:space="preserve">6.1 </w:t>
      </w:r>
      <w:r w:rsidRPr="00B105D1">
        <w:rPr>
          <w:sz w:val="20"/>
        </w:rPr>
        <w:t>Nájemce není oprávněn dát prostor</w:t>
      </w:r>
      <w:r w:rsidR="00061816" w:rsidRPr="00B105D1">
        <w:rPr>
          <w:sz w:val="20"/>
        </w:rPr>
        <w:t xml:space="preserve"> ani jeho</w:t>
      </w:r>
      <w:r w:rsidRPr="00B105D1">
        <w:rPr>
          <w:sz w:val="20"/>
        </w:rPr>
        <w:t xml:space="preserve"> část do podnájmu.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Pr="00B105D1">
        <w:rPr>
          <w:sz w:val="20"/>
        </w:rPr>
        <w:t>Nájemce má zejména právo:</w:t>
      </w:r>
    </w:p>
    <w:p w:rsidR="00CF0040" w:rsidRPr="00B105D1" w:rsidRDefault="00CF0040" w:rsidP="00DC3B67">
      <w:pPr>
        <w:spacing w:after="120"/>
        <w:ind w:left="709" w:hanging="709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7.2 </w:t>
      </w:r>
      <w:r w:rsidRPr="00B105D1">
        <w:rPr>
          <w:sz w:val="20"/>
        </w:rPr>
        <w:t>Nájemce má zejména povinnost:</w:t>
      </w:r>
    </w:p>
    <w:p w:rsidR="00CF0040" w:rsidRPr="00B105D1" w:rsidRDefault="00CF0040" w:rsidP="00DC3B67">
      <w:pPr>
        <w:spacing w:after="120"/>
        <w:ind w:left="705" w:hanging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 nedůvodného vyslání signálu elektronické zabezpečovací signalizace budov nájemcem (jeho zaměstnanci), je nájemce povinen uhradit náklady výjezdu speciálního vozidla, a to ve výši 400,-Kč + </w:t>
      </w:r>
      <w:r w:rsidRPr="00B105D1">
        <w:rPr>
          <w:sz w:val="20"/>
        </w:rPr>
        <w:lastRenderedPageBreak/>
        <w:t>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Pr="00B105D1">
        <w:rPr>
          <w:iCs/>
          <w:sz w:val="20"/>
        </w:rPr>
        <w:t>poskytnutá nájemci v souladu s nařízením Ko</w:t>
      </w:r>
      <w:r w:rsidR="0051661F">
        <w:rPr>
          <w:iCs/>
          <w:sz w:val="20"/>
        </w:rPr>
        <w:t>mise (EU) uvedeným v bodě 5.4.1.6</w:t>
      </w:r>
      <w:r w:rsidRPr="00B105D1">
        <w:rPr>
          <w:iCs/>
          <w:sz w:val="20"/>
        </w:rPr>
        <w:t xml:space="preserve"> této smlouvy 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 xml:space="preserve">nařízeními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>, přesáhne strop, stanovený v nařízení K</w:t>
      </w:r>
      <w:r w:rsidR="0051661F">
        <w:rPr>
          <w:iCs/>
          <w:sz w:val="20"/>
        </w:rPr>
        <w:t>omise (EU) uvedeném v bodě 5.4.1.6</w:t>
      </w:r>
      <w:r w:rsidRPr="00B105D1">
        <w:rPr>
          <w:iCs/>
          <w:sz w:val="20"/>
        </w:rPr>
        <w:t xml:space="preserve">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CF0040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F4088A" w:rsidRPr="00B105D1" w:rsidRDefault="00F4088A" w:rsidP="00DC3B67">
      <w:pPr>
        <w:spacing w:after="120"/>
        <w:ind w:left="705" w:hanging="705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Nájemce je povinen udržovat předmětné prostory nájmu i společné prostory budovy v čistotě a tak, aby svým provozem nijak neomezoval ostatní nájemce.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8.1 </w:t>
      </w:r>
      <w:r w:rsidRPr="00B105D1">
        <w:rPr>
          <w:sz w:val="20"/>
        </w:rPr>
        <w:t xml:space="preserve">Pronajímatel má zejména právo: </w:t>
      </w:r>
    </w:p>
    <w:p w:rsidR="00CF0040" w:rsidRPr="00B105D1" w:rsidRDefault="00061816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B105D1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CF0040" w:rsidRPr="00B105D1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Pr="00B105D1">
        <w:rPr>
          <w:sz w:val="20"/>
        </w:rPr>
        <w:t>Pronajímatel má zejména povinnost: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lastRenderedPageBreak/>
        <w:t xml:space="preserve">- </w:t>
      </w:r>
      <w:r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Pr="00B105D1">
        <w:rPr>
          <w:sz w:val="20"/>
        </w:rPr>
        <w:t xml:space="preserve">Pronajímatel může vypovědět nájem z důvodů uvedených v § 2309 a nájemce z důvodů uvedených v § 2308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zákoník. </w:t>
      </w:r>
      <w:r w:rsidR="008843C6" w:rsidRPr="00B105D1">
        <w:rPr>
          <w:sz w:val="20"/>
        </w:rPr>
        <w:t xml:space="preserve">Pronajímatel i nájemce jsou však oprávněni nájem vypovědět i bez uvedení důvodu, to však nejdříve po </w:t>
      </w:r>
      <w:r w:rsidR="00D95117">
        <w:rPr>
          <w:sz w:val="20"/>
        </w:rPr>
        <w:t>jednom roku</w:t>
      </w:r>
      <w:r w:rsidR="008843C6" w:rsidRPr="00B105D1">
        <w:rPr>
          <w:sz w:val="20"/>
        </w:rPr>
        <w:t xml:space="preserve"> trvání nájmu dle této smlouvy.</w:t>
      </w:r>
    </w:p>
    <w:p w:rsidR="00CF0040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 jedenácté odrážce v 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 odst. </w:t>
      </w:r>
      <w:proofErr w:type="gramStart"/>
      <w:r w:rsidRPr="00B105D1">
        <w:rPr>
          <w:sz w:val="20"/>
        </w:rPr>
        <w:t>2.2. této</w:t>
      </w:r>
      <w:proofErr w:type="gramEnd"/>
      <w:r w:rsidRPr="00B105D1">
        <w:rPr>
          <w:sz w:val="20"/>
        </w:rPr>
        <w:t xml:space="preserve"> smlouvy,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11.2</w:t>
      </w:r>
      <w:r w:rsidRPr="00B105D1">
        <w:rPr>
          <w:sz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706F4" w:rsidRDefault="008C20B2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11.3 </w:t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11.4 </w:t>
      </w:r>
      <w:r w:rsidRPr="00B105D1">
        <w:rPr>
          <w:sz w:val="20"/>
        </w:rPr>
        <w:t xml:space="preserve">Jakékoli změny nebo doplnění této smlouvy lze provést pouze písemně.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11.5 </w:t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lastRenderedPageBreak/>
        <w:t xml:space="preserve">11.6 </w:t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11.7 </w:t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e</w:t>
      </w:r>
      <w:r w:rsidRPr="00B105D1">
        <w:rPr>
          <w:sz w:val="20"/>
        </w:rPr>
        <w:t xml:space="preserve">) až </w:t>
      </w:r>
      <w:r w:rsidR="00BE6CC7">
        <w:rPr>
          <w:sz w:val="20"/>
        </w:rPr>
        <w:t>n</w:t>
      </w:r>
      <w:r w:rsidR="00131D2A">
        <w:rPr>
          <w:sz w:val="20"/>
        </w:rPr>
        <w:t>) smlouvy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CF0040" w:rsidRPr="00DE48C9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proofErr w:type="spellStart"/>
      <w:r w:rsidRPr="00DE48C9">
        <w:rPr>
          <w:sz w:val="20"/>
        </w:rPr>
        <w:t>Industry</w:t>
      </w:r>
      <w:proofErr w:type="spellEnd"/>
      <w:r w:rsidRPr="00DE48C9">
        <w:rPr>
          <w:sz w:val="20"/>
        </w:rPr>
        <w:t xml:space="preserve"> Servis ZK, a.s.</w:t>
      </w:r>
      <w:r w:rsidRPr="00DE48C9">
        <w:rPr>
          <w:sz w:val="20"/>
        </w:rPr>
        <w:tab/>
      </w:r>
      <w:r w:rsidRPr="00DE48C9">
        <w:rPr>
          <w:sz w:val="20"/>
        </w:rPr>
        <w:tab/>
      </w:r>
      <w:proofErr w:type="spellStart"/>
      <w:r w:rsidR="00DE48C9">
        <w:rPr>
          <w:sz w:val="20"/>
        </w:rPr>
        <w:t>Pollyset</w:t>
      </w:r>
      <w:proofErr w:type="spellEnd"/>
      <w:r w:rsidR="00DE48C9">
        <w:rPr>
          <w:sz w:val="20"/>
        </w:rPr>
        <w:t xml:space="preserve"> s.r.o</w:t>
      </w:r>
      <w:r w:rsidR="00730E9E" w:rsidRPr="00DE48C9">
        <w:rPr>
          <w:sz w:val="20"/>
        </w:rPr>
        <w:t>.</w:t>
      </w:r>
    </w:p>
    <w:p w:rsidR="00CF0040" w:rsidRPr="00DE48C9" w:rsidRDefault="00730E9E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DE48C9">
        <w:rPr>
          <w:sz w:val="20"/>
        </w:rPr>
        <w:t xml:space="preserve">Ing. </w:t>
      </w:r>
      <w:r w:rsidR="00DE48C9" w:rsidRPr="00DE48C9">
        <w:rPr>
          <w:sz w:val="20"/>
        </w:rPr>
        <w:t>Mgr. Lucie Pluhařová</w:t>
      </w:r>
      <w:r w:rsidR="00CF0040" w:rsidRPr="00DE48C9">
        <w:rPr>
          <w:sz w:val="20"/>
        </w:rPr>
        <w:tab/>
      </w:r>
      <w:r w:rsidR="00CF0040" w:rsidRPr="00DE48C9">
        <w:rPr>
          <w:sz w:val="20"/>
        </w:rPr>
        <w:tab/>
      </w:r>
      <w:r w:rsidR="00933B6C" w:rsidRPr="00DE48C9">
        <w:rPr>
          <w:sz w:val="20"/>
        </w:rPr>
        <w:t xml:space="preserve">Ing. Libor </w:t>
      </w:r>
      <w:proofErr w:type="spellStart"/>
      <w:r w:rsidR="00933B6C" w:rsidRPr="00DE48C9">
        <w:rPr>
          <w:sz w:val="20"/>
        </w:rPr>
        <w:t>Soska</w:t>
      </w:r>
      <w:proofErr w:type="spellEnd"/>
    </w:p>
    <w:p w:rsidR="00CF0040" w:rsidRPr="00B105D1" w:rsidRDefault="00933B6C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DE48C9">
        <w:rPr>
          <w:sz w:val="20"/>
        </w:rPr>
        <w:t>předsedkyně</w:t>
      </w:r>
      <w:r w:rsidR="00CF0040" w:rsidRPr="00DE48C9">
        <w:rPr>
          <w:sz w:val="20"/>
        </w:rPr>
        <w:t xml:space="preserve"> představenstva</w:t>
      </w:r>
      <w:r w:rsidR="00CF0040" w:rsidRPr="00DE48C9">
        <w:rPr>
          <w:sz w:val="20"/>
        </w:rPr>
        <w:tab/>
      </w:r>
      <w:r w:rsidR="00CF0040" w:rsidRPr="00DE48C9">
        <w:rPr>
          <w:sz w:val="20"/>
        </w:rPr>
        <w:tab/>
      </w:r>
      <w:r w:rsidRPr="00DE48C9">
        <w:rPr>
          <w:sz w:val="20"/>
        </w:rPr>
        <w:t>jednatel</w:t>
      </w:r>
    </w:p>
    <w:sectPr w:rsidR="00CF0040" w:rsidRPr="00B105D1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34" w:rsidRDefault="00124334" w:rsidP="00952B48">
      <w:r>
        <w:separator/>
      </w:r>
    </w:p>
  </w:endnote>
  <w:endnote w:type="continuationSeparator" w:id="0">
    <w:p w:rsidR="00124334" w:rsidRDefault="00124334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8F1236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8F1236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34" w:rsidRDefault="00124334" w:rsidP="00952B48">
      <w:r>
        <w:separator/>
      </w:r>
    </w:p>
  </w:footnote>
  <w:footnote w:type="continuationSeparator" w:id="0">
    <w:p w:rsidR="00124334" w:rsidRDefault="00124334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 xml:space="preserve">číslo smlouvy: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61816"/>
    <w:rsid w:val="00063CE8"/>
    <w:rsid w:val="0008193D"/>
    <w:rsid w:val="000C05DB"/>
    <w:rsid w:val="001000B4"/>
    <w:rsid w:val="00124334"/>
    <w:rsid w:val="00131D2A"/>
    <w:rsid w:val="00151394"/>
    <w:rsid w:val="00187995"/>
    <w:rsid w:val="001A14A5"/>
    <w:rsid w:val="001F01A8"/>
    <w:rsid w:val="002070F7"/>
    <w:rsid w:val="00213E74"/>
    <w:rsid w:val="00235688"/>
    <w:rsid w:val="00253567"/>
    <w:rsid w:val="002E10A9"/>
    <w:rsid w:val="002E58BC"/>
    <w:rsid w:val="003152CB"/>
    <w:rsid w:val="0039468A"/>
    <w:rsid w:val="003C0F6D"/>
    <w:rsid w:val="004503B7"/>
    <w:rsid w:val="004706F4"/>
    <w:rsid w:val="00483451"/>
    <w:rsid w:val="004E22CE"/>
    <w:rsid w:val="0051661F"/>
    <w:rsid w:val="00541640"/>
    <w:rsid w:val="00582B3C"/>
    <w:rsid w:val="005B7963"/>
    <w:rsid w:val="00640C66"/>
    <w:rsid w:val="00674633"/>
    <w:rsid w:val="00677E77"/>
    <w:rsid w:val="00694117"/>
    <w:rsid w:val="006A40E0"/>
    <w:rsid w:val="006B5633"/>
    <w:rsid w:val="006C42FF"/>
    <w:rsid w:val="006E2DCC"/>
    <w:rsid w:val="00730E9E"/>
    <w:rsid w:val="00757DB0"/>
    <w:rsid w:val="00760282"/>
    <w:rsid w:val="00772C50"/>
    <w:rsid w:val="00790E95"/>
    <w:rsid w:val="00792699"/>
    <w:rsid w:val="007E3E32"/>
    <w:rsid w:val="00803F38"/>
    <w:rsid w:val="00824FDF"/>
    <w:rsid w:val="00825FB5"/>
    <w:rsid w:val="008843C6"/>
    <w:rsid w:val="00894E04"/>
    <w:rsid w:val="008C20B2"/>
    <w:rsid w:val="008D53F1"/>
    <w:rsid w:val="008F1236"/>
    <w:rsid w:val="0092082E"/>
    <w:rsid w:val="00933B6C"/>
    <w:rsid w:val="009417FF"/>
    <w:rsid w:val="00952B48"/>
    <w:rsid w:val="00990671"/>
    <w:rsid w:val="009A0559"/>
    <w:rsid w:val="009D35C8"/>
    <w:rsid w:val="00A05CED"/>
    <w:rsid w:val="00A0626B"/>
    <w:rsid w:val="00A24AC0"/>
    <w:rsid w:val="00A85773"/>
    <w:rsid w:val="00AE2F7B"/>
    <w:rsid w:val="00B0755F"/>
    <w:rsid w:val="00B105D1"/>
    <w:rsid w:val="00B750D3"/>
    <w:rsid w:val="00BE6CC7"/>
    <w:rsid w:val="00C325B7"/>
    <w:rsid w:val="00C51798"/>
    <w:rsid w:val="00CD4352"/>
    <w:rsid w:val="00CF0040"/>
    <w:rsid w:val="00CF0056"/>
    <w:rsid w:val="00D159E1"/>
    <w:rsid w:val="00D318CF"/>
    <w:rsid w:val="00D41C30"/>
    <w:rsid w:val="00D52569"/>
    <w:rsid w:val="00D7103B"/>
    <w:rsid w:val="00D809DC"/>
    <w:rsid w:val="00D9400E"/>
    <w:rsid w:val="00D95117"/>
    <w:rsid w:val="00DB2E99"/>
    <w:rsid w:val="00DC3B67"/>
    <w:rsid w:val="00DD56AD"/>
    <w:rsid w:val="00DE48C9"/>
    <w:rsid w:val="00E208D9"/>
    <w:rsid w:val="00E25546"/>
    <w:rsid w:val="00E51482"/>
    <w:rsid w:val="00E95CD4"/>
    <w:rsid w:val="00EB5CE4"/>
    <w:rsid w:val="00F16927"/>
    <w:rsid w:val="00F4088A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3C0F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3C0F6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C0F6D"/>
    <w:pPr>
      <w:widowControl w:val="0"/>
      <w:shd w:val="clear" w:color="auto" w:fill="FFFFFF"/>
      <w:spacing w:before="300" w:after="300" w:line="0" w:lineRule="atLeast"/>
      <w:ind w:hanging="100"/>
      <w:jc w:val="center"/>
    </w:pPr>
    <w:rPr>
      <w:sz w:val="21"/>
      <w:szCs w:val="21"/>
      <w:lang w:eastAsia="en-US"/>
    </w:rPr>
  </w:style>
  <w:style w:type="paragraph" w:customStyle="1" w:styleId="Nadpis20">
    <w:name w:val="Nadpis #2"/>
    <w:basedOn w:val="Normln"/>
    <w:link w:val="Nadpis2"/>
    <w:rsid w:val="003C0F6D"/>
    <w:pPr>
      <w:widowControl w:val="0"/>
      <w:shd w:val="clear" w:color="auto" w:fill="FFFFFF"/>
      <w:spacing w:before="300" w:after="300" w:line="0" w:lineRule="atLeast"/>
      <w:ind w:hanging="180"/>
      <w:outlineLvl w:val="1"/>
    </w:pPr>
    <w:rPr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3C0F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3C0F6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C0F6D"/>
    <w:pPr>
      <w:widowControl w:val="0"/>
      <w:shd w:val="clear" w:color="auto" w:fill="FFFFFF"/>
      <w:spacing w:before="300" w:after="300" w:line="0" w:lineRule="atLeast"/>
      <w:ind w:hanging="100"/>
      <w:jc w:val="center"/>
    </w:pPr>
    <w:rPr>
      <w:sz w:val="21"/>
      <w:szCs w:val="21"/>
      <w:lang w:eastAsia="en-US"/>
    </w:rPr>
  </w:style>
  <w:style w:type="paragraph" w:customStyle="1" w:styleId="Nadpis20">
    <w:name w:val="Nadpis #2"/>
    <w:basedOn w:val="Normln"/>
    <w:link w:val="Nadpis2"/>
    <w:rsid w:val="003C0F6D"/>
    <w:pPr>
      <w:widowControl w:val="0"/>
      <w:shd w:val="clear" w:color="auto" w:fill="FFFFFF"/>
      <w:spacing w:before="300" w:after="300" w:line="0" w:lineRule="atLeast"/>
      <w:ind w:hanging="180"/>
      <w:outlineLvl w:val="1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8412-FAF2-4A56-A7FB-B975EF9A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Vesela Jitka</cp:lastModifiedBy>
  <cp:revision>3</cp:revision>
  <cp:lastPrinted>2018-08-01T12:57:00Z</cp:lastPrinted>
  <dcterms:created xsi:type="dcterms:W3CDTF">2021-04-29T12:50:00Z</dcterms:created>
  <dcterms:modified xsi:type="dcterms:W3CDTF">2021-04-29T12:52:00Z</dcterms:modified>
</cp:coreProperties>
</file>