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7A" w:rsidRDefault="00191F17">
      <w:pPr>
        <w:pStyle w:val="Nadpis40"/>
        <w:keepNext/>
        <w:keepLines/>
        <w:shd w:val="clear" w:color="auto" w:fill="auto"/>
        <w:spacing w:before="0"/>
        <w:ind w:left="380"/>
      </w:pPr>
      <w:bookmarkStart w:id="0" w:name="bookmark1"/>
      <w:r>
        <w:t>Universal Music s.r.o.</w:t>
      </w:r>
      <w:bookmarkEnd w:id="0"/>
    </w:p>
    <w:p w:rsidR="0077157A" w:rsidRDefault="00191F17">
      <w:pPr>
        <w:pStyle w:val="Zkladntext20"/>
        <w:shd w:val="clear" w:color="auto" w:fill="auto"/>
        <w:ind w:firstLine="0"/>
      </w:pPr>
      <w:r>
        <w:t>IČO: 60469692, DIČ: CZ60469692 Se sídlem Velvarská 1652/7, Praha 6, PSČ 160 00</w:t>
      </w:r>
    </w:p>
    <w:p w:rsidR="00191F17" w:rsidRDefault="00191F17">
      <w:pPr>
        <w:pStyle w:val="Zkladntext20"/>
        <w:shd w:val="clear" w:color="auto" w:fill="auto"/>
        <w:ind w:firstLine="0"/>
      </w:pPr>
      <w:r>
        <w:t xml:space="preserve">Zapsaná v obchodním rejstříku vedeném Městským soudem v Praze, sp.zn. C 25741 </w:t>
      </w:r>
    </w:p>
    <w:p w:rsidR="0077157A" w:rsidRDefault="00191F17">
      <w:pPr>
        <w:pStyle w:val="Zkladntext20"/>
        <w:shd w:val="clear" w:color="auto" w:fill="auto"/>
        <w:ind w:firstLine="0"/>
      </w:pPr>
      <w:r>
        <w:t xml:space="preserve">Bankovní spojení: </w:t>
      </w:r>
    </w:p>
    <w:p w:rsidR="00191F17" w:rsidRDefault="00191F17" w:rsidP="00191F17">
      <w:pPr>
        <w:pStyle w:val="Zkladntext20"/>
        <w:shd w:val="clear" w:color="auto" w:fill="auto"/>
        <w:ind w:firstLine="0"/>
      </w:pPr>
      <w:r>
        <w:t xml:space="preserve">Účet číslo: </w:t>
      </w:r>
    </w:p>
    <w:p w:rsidR="0077157A" w:rsidRDefault="00191F17" w:rsidP="00191F17">
      <w:pPr>
        <w:pStyle w:val="Zkladntext20"/>
        <w:shd w:val="clear" w:color="auto" w:fill="auto"/>
        <w:ind w:firstLine="0"/>
      </w:pPr>
      <w:r>
        <w:t>Kterou zastupují jednatelé Ing. Tomáš Filip a Ing. Radomír Šváb (na jedné straně, dále jen "Společnost")</w:t>
      </w:r>
    </w:p>
    <w:p w:rsidR="0077157A" w:rsidRDefault="00191F17">
      <w:pPr>
        <w:pStyle w:val="Zkladntext20"/>
        <w:shd w:val="clear" w:color="auto" w:fill="auto"/>
        <w:spacing w:after="232" w:line="220" w:lineRule="exact"/>
        <w:ind w:left="380" w:hanging="380"/>
      </w:pPr>
      <w:r>
        <w:t>a</w:t>
      </w:r>
    </w:p>
    <w:p w:rsidR="0077157A" w:rsidRDefault="00191F17">
      <w:pPr>
        <w:pStyle w:val="Nadpis40"/>
        <w:keepNext/>
        <w:keepLines/>
        <w:shd w:val="clear" w:color="auto" w:fill="auto"/>
        <w:spacing w:before="0"/>
        <w:ind w:left="380"/>
      </w:pPr>
      <w:bookmarkStart w:id="1" w:name="bookmark2"/>
      <w:r>
        <w:t>ZOOLOGICKÁ ZAHRADA LIBEREC</w:t>
      </w:r>
      <w:bookmarkEnd w:id="1"/>
    </w:p>
    <w:p w:rsidR="00191F17" w:rsidRDefault="00191F17" w:rsidP="00191F17">
      <w:pPr>
        <w:pStyle w:val="Zkladntext20"/>
        <w:shd w:val="clear" w:color="auto" w:fill="auto"/>
        <w:ind w:firstLine="0"/>
      </w:pPr>
      <w:r>
        <w:t xml:space="preserve">Příspěvková organizace Lidové sady 425/1 460 01 Liberec 1 </w:t>
      </w:r>
    </w:p>
    <w:p w:rsidR="00191F17" w:rsidRDefault="00191F17" w:rsidP="00191F17">
      <w:pPr>
        <w:pStyle w:val="Zkladntext20"/>
        <w:shd w:val="clear" w:color="auto" w:fill="auto"/>
        <w:ind w:firstLine="0"/>
      </w:pPr>
      <w:r>
        <w:t xml:space="preserve">IČO: 00079651 DIČ: CZ00079651 </w:t>
      </w:r>
    </w:p>
    <w:p w:rsidR="00191F17" w:rsidRDefault="00191F17" w:rsidP="00191F17">
      <w:pPr>
        <w:pStyle w:val="Zkladntext20"/>
        <w:shd w:val="clear" w:color="auto" w:fill="auto"/>
        <w:ind w:firstLine="0"/>
      </w:pPr>
      <w:r>
        <w:t xml:space="preserve">Bankovní spojení: </w:t>
      </w:r>
    </w:p>
    <w:p w:rsidR="0077157A" w:rsidRDefault="00191F17" w:rsidP="00191F17">
      <w:pPr>
        <w:pStyle w:val="Zkladntext20"/>
        <w:shd w:val="clear" w:color="auto" w:fill="auto"/>
        <w:ind w:firstLine="0"/>
      </w:pPr>
      <w:r>
        <w:t>Registrace: obc</w:t>
      </w:r>
      <w:r>
        <w:t>hodní rejstřík Krajského soudu v Ústí nad Labem - oddíl Pr-vložka 623 (na druhé straně, dále jen "Partner")</w:t>
      </w:r>
    </w:p>
    <w:p w:rsidR="00191F17" w:rsidRDefault="00191F17" w:rsidP="00191F17">
      <w:pPr>
        <w:pStyle w:val="Zkladntext20"/>
        <w:shd w:val="clear" w:color="auto" w:fill="auto"/>
        <w:ind w:firstLine="0"/>
      </w:pPr>
    </w:p>
    <w:p w:rsidR="0077157A" w:rsidRDefault="00191F17">
      <w:pPr>
        <w:pStyle w:val="Zkladntext20"/>
        <w:shd w:val="clear" w:color="auto" w:fill="auto"/>
        <w:spacing w:after="277" w:line="220" w:lineRule="exact"/>
        <w:ind w:left="60" w:firstLine="0"/>
        <w:jc w:val="center"/>
      </w:pPr>
      <w:r>
        <w:t>uzavírají podle zákona č. 89/2012 Sb., občanský zákoník, tuto</w:t>
      </w:r>
    </w:p>
    <w:p w:rsidR="0077157A" w:rsidRDefault="00191F17">
      <w:pPr>
        <w:pStyle w:val="Nadpis30"/>
        <w:keepNext/>
        <w:keepLines/>
        <w:shd w:val="clear" w:color="auto" w:fill="auto"/>
        <w:spacing w:before="0" w:after="555" w:line="280" w:lineRule="exact"/>
        <w:ind w:left="380"/>
      </w:pPr>
      <w:bookmarkStart w:id="2" w:name="bookmark3"/>
      <w:r>
        <w:t>SMLOUVU O SPOLUPRÁCI PŘI POŘÁDÁNÍ KONCERTNÍHO VYSTOUPENÍ</w:t>
      </w:r>
      <w:bookmarkEnd w:id="2"/>
    </w:p>
    <w:p w:rsidR="0077157A" w:rsidRDefault="00191F17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427"/>
        </w:tabs>
        <w:spacing w:before="0" w:after="213" w:line="220" w:lineRule="exact"/>
        <w:ind w:left="3160" w:firstLine="0"/>
        <w:jc w:val="both"/>
      </w:pPr>
      <w:bookmarkStart w:id="3" w:name="bookmark4"/>
      <w:r>
        <w:t>PŘEDMĚT SMLOUVY</w:t>
      </w:r>
      <w:bookmarkEnd w:id="3"/>
    </w:p>
    <w:p w:rsidR="0077157A" w:rsidRDefault="00191F17">
      <w:pPr>
        <w:pStyle w:val="Zkladntext20"/>
        <w:numPr>
          <w:ilvl w:val="0"/>
          <w:numId w:val="2"/>
        </w:numPr>
        <w:shd w:val="clear" w:color="auto" w:fill="auto"/>
        <w:tabs>
          <w:tab w:val="left" w:pos="426"/>
        </w:tabs>
        <w:spacing w:after="240"/>
        <w:ind w:left="380" w:hanging="380"/>
      </w:pPr>
      <w:r>
        <w:t xml:space="preserve">Společnost realizuje turné (dále jen „Turné") hudebního umělce / souboru: </w:t>
      </w:r>
      <w:r>
        <w:rPr>
          <w:rStyle w:val="Zkladntext2Tun"/>
        </w:rPr>
        <w:t xml:space="preserve">LENNY HEARTS TOUR 2017 </w:t>
      </w:r>
      <w:r>
        <w:t>(dále jen „Umělec").</w:t>
      </w:r>
    </w:p>
    <w:p w:rsidR="0077157A" w:rsidRDefault="00191F17">
      <w:pPr>
        <w:pStyle w:val="Zkladntext20"/>
        <w:numPr>
          <w:ilvl w:val="0"/>
          <w:numId w:val="2"/>
        </w:numPr>
        <w:shd w:val="clear" w:color="auto" w:fill="auto"/>
        <w:tabs>
          <w:tab w:val="left" w:pos="426"/>
        </w:tabs>
        <w:ind w:left="380" w:hanging="380"/>
        <w:jc w:val="both"/>
      </w:pPr>
      <w:r>
        <w:t>Strany se dohodly, že budou spolupracovat na pořádání koncertního hudebního vystoupení Umělce konaného v místě a čase dle následující spec</w:t>
      </w:r>
      <w:r>
        <w:t>ifikace (dále jen „Vystoupení") a budou se řídit časovými specifikacemi zde dohodnutými, nebude-li mezi nimi jiné pozdější dohody o časové organizaci dne Vystoupení:</w:t>
      </w:r>
    </w:p>
    <w:p w:rsidR="0077157A" w:rsidRDefault="00191F17">
      <w:pPr>
        <w:pStyle w:val="Zkladntext20"/>
        <w:shd w:val="clear" w:color="auto" w:fill="auto"/>
        <w:spacing w:line="220" w:lineRule="exact"/>
        <w:ind w:left="380" w:hanging="380"/>
      </w:pPr>
      <w:r>
        <w:t>1.3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4"/>
        <w:gridCol w:w="4061"/>
      </w:tblGrid>
      <w:tr w:rsidR="0077157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Datum konání vystoupení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18.3.2017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Místo konání vystoupení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LIBEREC-LIDOVÉ SADY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Kapacita (maximální počet diváků)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1000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1"/>
              </w:rPr>
              <w:t>Začátek technické přípravy Vystoupení (stavba pódia)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10:00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Zkladntext21"/>
              </w:rPr>
              <w:t>Příjezd a stavba zvukové a osvětlovací aparatury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10:30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Zkladntext21"/>
              </w:rPr>
              <w:t>Příjezd Umělce a stavba nástrojové aparatury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14:00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Zvuková a světelná zkouška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14:00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Konec zkoušek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19:00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Otevření sálu pro diváky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19:00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Začátek a konec Vystoupení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20:00 - 22:00 s pauzou 15 min.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Doba likvidace (demontáž aparatury a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191F17">
            <w:pPr>
              <w:pStyle w:val="Zkladntext20"/>
              <w:framePr w:w="817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4h</w:t>
            </w:r>
          </w:p>
        </w:tc>
      </w:tr>
    </w:tbl>
    <w:p w:rsidR="0077157A" w:rsidRDefault="0077157A">
      <w:pPr>
        <w:framePr w:w="8174" w:wrap="notBeside" w:vAnchor="text" w:hAnchor="text" w:xAlign="center" w:y="1"/>
        <w:rPr>
          <w:sz w:val="2"/>
          <w:szCs w:val="2"/>
        </w:rPr>
      </w:pPr>
    </w:p>
    <w:p w:rsidR="0077157A" w:rsidRDefault="00191F1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4"/>
        <w:gridCol w:w="4056"/>
      </w:tblGrid>
      <w:tr w:rsidR="0077157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lastRenderedPageBreak/>
              <w:t>zařízení v sále)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77157A">
            <w:pPr>
              <w:framePr w:w="81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Datum zahájení předprodeje vstupenek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12.12.2016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Vstupné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350,- Kč předprodej / 390,- Kč na </w:t>
            </w:r>
            <w:r>
              <w:rPr>
                <w:rStyle w:val="Zkladntext21"/>
              </w:rPr>
              <w:t>místě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Volné vstupenky (guestlist) Partnera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77157A">
            <w:pPr>
              <w:framePr w:w="81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Zkladntext21"/>
              </w:rPr>
              <w:t>Volné vstupenky pro propagační účely (soutěže) realizované Společností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77157A">
            <w:pPr>
              <w:framePr w:w="81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Zvukovou aparaturu zajišťuje: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Společnost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Osvětlovací aparaturu zajišťuje: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Společnost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Zkladntext21"/>
              </w:rPr>
              <w:t>Storno (Kč)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77157A">
            <w:pPr>
              <w:framePr w:w="81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157A" w:rsidRDefault="0077157A">
      <w:pPr>
        <w:framePr w:w="8160" w:wrap="notBeside" w:vAnchor="text" w:hAnchor="text" w:xAlign="center" w:y="1"/>
        <w:rPr>
          <w:sz w:val="2"/>
          <w:szCs w:val="2"/>
        </w:rPr>
      </w:pPr>
    </w:p>
    <w:p w:rsidR="0077157A" w:rsidRDefault="0077157A">
      <w:pPr>
        <w:rPr>
          <w:sz w:val="2"/>
          <w:szCs w:val="2"/>
        </w:rPr>
      </w:pPr>
    </w:p>
    <w:p w:rsidR="0077157A" w:rsidRDefault="00191F17">
      <w:pPr>
        <w:pStyle w:val="Titulektabulky0"/>
        <w:framePr w:w="8160" w:wrap="notBeside" w:vAnchor="text" w:hAnchor="text" w:xAlign="center" w:y="1"/>
        <w:shd w:val="clear" w:color="auto" w:fill="auto"/>
        <w:spacing w:line="220" w:lineRule="exact"/>
      </w:pPr>
      <w:r>
        <w:t xml:space="preserve">1.4 Ubytování pro Umělce a jeho </w:t>
      </w:r>
      <w:r>
        <w:t>doprovod v místě vystoupení: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4"/>
        <w:gridCol w:w="4056"/>
      </w:tblGrid>
      <w:tr w:rsidR="0077157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Typ ubytování (hotel, penzion atd.)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NE</w:t>
            </w: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Kvalita ubytování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77157A">
            <w:pPr>
              <w:framePr w:w="81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Název a adresa ubytování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77157A">
            <w:pPr>
              <w:framePr w:w="81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57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157A" w:rsidRDefault="00191F17">
            <w:pPr>
              <w:pStyle w:val="Zkladntext20"/>
              <w:framePr w:w="816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Typ a počet pokojů a ubytovaných osob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57A" w:rsidRDefault="0077157A">
            <w:pPr>
              <w:framePr w:w="81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157A" w:rsidRDefault="0077157A">
      <w:pPr>
        <w:framePr w:w="8160" w:wrap="notBeside" w:vAnchor="text" w:hAnchor="text" w:xAlign="center" w:y="1"/>
        <w:rPr>
          <w:sz w:val="2"/>
          <w:szCs w:val="2"/>
        </w:rPr>
      </w:pPr>
    </w:p>
    <w:p w:rsidR="0077157A" w:rsidRDefault="0077157A">
      <w:pPr>
        <w:rPr>
          <w:sz w:val="2"/>
          <w:szCs w:val="2"/>
        </w:rPr>
      </w:pPr>
    </w:p>
    <w:p w:rsidR="0077157A" w:rsidRDefault="00191F17">
      <w:pPr>
        <w:pStyle w:val="Zkladntext20"/>
        <w:numPr>
          <w:ilvl w:val="0"/>
          <w:numId w:val="3"/>
        </w:numPr>
        <w:shd w:val="clear" w:color="auto" w:fill="auto"/>
        <w:tabs>
          <w:tab w:val="left" w:pos="394"/>
        </w:tabs>
        <w:spacing w:before="183" w:after="240" w:line="269" w:lineRule="exact"/>
        <w:ind w:left="400" w:hanging="400"/>
        <w:jc w:val="both"/>
      </w:pPr>
      <w:r>
        <w:t xml:space="preserve">Strany budou při přípravě a realizaci Vystoupení postupovat v souladu s touto smlouvou a jejími </w:t>
      </w:r>
      <w:r>
        <w:t>přílohami (Organizační podmínky, Technické podmínky), jež tvoří její nedílnou součást. Smlouva je uzavřena výlučně za účelem realizace Vystoupení a její účel je naplněn uskutečněním Vystoupení a vypořádáním všech souvisejících práv a povinností s Vystoupen</w:t>
      </w:r>
      <w:r>
        <w:t>ím souvisejících.</w:t>
      </w:r>
    </w:p>
    <w:p w:rsidR="0077157A" w:rsidRDefault="00191F17">
      <w:pPr>
        <w:pStyle w:val="Zkladntext20"/>
        <w:numPr>
          <w:ilvl w:val="0"/>
          <w:numId w:val="3"/>
        </w:numPr>
        <w:shd w:val="clear" w:color="auto" w:fill="auto"/>
        <w:tabs>
          <w:tab w:val="left" w:pos="394"/>
        </w:tabs>
        <w:spacing w:after="279" w:line="269" w:lineRule="exact"/>
        <w:ind w:left="400" w:hanging="400"/>
        <w:jc w:val="both"/>
      </w:pPr>
      <w:r>
        <w:t>Strany budou při přípravě a realizaci Vystoupení spolupracovat tak, že Partner poskytne za úplatu Společnosti v této smlouvě sjednaná plnění pro účely realizace Vystoupení. Společnost bude pořadatelem Vystoupení a bude Vystoupení realizov</w:t>
      </w:r>
      <w:r>
        <w:t>at svým jménem a na svůj účet.</w:t>
      </w:r>
    </w:p>
    <w:p w:rsidR="0077157A" w:rsidRDefault="00191F17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2814"/>
        </w:tabs>
        <w:spacing w:before="0" w:after="203" w:line="220" w:lineRule="exact"/>
        <w:ind w:left="2520" w:firstLine="0"/>
        <w:jc w:val="both"/>
      </w:pPr>
      <w:bookmarkStart w:id="4" w:name="bookmark5"/>
      <w:r>
        <w:t>POVINNOSTI SMLUVNÍCH STRAN</w:t>
      </w:r>
      <w:bookmarkEnd w:id="4"/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ind w:left="400" w:hanging="400"/>
        <w:jc w:val="both"/>
      </w:pPr>
      <w:r>
        <w:t>Společnost sama pro realizaci Vystoupení zabezpečí na vlastní odpovědnost a na vlastní náklady následující plnění:</w:t>
      </w:r>
    </w:p>
    <w:p w:rsidR="0077157A" w:rsidRDefault="00191F17">
      <w:pPr>
        <w:pStyle w:val="Zkladntext20"/>
        <w:numPr>
          <w:ilvl w:val="0"/>
          <w:numId w:val="5"/>
        </w:numPr>
        <w:shd w:val="clear" w:color="auto" w:fill="auto"/>
        <w:tabs>
          <w:tab w:val="left" w:pos="689"/>
        </w:tabs>
        <w:ind w:left="720" w:hanging="320"/>
        <w:jc w:val="both"/>
      </w:pPr>
      <w:r>
        <w:t xml:space="preserve">zajištění Umělce pro Vystoupení, včetně veškeré nástrojové aparatury a dopravy do </w:t>
      </w:r>
      <w:r>
        <w:t>místa Vystoupení a zpět,</w:t>
      </w:r>
    </w:p>
    <w:p w:rsidR="0077157A" w:rsidRDefault="00191F17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</w:tabs>
        <w:ind w:left="720" w:hanging="320"/>
        <w:jc w:val="both"/>
      </w:pPr>
      <w:r>
        <w:t>zajištění zvukové a/nebo osvětlovací aparatury včetně obsluhy a dopravy do místa Vystoupení a zpět, není-li v odst. 1.2 sjednáno, že zvukovou a/nebo osvětlovací aparaturu zajišťuje v rámci svého plnění Partner; je-li v odst. 1.2 sj</w:t>
      </w:r>
      <w:r>
        <w:t>ednáno, že zvukovou a/nebo osvětlovací aparaturu zajišťují Společnost i Partner, je Společnost odpovědná za zajištění takového vybavení, které není výslovně součástí plnění Partnera podle této smlouvy a Technických podmínek;</w:t>
      </w:r>
    </w:p>
    <w:p w:rsidR="0077157A" w:rsidRDefault="00191F17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</w:tabs>
        <w:ind w:left="720" w:hanging="320"/>
        <w:jc w:val="both"/>
      </w:pPr>
      <w:r>
        <w:t>zajištění stavby a sestavy zvuk</w:t>
      </w:r>
      <w:r>
        <w:t>ové, světelné a nástrojové aparatury a zvukově a světelné nastavení a jejich obsluha pro účely Vystoupení,</w:t>
      </w:r>
    </w:p>
    <w:p w:rsidR="0077157A" w:rsidRDefault="00191F17">
      <w:pPr>
        <w:pStyle w:val="Zkladntext20"/>
        <w:numPr>
          <w:ilvl w:val="0"/>
          <w:numId w:val="5"/>
        </w:numPr>
        <w:shd w:val="clear" w:color="auto" w:fill="auto"/>
        <w:tabs>
          <w:tab w:val="left" w:pos="698"/>
        </w:tabs>
        <w:spacing w:after="240"/>
        <w:ind w:left="720" w:hanging="320"/>
        <w:jc w:val="both"/>
      </w:pPr>
      <w:r>
        <w:t>zajištění oprávnění k užití hudebních autorských děl provozovaných při Vystoupení od kolektivního správce OSA - Ochranný svaz autorský pro práva k dí</w:t>
      </w:r>
      <w:r>
        <w:t>lům hudebním, z.s., včetně úhrady autorské odměny (dále jen „odměna OSA").</w:t>
      </w:r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ind w:left="400" w:hanging="400"/>
        <w:jc w:val="both"/>
      </w:pPr>
      <w:r>
        <w:t>Partner se zavazuje Společnosti, že pro realizaci Vystoupení zabezpečí na vlastní odpovědnost a na vlastní náklady (za úplatu, kterou mu zaplatí Společnost podle této smlouvy) a Spo</w:t>
      </w:r>
      <w:r>
        <w:t>lečnosti poskytne následující plnění, vše v souladu s obvyklými požadavky na profesionální realizaci a koordinaci hudebního vystoupení a v souladu s Organizačními podmínkami a Technickými podmínkami:</w:t>
      </w:r>
    </w:p>
    <w:p w:rsidR="0077157A" w:rsidRDefault="00191F17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ind w:left="740" w:hanging="300"/>
        <w:jc w:val="both"/>
      </w:pPr>
      <w:r>
        <w:t>zajištění sálu nebo jiného výše dohodnutého prostoru pro</w:t>
      </w:r>
      <w:r>
        <w:t xml:space="preserve"> konání Vystoupení (dále jen „Prostor"),</w:t>
      </w:r>
    </w:p>
    <w:p w:rsidR="0077157A" w:rsidRDefault="00191F17">
      <w:pPr>
        <w:pStyle w:val="Zkladntext20"/>
        <w:numPr>
          <w:ilvl w:val="0"/>
          <w:numId w:val="6"/>
        </w:numPr>
        <w:shd w:val="clear" w:color="auto" w:fill="auto"/>
        <w:tabs>
          <w:tab w:val="left" w:pos="734"/>
        </w:tabs>
        <w:ind w:left="740" w:hanging="300"/>
        <w:jc w:val="both"/>
      </w:pPr>
      <w:r>
        <w:t>zajištění pořadatelské služby pro organizaci vstupu a pohybu návštěvníků v Prostoru a v jeho okolí,</w:t>
      </w:r>
    </w:p>
    <w:p w:rsidR="0077157A" w:rsidRDefault="00191F17">
      <w:pPr>
        <w:pStyle w:val="Zkladntext20"/>
        <w:numPr>
          <w:ilvl w:val="0"/>
          <w:numId w:val="6"/>
        </w:numPr>
        <w:shd w:val="clear" w:color="auto" w:fill="auto"/>
        <w:tabs>
          <w:tab w:val="left" w:pos="734"/>
        </w:tabs>
        <w:ind w:left="740" w:hanging="300"/>
        <w:jc w:val="both"/>
      </w:pPr>
      <w:r>
        <w:t>zajištění bezpečnostní služby zajišťující ostrahu zákulisí a prostor vyhrazených Umělci a jeho doprovodu,</w:t>
      </w:r>
    </w:p>
    <w:p w:rsidR="0077157A" w:rsidRDefault="00191F17">
      <w:pPr>
        <w:pStyle w:val="Zkladntext20"/>
        <w:numPr>
          <w:ilvl w:val="0"/>
          <w:numId w:val="6"/>
        </w:numPr>
        <w:shd w:val="clear" w:color="auto" w:fill="auto"/>
        <w:tabs>
          <w:tab w:val="left" w:pos="738"/>
        </w:tabs>
        <w:ind w:left="740" w:hanging="300"/>
        <w:jc w:val="both"/>
      </w:pPr>
      <w:r>
        <w:lastRenderedPageBreak/>
        <w:t>pódium (g</w:t>
      </w:r>
      <w:r>
        <w:t>round support) včetně stavby, dodávku elektrické energie, parkování, asistenční službu (stage hands) a další technické předpoklady pro realizaci Vystoupení,</w:t>
      </w:r>
    </w:p>
    <w:p w:rsidR="0077157A" w:rsidRDefault="00191F17">
      <w:pPr>
        <w:pStyle w:val="Zkladntext20"/>
        <w:numPr>
          <w:ilvl w:val="0"/>
          <w:numId w:val="6"/>
        </w:numPr>
        <w:shd w:val="clear" w:color="auto" w:fill="auto"/>
        <w:tabs>
          <w:tab w:val="left" w:pos="738"/>
        </w:tabs>
        <w:ind w:left="740" w:hanging="300"/>
        <w:jc w:val="both"/>
      </w:pPr>
      <w:r>
        <w:t>zajištění zvukové a/nebo osvětlovací aparatury včetně obsluhy a dopravy do místa Vystoupení, není-l</w:t>
      </w:r>
      <w:r>
        <w:t>i v odst. 1.2 sjednáno, že zvukovou a/nebo osvětlovací aparaturu zajišťuje sama Společnost. Je-li v odst. 1.2 sjednáno, že zvukovou a/nebo osvětlovací aparaturu zajišťují Společnost i Partner, je Partner odpovědný za zajištění takového vybavení, které je u</w:t>
      </w:r>
      <w:r>
        <w:t>vedeno v Technických podmínkách, za zajištění ostatního vybavení pak odpovídá Společnost;</w:t>
      </w:r>
    </w:p>
    <w:p w:rsidR="0077157A" w:rsidRDefault="00191F17">
      <w:pPr>
        <w:pStyle w:val="Zkladntext20"/>
        <w:numPr>
          <w:ilvl w:val="0"/>
          <w:numId w:val="6"/>
        </w:numPr>
        <w:shd w:val="clear" w:color="auto" w:fill="auto"/>
        <w:tabs>
          <w:tab w:val="left" w:pos="738"/>
        </w:tabs>
        <w:spacing w:after="240"/>
        <w:ind w:left="740" w:hanging="300"/>
        <w:jc w:val="both"/>
      </w:pPr>
      <w:r>
        <w:t>zákulisí a občerstvení pro Umělce a jeho doprovodu.</w:t>
      </w:r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424"/>
        </w:tabs>
        <w:spacing w:after="240"/>
        <w:ind w:left="440" w:hanging="440"/>
        <w:jc w:val="both"/>
      </w:pPr>
      <w:r>
        <w:t>Pro účely operativní komunikace strany ve všech stránkách spolupráce (technologické, produkční apod.) určují konta</w:t>
      </w:r>
      <w:r>
        <w:t>ktní osoby uvedené v Organizačních podmínkách a/nebo Technických podmínkách, včetně kontaktních údajů (e-mail, mobilní telefon). Každá strana odpovídá za dostupnost pověřených osob na své straně.</w:t>
      </w:r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424"/>
        </w:tabs>
        <w:spacing w:after="240"/>
        <w:ind w:left="440" w:hanging="440"/>
        <w:jc w:val="both"/>
      </w:pPr>
      <w:r>
        <w:t>Partner odpovídá za to, že jím zajištěný Prostor je a bude v</w:t>
      </w:r>
      <w:r>
        <w:t>hodný pro realizaci Vystoupení, lze jej pro realizaci Vystoupení použít v souladu s právními (zejména stavebními) předpisy. Partner odpovídá za dodržení hygienických, bezpečnostních a protipožárních předpisů v Prostoru v souvislosti s Vystoupením, jeho pří</w:t>
      </w:r>
      <w:r>
        <w:t>pravou, realizací a likvidací, zejména odpovídá za to, že údaj o kapacitě Prostoru, který označuje maximální počet diváků Vystoupení v Prostoru a který Partner Společnosti sdělil a strany jej takto uvedly výše v odst. 1.2, odpovídá všem úředním rozhodnutím</w:t>
      </w:r>
      <w:r>
        <w:t>, která se týkají možnosti užívat Prostor, zejména kolaudačnímu rozhodnutí, bezpečnostním a protipožárním předpisům. Partner jakožto osoba odpovědná za zajištění bezvadného Prostoru odpovídá za bezpečnost a případnou újmu na zdraví a majetku všech osob nac</w:t>
      </w:r>
      <w:r>
        <w:t>házejících se v průběhu příprav a realizace Vystoupení v Prostoru, zejména za újmu způsobenou v souvislosti s překročením kapacity Prostoru, a prohlašuje, že má pro takový případ sjednáno dostatečné pojistné krytí; pro případ, že by kdokoli uplatnil na Spo</w:t>
      </w:r>
      <w:r>
        <w:t>lečnosti jakýkoli nárok související s odpovědností Partnera podle tohoto odstavce, zavazuje se Partner Společnost v plném rozsahu odškodnit. Partner odpovědnost podle předchozí věty nemá pouze v případech, kdy bude újma na zdraví nebo majetku zaviněna Spol</w:t>
      </w:r>
      <w:r>
        <w:t>ečností, Umělcem nebo jinou osobou, kterou pro účely plnění smlouvy a realizace Vystoupení zajistila Společnost.</w:t>
      </w:r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424"/>
        </w:tabs>
        <w:spacing w:after="240"/>
        <w:ind w:left="440" w:hanging="440"/>
        <w:jc w:val="both"/>
      </w:pPr>
      <w:r>
        <w:t>Společnost je oprávněna na svůj účet a na svoji odpovědnost realizovat prodej merchandisingu v Prostoru v souvislosti s realizací Vystoupení.</w:t>
      </w:r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424"/>
        </w:tabs>
        <w:spacing w:after="236"/>
        <w:ind w:left="440" w:hanging="440"/>
        <w:jc w:val="both"/>
      </w:pPr>
      <w:r>
        <w:t>Je-li pro Umělce a jeho doprovod potřeba zajistit ubytování v místě konání Vystoupení, jsou specifikace uvedeny v odst. 1.3. Partner je v takovém případě povinen ubytování ve sjednaném rozsahu na svou odpovědnost a na svůj účet zabezpečit, přičemž takové p</w:t>
      </w:r>
      <w:r>
        <w:t>lnění je součástí plnění poskytovaného ťouto smlouvou Partnerem Společnosti.</w:t>
      </w:r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424"/>
        </w:tabs>
        <w:spacing w:line="269" w:lineRule="exact"/>
        <w:ind w:left="440" w:hanging="440"/>
        <w:jc w:val="both"/>
      </w:pPr>
      <w:r>
        <w:t>Obsahují-li přílohy této smlouvy (Organizační podmínky, Technické podmínky) další specifické závazky nebo podmínky Vystoupení, jsou strany povinny se jimi řídit. Poruší-li</w:t>
      </w:r>
    </w:p>
    <w:p w:rsidR="0077157A" w:rsidRDefault="00191F17">
      <w:pPr>
        <w:pStyle w:val="Zkladntext20"/>
        <w:shd w:val="clear" w:color="auto" w:fill="auto"/>
        <w:spacing w:after="236"/>
        <w:ind w:left="460" w:firstLine="0"/>
        <w:jc w:val="both"/>
      </w:pPr>
      <w:r>
        <w:t>Partner</w:t>
      </w:r>
      <w:r>
        <w:t xml:space="preserve"> některé povinnosti při zajištění podmínek Vystoupení podle této smlouvy, je povinen zaplatit Společnosti na její výzvu smluvní pokutu ve výši uvedené v přílohách této smlouvy (Organizační podmínky, Technické podmínky). Nezajistí-li Partner pro Vystoupení </w:t>
      </w:r>
      <w:r>
        <w:t>sjednaný Prostor (tj nebude-li Prostor vyhovujcí požadavkům této smlouvy vůbec pro Vystoupení k dispozici), je povinen zaplatit Společnosti smluvní pokutu ve výši 100.000 Kč.</w:t>
      </w:r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426"/>
        </w:tabs>
        <w:spacing w:after="240" w:line="269" w:lineRule="exact"/>
        <w:ind w:left="460" w:hanging="460"/>
        <w:jc w:val="both"/>
      </w:pPr>
      <w:r>
        <w:t>Společnost zajistí pro účely Vystoupení oprávnění k užití uměleckých výkonů Umělc</w:t>
      </w:r>
      <w:r>
        <w:t>e provedených při Vystoupení výlučně živým provozováním při Vystoupení.</w:t>
      </w:r>
    </w:p>
    <w:p w:rsidR="0077157A" w:rsidRDefault="00191F17">
      <w:pPr>
        <w:pStyle w:val="Zkladntext20"/>
        <w:numPr>
          <w:ilvl w:val="0"/>
          <w:numId w:val="4"/>
        </w:numPr>
        <w:shd w:val="clear" w:color="auto" w:fill="auto"/>
        <w:tabs>
          <w:tab w:val="left" w:pos="426"/>
        </w:tabs>
        <w:spacing w:after="279" w:line="269" w:lineRule="exact"/>
        <w:ind w:left="460" w:hanging="460"/>
        <w:jc w:val="both"/>
      </w:pPr>
      <w:r>
        <w:t xml:space="preserve">Není-li výslovně sjednáno jinak, Partner není oprávněn k pořizování zvukových ani </w:t>
      </w:r>
      <w:r>
        <w:lastRenderedPageBreak/>
        <w:t>obrazových záznamů Vystoupení.</w:t>
      </w:r>
    </w:p>
    <w:p w:rsidR="0077157A" w:rsidRDefault="00191F17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831"/>
        </w:tabs>
        <w:spacing w:before="0" w:after="195" w:line="220" w:lineRule="exact"/>
        <w:ind w:left="3480" w:firstLine="0"/>
        <w:jc w:val="both"/>
      </w:pPr>
      <w:bookmarkStart w:id="5" w:name="bookmark6"/>
      <w:r>
        <w:t>MARKETING</w:t>
      </w:r>
      <w:bookmarkEnd w:id="5"/>
    </w:p>
    <w:p w:rsidR="0077157A" w:rsidRDefault="00191F17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after="244" w:line="269" w:lineRule="exact"/>
        <w:ind w:left="460" w:hanging="460"/>
        <w:jc w:val="both"/>
      </w:pPr>
      <w:r>
        <w:t xml:space="preserve">Společnost realizuje celorepublikovou marketingovou a PR </w:t>
      </w:r>
      <w:r>
        <w:t>podporu celého Turné a v jejím rámci též propagaci Vystoupení.</w:t>
      </w:r>
    </w:p>
    <w:p w:rsidR="0077157A" w:rsidRDefault="00191F17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after="236"/>
        <w:ind w:left="460" w:hanging="460"/>
        <w:jc w:val="both"/>
      </w:pPr>
      <w:r>
        <w:t xml:space="preserve">Partner se Společnosti zavazuje, že v rámci plnění této smlouvy a za úplatu podle této smlouvy za účelem podpory Vystoupení zajistí na svou odpovědnost a na své náklady lokální (v místě konání </w:t>
      </w:r>
      <w:r>
        <w:t>Vystoupení a v okolí) marketingovou a PR podporu zahrnující výlep plakátů dodaných Společností a další povinnosti v rozsahu sjednaném v Organizačních podmínkách. Partner není oprávněn používat materiály podle tohoto článku určené k podpoře Vystoupení pro ž</w:t>
      </w:r>
      <w:r>
        <w:t>ádný jiný účel, zejména pro účel podpory aktivit třetích osob.</w:t>
      </w:r>
    </w:p>
    <w:p w:rsidR="0077157A" w:rsidRDefault="00191F17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after="244" w:line="269" w:lineRule="exact"/>
        <w:ind w:left="460" w:hanging="460"/>
        <w:jc w:val="both"/>
      </w:pPr>
      <w:r>
        <w:t>Veškerá marketingová a PR komunikace týkající se Turné a Vystoupení bude probíhat s využitím jednotného vizuálního stylu a vizuálních resp. propagačních podkladů dodaných Společností. Společnos</w:t>
      </w:r>
      <w:r>
        <w:t>t odpovídá na svůj účet a na svou odpovědnost za zajištění autorských a souvisejících práv, jakož i práva na ochranu osobnosti, k užití z její strany dodaných propagačních materiálů tak, aby jejich užitím pro propagaci Vystoupení nebyla porušena práva třet</w:t>
      </w:r>
      <w:r>
        <w:t>ích osob, avšak pouze za podmínky, že Partner splní povinnost podle odst. 3.5.</w:t>
      </w:r>
    </w:p>
    <w:p w:rsidR="0077157A" w:rsidRDefault="00191F17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after="236"/>
        <w:ind w:left="460" w:hanging="460"/>
        <w:jc w:val="both"/>
      </w:pPr>
      <w:r>
        <w:t>Partner je povinen respektovat Společností sjednané závazky v oblasti prezentace partnerů a jiných osob spolupracujících s Umělcem a Společností na realizaci Turné, zejména je p</w:t>
      </w:r>
      <w:r>
        <w:t>ovinen dle požadavků Společnosti a v souladu s dodanými vizuálními materiály a podklady prezentovat partnery Turné a Vystoupení a předprodejní síť, ve které budou k dispozici vstupenky. Společnost odpovídá na svůj účet a na svou odpovědnost za zajištění pr</w:t>
      </w:r>
      <w:r>
        <w:t>áv k užití všech z její strany dodaných značek a log tak, aby jejich užitím pro propagaci Vystoupení Partnerem nebyla porušena práva třetích osob.</w:t>
      </w:r>
    </w:p>
    <w:p w:rsidR="0077157A" w:rsidRDefault="00191F17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spacing w:after="244" w:line="269" w:lineRule="exact"/>
        <w:ind w:left="460" w:hanging="460"/>
        <w:jc w:val="both"/>
      </w:pPr>
      <w:r>
        <w:t>Veškeré propagační materiály, které pro propagaci Vystoupení bude připravovat, realizovat a veřejnosti zpříst</w:t>
      </w:r>
      <w:r>
        <w:t>upňovat Partner, podléhají předchozímu schválení Společnosti.</w:t>
      </w:r>
    </w:p>
    <w:p w:rsidR="0077157A" w:rsidRDefault="00191F17">
      <w:pPr>
        <w:pStyle w:val="Zkladntext20"/>
        <w:numPr>
          <w:ilvl w:val="0"/>
          <w:numId w:val="7"/>
        </w:numPr>
        <w:shd w:val="clear" w:color="auto" w:fill="auto"/>
        <w:tabs>
          <w:tab w:val="left" w:pos="426"/>
        </w:tabs>
        <w:ind w:left="460" w:hanging="460"/>
        <w:jc w:val="both"/>
        <w:sectPr w:rsidR="0077157A">
          <w:footerReference w:type="even" r:id="rId7"/>
          <w:footerReference w:type="default" r:id="rId8"/>
          <w:pgSz w:w="11900" w:h="16840"/>
          <w:pgMar w:top="606" w:right="1702" w:bottom="1445" w:left="1778" w:header="0" w:footer="3" w:gutter="0"/>
          <w:cols w:space="720"/>
          <w:noEndnote/>
          <w:docGrid w:linePitch="360"/>
        </w:sectPr>
      </w:pPr>
      <w:r>
        <w:t>Partner je oprávněn sjednávat závazky v</w:t>
      </w:r>
      <w:r>
        <w:t xml:space="preserve"> oblasti propagace třetích osob a jejich značek v souvislosti s Vystoupením a prezentovat třetí osoby nebo jejich značky jakkoli v souvislosti s Vystoupením (ať již v rámci propagace, nebo v místě konání Vystoupení) pouze s předchozím písemným souhlasem Sp</w:t>
      </w:r>
      <w:r>
        <w:t>olečnosti.</w:t>
      </w:r>
    </w:p>
    <w:p w:rsidR="0077157A" w:rsidRDefault="00191F17">
      <w:pPr>
        <w:pStyle w:val="Zkladntext20"/>
        <w:numPr>
          <w:ilvl w:val="0"/>
          <w:numId w:val="8"/>
        </w:numPr>
        <w:shd w:val="clear" w:color="auto" w:fill="auto"/>
        <w:tabs>
          <w:tab w:val="left" w:pos="418"/>
        </w:tabs>
        <w:spacing w:after="236"/>
        <w:ind w:left="460" w:hanging="460"/>
        <w:jc w:val="both"/>
      </w:pPr>
      <w:r>
        <w:lastRenderedPageBreak/>
        <w:t>Společnost bude na svou odpovědnost a na svůj účet jakožto pořadatel Vystoupení prodávat vstupenky s využitím jí vybrané předprodejní sítě (např. Ticketpro, Ticketportal, Ticketart, Eventim atd.), s využitím sítí elektronických komunikací i v hm</w:t>
      </w:r>
      <w:r>
        <w:t>otné podobě na předprodejních místech.</w:t>
      </w:r>
    </w:p>
    <w:p w:rsidR="0077157A" w:rsidRDefault="00191F17">
      <w:pPr>
        <w:pStyle w:val="Zkladntext20"/>
        <w:numPr>
          <w:ilvl w:val="0"/>
          <w:numId w:val="8"/>
        </w:numPr>
        <w:shd w:val="clear" w:color="auto" w:fill="auto"/>
        <w:spacing w:after="279" w:line="269" w:lineRule="exact"/>
        <w:ind w:left="460" w:hanging="460"/>
        <w:jc w:val="both"/>
      </w:pPr>
      <w:r>
        <w:t xml:space="preserve"> Společnost je povinna umožnit Partnerovi volný vstup pro jeho hosty v rozsahu sjednaném v odst. 1.2, s nímž je Partner oprávněn libovolně nakládat pro své účely (guestlist hostů, partnerů, sponzorů, výherců soutěží a</w:t>
      </w:r>
      <w:r>
        <w:t>pod.), nesmí je však dále prodávat.</w:t>
      </w:r>
    </w:p>
    <w:p w:rsidR="0077157A" w:rsidRDefault="00191F17">
      <w:pPr>
        <w:pStyle w:val="Nadpis40"/>
        <w:keepNext/>
        <w:keepLines/>
        <w:shd w:val="clear" w:color="auto" w:fill="auto"/>
        <w:spacing w:before="0" w:after="203" w:line="220" w:lineRule="exact"/>
        <w:ind w:left="20" w:firstLine="0"/>
        <w:jc w:val="center"/>
      </w:pPr>
      <w:bookmarkStart w:id="6" w:name="bookmark7"/>
      <w:r>
        <w:t>V. FINANČNÍ PODMÍNKY</w:t>
      </w:r>
      <w:bookmarkEnd w:id="6"/>
    </w:p>
    <w:p w:rsidR="0077157A" w:rsidRDefault="00191F17">
      <w:pPr>
        <w:pStyle w:val="Zkladntext20"/>
        <w:numPr>
          <w:ilvl w:val="0"/>
          <w:numId w:val="9"/>
        </w:numPr>
        <w:shd w:val="clear" w:color="auto" w:fill="auto"/>
        <w:tabs>
          <w:tab w:val="left" w:pos="418"/>
        </w:tabs>
        <w:spacing w:after="236"/>
        <w:ind w:left="460" w:hanging="460"/>
        <w:jc w:val="both"/>
      </w:pPr>
      <w:r>
        <w:t>Společnost je povinna zaplatit Partnerovi úplatu za všechna jím poskytnutá a zajištěná plnění podle této smlouvy v souhrnné výši, která se vypočte jako rozdíl částky odpovídající 25% z tržeb Vystoupe</w:t>
      </w:r>
      <w:r>
        <w:t>ní a odměny OSA (bez DPH). Tržbami se pro tento účel rozumí souhrn skutečných tržeb Společnosti z prodeje vstupenek na Vystoupení (bez DPH) snížených o provizi provozovatele příslušné předprodejní sítě; pokud na základě jiné smlouvy zajišťuje Partner pro S</w:t>
      </w:r>
      <w:r>
        <w:t>polečnost (částečně) prodej vstupenek na Vystoupení (dále jen „Komisionářská smlouva"), odečte se i jeho provize podle Komisionářské smlouvy v pevné sazbě 4% z tržeb Partnera z prodeje vstupenek (bez DPH). Úplata Partnera podle předchozí věty bude navýšena</w:t>
      </w:r>
      <w:r>
        <w:t xml:space="preserve"> o DPH, je-li Partner plátcem DPH.</w:t>
      </w:r>
    </w:p>
    <w:p w:rsidR="0077157A" w:rsidRDefault="00191F17">
      <w:pPr>
        <w:pStyle w:val="Zkladntext20"/>
        <w:numPr>
          <w:ilvl w:val="0"/>
          <w:numId w:val="9"/>
        </w:numPr>
        <w:shd w:val="clear" w:color="auto" w:fill="auto"/>
        <w:tabs>
          <w:tab w:val="left" w:pos="418"/>
        </w:tabs>
        <w:spacing w:after="240" w:line="269" w:lineRule="exact"/>
        <w:ind w:left="460" w:hanging="460"/>
        <w:jc w:val="both"/>
      </w:pPr>
      <w:r>
        <w:t>Společnost se zavazuje předat Partnerovi vyúčtování tržeb podle odst. 5.1 nejpozději do 14 dnů po dni konání Vystoupení. Partner na základě obdrženého vyúčtování vystaví řádnou fakturu-daňový doklad, který bude splatný do</w:t>
      </w:r>
      <w:r>
        <w:t xml:space="preserve"> 14 dnů od doručení Společnosti. Společnost je povinna umožnit Partnerovi kontrolu správnosti vyúčtování tržeb předložením veškeré relevantní účetní a smluvní dokumentace.</w:t>
      </w:r>
    </w:p>
    <w:p w:rsidR="0077157A" w:rsidRDefault="00191F17">
      <w:pPr>
        <w:pStyle w:val="Zkladntext20"/>
        <w:numPr>
          <w:ilvl w:val="0"/>
          <w:numId w:val="9"/>
        </w:numPr>
        <w:shd w:val="clear" w:color="auto" w:fill="auto"/>
        <w:tabs>
          <w:tab w:val="left" w:pos="418"/>
        </w:tabs>
        <w:spacing w:after="279" w:line="269" w:lineRule="exact"/>
        <w:ind w:left="460" w:hanging="460"/>
        <w:jc w:val="both"/>
      </w:pPr>
      <w:r>
        <w:t>Výslovně se sjednává, že Partner nemá právo na žádné další plnění nebo náhradu nákla</w:t>
      </w:r>
      <w:r>
        <w:t>dů vůči Společnosti, nad rámec výše sjednané podílové úplaty.</w:t>
      </w:r>
    </w:p>
    <w:p w:rsidR="0077157A" w:rsidRDefault="00191F17">
      <w:pPr>
        <w:pStyle w:val="Nadpis40"/>
        <w:keepNext/>
        <w:keepLines/>
        <w:shd w:val="clear" w:color="auto" w:fill="auto"/>
        <w:spacing w:before="0" w:after="203" w:line="220" w:lineRule="exact"/>
        <w:ind w:left="20" w:firstLine="0"/>
        <w:jc w:val="center"/>
      </w:pPr>
      <w:bookmarkStart w:id="7" w:name="bookmark8"/>
      <w:r>
        <w:t>VI. OSTATNÍ A ZÁVĚREČNÁ UJEDNÁNÍ</w:t>
      </w:r>
      <w:bookmarkEnd w:id="7"/>
    </w:p>
    <w:p w:rsidR="0077157A" w:rsidRDefault="00191F17">
      <w:pPr>
        <w:pStyle w:val="Zkladntext20"/>
        <w:numPr>
          <w:ilvl w:val="0"/>
          <w:numId w:val="10"/>
        </w:numPr>
        <w:shd w:val="clear" w:color="auto" w:fill="auto"/>
        <w:tabs>
          <w:tab w:val="left" w:pos="418"/>
        </w:tabs>
        <w:ind w:left="460" w:hanging="460"/>
        <w:jc w:val="both"/>
      </w:pPr>
      <w:r>
        <w:t>Společnost je oprávněna od této smlouvy odstoupit před konáním Vystoupení, rozhodne-li se pro zrušení Vystoupení z jakýchkoli důvodů, takovým odstoupením se ruší</w:t>
      </w:r>
      <w:r>
        <w:t xml:space="preserve"> i Komisionářská smlouva, byla-li mezi stranami uzavřena ve vztahu k Vystoupení; obě smlouvy zanikají ke dni doručení písemného oznámení o odstoupení Partnerovi.</w:t>
      </w:r>
    </w:p>
    <w:p w:rsidR="0077157A" w:rsidRDefault="00191F17">
      <w:pPr>
        <w:pStyle w:val="Zkladntext20"/>
        <w:numPr>
          <w:ilvl w:val="0"/>
          <w:numId w:val="11"/>
        </w:numPr>
        <w:shd w:val="clear" w:color="auto" w:fill="auto"/>
        <w:tabs>
          <w:tab w:val="left" w:pos="720"/>
        </w:tabs>
        <w:spacing w:line="269" w:lineRule="exact"/>
        <w:ind w:left="460" w:firstLine="0"/>
        <w:jc w:val="both"/>
      </w:pPr>
      <w:r>
        <w:t>případě, že k takovému odstoupení dojde nejpozději 30 dnů před dnem konání Vystoupení, nese ka</w:t>
      </w:r>
      <w:r>
        <w:t>ždá strana sama náklady spojené s dosavadním plněním této smlouvy i Komisionářské smlouvy a strany vůči sobě nebudou mít žádné nároky.</w:t>
      </w:r>
    </w:p>
    <w:p w:rsidR="0077157A" w:rsidRDefault="00191F17">
      <w:pPr>
        <w:pStyle w:val="Zkladntext20"/>
        <w:numPr>
          <w:ilvl w:val="0"/>
          <w:numId w:val="11"/>
        </w:numPr>
        <w:shd w:val="clear" w:color="auto" w:fill="auto"/>
        <w:spacing w:after="236"/>
        <w:ind w:left="460" w:firstLine="0"/>
        <w:jc w:val="both"/>
      </w:pPr>
      <w:r>
        <w:t xml:space="preserve"> případě, že k takovému odstoupení dojde později než 30 dnů před dnem konání Vystoupení, je Společnost povinna uhradit Pa</w:t>
      </w:r>
      <w:r>
        <w:t>rtnerovi újmu náklady jím vynaložené v souvislosti s dosavadním plněním této smlouvy i Komisionářské smlouvy, a to v paušální výši uvedené v odst. 1.2 této smlouvy („storno"), jiné nároky Partner vůči Společnosti nebude mít.</w:t>
      </w:r>
    </w:p>
    <w:p w:rsidR="0077157A" w:rsidRDefault="00191F17">
      <w:pPr>
        <w:pStyle w:val="Zkladntext20"/>
        <w:numPr>
          <w:ilvl w:val="0"/>
          <w:numId w:val="10"/>
        </w:numPr>
        <w:shd w:val="clear" w:color="auto" w:fill="auto"/>
        <w:tabs>
          <w:tab w:val="left" w:pos="418"/>
        </w:tabs>
        <w:spacing w:after="244" w:line="269" w:lineRule="exact"/>
        <w:ind w:left="460" w:hanging="460"/>
        <w:jc w:val="both"/>
      </w:pPr>
      <w:r>
        <w:t xml:space="preserve">Společnost je oprávněna od </w:t>
      </w:r>
      <w:r>
        <w:t>smlouvy odstoupit před konáním Vystoupení, poruší-li Partner podstatným způsobem povinnost(i) podle této smlouvy a nesjedná nápravu v dodatečné přiměřené lhůtě poskytnuté písemně Společností (poskytnutí dodatečné přiměřené lhůty není třeba, není-li přísluš</w:t>
      </w:r>
      <w:r>
        <w:t xml:space="preserve">ná povinnost napravitelná, nebo není-li s ohledem na časový odstup od začátku Vystoupení nápravu včas zajistit), nebo je-li se zřetelem ke všem okolnostem zřejmé, že Partner povinnosti poruší tak, že bude ohroženo konání Vystoupení (např. </w:t>
      </w:r>
      <w:r>
        <w:lastRenderedPageBreak/>
        <w:t>nezajištění Prost</w:t>
      </w:r>
      <w:r>
        <w:t>oru pro Vystoupení). Odstoupením se smlouva ruší od počátku a Partner je povinen nahradit Společnosti způsobenou újmu, zejména v podobě stornopoplatků, ušlého zisku a nákladů, které již v souvislosti s přípravou Vystoupení Společnosti vznikly.</w:t>
      </w:r>
    </w:p>
    <w:p w:rsidR="0077157A" w:rsidRDefault="00191F17">
      <w:pPr>
        <w:pStyle w:val="Zkladntext20"/>
        <w:numPr>
          <w:ilvl w:val="0"/>
          <w:numId w:val="10"/>
        </w:numPr>
        <w:shd w:val="clear" w:color="auto" w:fill="auto"/>
        <w:tabs>
          <w:tab w:val="left" w:pos="425"/>
        </w:tabs>
        <w:spacing w:after="240"/>
        <w:ind w:left="440" w:hanging="440"/>
        <w:jc w:val="both"/>
      </w:pPr>
      <w:r>
        <w:t>Partner je o</w:t>
      </w:r>
      <w:r>
        <w:t>právněn od smlouvy odstoupit před konáním Vystoupení, poruší-li Společnost podstatným způsobem povinnost(i) podle této smlouvy a nezjedná nápravu v dodatečné přiměřené lhůtě poskytnuté písemně Partnerem (poskytnutí dodatečné přiměřené lhůty není třeba, nen</w:t>
      </w:r>
      <w:r>
        <w:t>í-li příslušná povinnost napravitelná, nebo není-li s ohledem na časový odstup od začátku Vystoupení nápravu včas zajistit), nebo je-li se zřetelem ke všem okolnostem zřejmé, že Společnost povinnosti poruší tak, že bude ohroženo konání Vystoupení (např. ne</w:t>
      </w:r>
      <w:r>
        <w:t>zajištění Umělce pro Vystoupení). Odstoupením se smlouva ruší od počátku a Společnost je povinna nahradit Partnerovi způsobenou újmu, zejména v podobě stornopoplatků, ušlého zisku a nákladů, které již v souvislosti s přípravou Vystoupení Partnerovi vznikly</w:t>
      </w:r>
      <w:r>
        <w:t>, nejvýše však 30 000,- Kč.</w:t>
      </w:r>
    </w:p>
    <w:p w:rsidR="0077157A" w:rsidRDefault="00191F17">
      <w:pPr>
        <w:pStyle w:val="Zkladntext20"/>
        <w:numPr>
          <w:ilvl w:val="0"/>
          <w:numId w:val="10"/>
        </w:numPr>
        <w:shd w:val="clear" w:color="auto" w:fill="auto"/>
        <w:tabs>
          <w:tab w:val="left" w:pos="425"/>
        </w:tabs>
        <w:spacing w:after="240"/>
        <w:ind w:left="440" w:hanging="440"/>
        <w:jc w:val="both"/>
      </w:pPr>
      <w:r>
        <w:t>Vznikne-li na straně kterékoli strany smlouvy překážka konání Vystoupení v souladu s touto smlouvou, je povinna o tom bez odkladu informovat druhou stranu. Jde-li o překážku způsobenou okolnostmi vylučujícími odpovědnost smluvní</w:t>
      </w:r>
      <w:r>
        <w:t>ch stran (např. zdravotní důvody na straně Umělce), je kterákoli strana oprávněna od této smlouvy odstoupit, nedohodnou-li se strany nejpozději do tří dnů (nejpozději však den před konáním Vystoupení) od výskytu překážky na změně termínu nebo jiných sjedna</w:t>
      </w:r>
      <w:r>
        <w:t>ných podmínek Vystoupení. V případě odstoupení podle předchozí věty smlouva zaniká od počátku a každá strana sama za sebe nese náklady, které jí v souvislosti s přípravou Vystoupení a plněním této smlouvy vznikly. Odstupující strana je povinna na výzvu dru</w:t>
      </w:r>
      <w:r>
        <w:t>hé strany prokázat dostatečným způsobem výskyt a povahu překážky, která k odstoupení vedla.</w:t>
      </w:r>
    </w:p>
    <w:p w:rsidR="0077157A" w:rsidRDefault="00191F17">
      <w:pPr>
        <w:pStyle w:val="Zkladntext20"/>
        <w:numPr>
          <w:ilvl w:val="0"/>
          <w:numId w:val="10"/>
        </w:numPr>
        <w:shd w:val="clear" w:color="auto" w:fill="auto"/>
        <w:tabs>
          <w:tab w:val="left" w:pos="425"/>
        </w:tabs>
        <w:spacing w:after="240"/>
        <w:ind w:left="440" w:hanging="440"/>
        <w:jc w:val="both"/>
      </w:pPr>
      <w:r>
        <w:t>Každá strana odpovídá druhé straně za újmu, kterou jí způsobí porušením této smlouvy a toto právo není omezeno ani vyloučeno odstoupením od smlouvy. Je-li ve vztahu</w:t>
      </w:r>
      <w:r>
        <w:t xml:space="preserve"> k porušení některé smluvní povinnosti sjednána smluvní pokuta, nevylučuje ani neomezuje to nárok poškozené strany na náhradu způsobené újmy vedle smluvní pokuty. Strany jsou povinny poskytovat si navzájem součinnost v souvislosti s pojistnými událostmi, k</w:t>
      </w:r>
      <w:r>
        <w:t xml:space="preserve">teré případně vzniknou při plnění této smlouvy nebo v souvislosti s konáním Vystoupení, zejména si na výzvu poskytovat informace, důkazy a podklady týkající se pojistné události. Má-li kterákoli strana sjednané pojištění související s plněním této smlouvy </w:t>
      </w:r>
      <w:r>
        <w:t>nebo s konáním Vystoupení, použije se pojistné plnění pro uspokojení nároku té třetí osoby, jíž vznikla újma příslušným pojištěním krytá, a/nebo nároku druhé strany této smlouvy, pokud jí vznikla újma příslušným pojištěním krytá.</w:t>
      </w:r>
    </w:p>
    <w:p w:rsidR="0077157A" w:rsidRDefault="00191F17">
      <w:pPr>
        <w:pStyle w:val="Zkladntext20"/>
        <w:numPr>
          <w:ilvl w:val="0"/>
          <w:numId w:val="10"/>
        </w:numPr>
        <w:shd w:val="clear" w:color="auto" w:fill="auto"/>
        <w:tabs>
          <w:tab w:val="left" w:pos="425"/>
        </w:tabs>
        <w:spacing w:after="275"/>
        <w:ind w:left="440" w:hanging="440"/>
        <w:jc w:val="both"/>
      </w:pPr>
      <w:r>
        <w:t>Strany se dohodly, že každ</w:t>
      </w:r>
      <w:r>
        <w:t>á z nich sama odpovídá za plnění závazků, které přijme v souvislosti s touto smlouvou a konáním Vystoupení vůči třetím osobám sama na vlastní účet a na vlastní odpovědnost.</w:t>
      </w:r>
    </w:p>
    <w:p w:rsidR="0077157A" w:rsidRDefault="00191F17">
      <w:pPr>
        <w:pStyle w:val="Zkladntext20"/>
        <w:numPr>
          <w:ilvl w:val="0"/>
          <w:numId w:val="10"/>
        </w:numPr>
        <w:shd w:val="clear" w:color="auto" w:fill="auto"/>
        <w:tabs>
          <w:tab w:val="left" w:pos="425"/>
        </w:tabs>
        <w:spacing w:line="220" w:lineRule="exact"/>
        <w:ind w:left="440" w:hanging="440"/>
        <w:jc w:val="both"/>
      </w:pPr>
      <w:r>
        <w:t>Toto není smlouva, jíž se zakládá společnost podle §2716 a násl. občanského zákoník</w:t>
      </w:r>
      <w:r>
        <w:t>u.</w:t>
      </w:r>
      <w:r>
        <w:br w:type="page"/>
      </w:r>
    </w:p>
    <w:p w:rsidR="0077157A" w:rsidRDefault="00191F17">
      <w:pPr>
        <w:pStyle w:val="Zkladntext20"/>
        <w:numPr>
          <w:ilvl w:val="0"/>
          <w:numId w:val="10"/>
        </w:numPr>
        <w:shd w:val="clear" w:color="auto" w:fill="auto"/>
        <w:tabs>
          <w:tab w:val="left" w:pos="418"/>
        </w:tabs>
        <w:spacing w:after="275"/>
        <w:ind w:left="480" w:right="500"/>
        <w:jc w:val="both"/>
      </w:pPr>
      <w:r>
        <w:lastRenderedPageBreak/>
        <w:t xml:space="preserve">Tato smlouva představuje úplné ujednání stran ohledně jejího obsahu a nahrazuje všechna předchozí jednání a výměny návrhů a informací mezi stranami v souvislosti s obsahem a vyjednáváním této smlouvy. Tato smlouva může být měněna jen písemnými dodatky </w:t>
      </w:r>
      <w:r>
        <w:t>podepsanými oběma smluvními stranami. Povinnost písemné formy se vztahuje i na dohodu o změně povinné formy. Strany prohlašují, že nečiní žádných vedlejších ústních ujednání ani příslibů. Tato smlouva se řídí výlučně českým právem a případné spory z ní bud</w:t>
      </w:r>
      <w:r>
        <w:t>ou rozhodovat výlučně české soudy s místní příslušností soudu stanoveného podle zapsaného sídla Společnosti. Tato smlouva je vyhotovena ve dvou identických stejnopisech v českém jazyce podepsaných oběma účastníky a majících sílu originálu, z nichž po jedno</w:t>
      </w:r>
      <w:r>
        <w:t>m obdrží každý účastník. Tato smlouva se stává účinnou okamžikem podpisu oběma stranami a v případě, že není podepisována mezi přítomnými, vrácením podepsaného stejnopisu smlouvy té straně, která smlouvu podepsala jako první. Tato smlouva se uzavírá na dob</w:t>
      </w:r>
      <w:r>
        <w:t>u určitou - na dobu do vypořádání práv a povinností stran souvisejících s konáním Vystoupení. Od této smlouvy lze odstoupit pouze způsoby a za podmínek v této smlouvě stanovených, tuto smlouvu nelze vypovědět.</w:t>
      </w:r>
    </w:p>
    <w:p w:rsidR="0077157A" w:rsidRDefault="00191F17">
      <w:pPr>
        <w:pStyle w:val="Zkladntext20"/>
        <w:shd w:val="clear" w:color="auto" w:fill="auto"/>
        <w:spacing w:after="616" w:line="220" w:lineRule="exact"/>
        <w:ind w:left="480"/>
        <w:jc w:val="both"/>
      </w:pPr>
      <w:r>
        <w:t>V Liberci dne 10.1.2017</w:t>
      </w:r>
    </w:p>
    <w:p w:rsidR="0077157A" w:rsidRDefault="0077157A">
      <w:pPr>
        <w:rPr>
          <w:sz w:val="2"/>
          <w:szCs w:val="2"/>
        </w:rPr>
      </w:pPr>
    </w:p>
    <w:p w:rsidR="0077157A" w:rsidRDefault="0077157A">
      <w:pPr>
        <w:rPr>
          <w:sz w:val="2"/>
          <w:szCs w:val="2"/>
        </w:rPr>
        <w:sectPr w:rsidR="0077157A"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645" w:right="1498" w:bottom="1986" w:left="1580" w:header="0" w:footer="3" w:gutter="0"/>
          <w:cols w:space="720"/>
          <w:noEndnote/>
          <w:titlePg/>
          <w:docGrid w:linePitch="360"/>
        </w:sectPr>
      </w:pPr>
    </w:p>
    <w:p w:rsidR="0077157A" w:rsidRDefault="00191F17">
      <w:pPr>
        <w:pStyle w:val="Nadpis20"/>
        <w:keepNext/>
        <w:keepLines/>
        <w:shd w:val="clear" w:color="auto" w:fill="auto"/>
        <w:spacing w:after="479" w:line="320" w:lineRule="exact"/>
      </w:pPr>
      <w:bookmarkStart w:id="8" w:name="bookmark9"/>
      <w:r>
        <w:rPr>
          <w:rStyle w:val="Nadpis21"/>
          <w:b/>
          <w:bCs/>
        </w:rPr>
        <w:lastRenderedPageBreak/>
        <w:t>ORGANIZAČNÍ PODMÍNKY</w:t>
      </w:r>
      <w:bookmarkEnd w:id="8"/>
    </w:p>
    <w:p w:rsidR="0077157A" w:rsidRDefault="00191F17">
      <w:pPr>
        <w:pStyle w:val="Zkladntext20"/>
        <w:shd w:val="clear" w:color="auto" w:fill="auto"/>
        <w:spacing w:after="244" w:line="269" w:lineRule="exact"/>
        <w:ind w:firstLine="0"/>
      </w:pPr>
      <w:r>
        <w:t xml:space="preserve">Tyto organizační podmínky jsou přílohou a nedílnou součástí „Smlouvy o zajištění uměleckého vystoupení" („Smlouva") uzavřené ve vztahu ke koncertnímu vystoupení Umělce </w:t>
      </w:r>
      <w:r>
        <w:rPr>
          <w:rStyle w:val="Zkladntext2Tun"/>
        </w:rPr>
        <w:t xml:space="preserve">„LENNY" </w:t>
      </w:r>
      <w:r>
        <w:t xml:space="preserve">v místě </w:t>
      </w:r>
      <w:r>
        <w:rPr>
          <w:rStyle w:val="Zkladntext2Tun"/>
        </w:rPr>
        <w:t xml:space="preserve">Liberec </w:t>
      </w:r>
      <w:r>
        <w:t xml:space="preserve">dne </w:t>
      </w:r>
      <w:r>
        <w:rPr>
          <w:rStyle w:val="Zkladntext2Tun"/>
        </w:rPr>
        <w:t xml:space="preserve">18.3.2017 </w:t>
      </w:r>
      <w:r>
        <w:t>mezi společností Universal Music s.r.o., IČO: 6046</w:t>
      </w:r>
      <w:r>
        <w:t>9692 ("Společnost") a ZOOLOGICKÁ ZAHRADA LIBEREC, IČO: 00079651 ("Partner").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344"/>
        </w:tabs>
        <w:spacing w:before="0" w:line="264" w:lineRule="exact"/>
        <w:jc w:val="both"/>
      </w:pPr>
      <w:r>
        <w:rPr>
          <w:rStyle w:val="Zkladntext51"/>
          <w:b/>
          <w:bCs/>
        </w:rPr>
        <w:t>Seznam vystupujících umělců a ostatních Osob:</w:t>
      </w:r>
    </w:p>
    <w:p w:rsidR="00191F17" w:rsidRDefault="00191F17">
      <w:pPr>
        <w:pStyle w:val="Zkladntext20"/>
        <w:shd w:val="clear" w:color="auto" w:fill="auto"/>
        <w:ind w:left="760" w:hanging="320"/>
        <w:jc w:val="both"/>
      </w:pPr>
    </w:p>
    <w:p w:rsidR="0077157A" w:rsidRDefault="00191F17">
      <w:pPr>
        <w:pStyle w:val="Zkladntext20"/>
        <w:shd w:val="clear" w:color="auto" w:fill="auto"/>
        <w:ind w:left="760" w:hanging="320"/>
        <w:jc w:val="both"/>
      </w:pPr>
      <w:r>
        <w:t>7x technik</w:t>
      </w:r>
    </w:p>
    <w:p w:rsidR="0077157A" w:rsidRDefault="00191F17">
      <w:pPr>
        <w:pStyle w:val="Zkladntext20"/>
        <w:shd w:val="clear" w:color="auto" w:fill="auto"/>
        <w:ind w:left="760" w:hanging="320"/>
        <w:jc w:val="both"/>
      </w:pPr>
      <w:r>
        <w:t>řidič</w:t>
      </w:r>
    </w:p>
    <w:p w:rsidR="0077157A" w:rsidRDefault="00191F17">
      <w:pPr>
        <w:pStyle w:val="Zkladntext20"/>
        <w:shd w:val="clear" w:color="auto" w:fill="auto"/>
        <w:spacing w:after="236"/>
        <w:ind w:left="440" w:right="200" w:firstLine="0"/>
        <w:jc w:val="both"/>
      </w:pPr>
      <w:r>
        <w:t>(Agentura si vyhrazuje právo změnit obsazení doprovodných hudebníků a technického a organizačního personálu)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349"/>
        </w:tabs>
        <w:spacing w:before="0" w:line="269" w:lineRule="exact"/>
        <w:jc w:val="both"/>
      </w:pPr>
      <w:r>
        <w:rPr>
          <w:rStyle w:val="Zkladntext51"/>
          <w:b/>
          <w:bCs/>
        </w:rPr>
        <w:t>Kontaktní osoby na straně Společnsoti: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94"/>
        </w:tabs>
        <w:spacing w:line="269" w:lineRule="exact"/>
        <w:ind w:left="760" w:hanging="320"/>
        <w:jc w:val="both"/>
      </w:pPr>
      <w:r>
        <w:t>Zástupce pro smluvní a organizační otázky:</w:t>
      </w:r>
    </w:p>
    <w:p w:rsidR="00191F17" w:rsidRDefault="00191F17" w:rsidP="00191F17">
      <w:pPr>
        <w:pStyle w:val="Zkladntext20"/>
        <w:shd w:val="clear" w:color="auto" w:fill="auto"/>
        <w:tabs>
          <w:tab w:val="left" w:pos="794"/>
        </w:tabs>
        <w:spacing w:line="269" w:lineRule="exact"/>
        <w:ind w:left="760" w:firstLine="0"/>
        <w:jc w:val="both"/>
      </w:pP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94"/>
        </w:tabs>
        <w:spacing w:line="269" w:lineRule="exact"/>
        <w:ind w:left="760" w:hanging="320"/>
        <w:jc w:val="both"/>
      </w:pPr>
      <w:r>
        <w:t>Zástupce pro technické otázky (jméno, e-mail, telefon):</w:t>
      </w:r>
    </w:p>
    <w:p w:rsidR="00191F17" w:rsidRDefault="00191F17" w:rsidP="00191F17">
      <w:pPr>
        <w:pStyle w:val="Zkladntext50"/>
        <w:shd w:val="clear" w:color="auto" w:fill="auto"/>
        <w:tabs>
          <w:tab w:val="left" w:pos="354"/>
        </w:tabs>
        <w:spacing w:before="0" w:line="278" w:lineRule="exact"/>
        <w:jc w:val="both"/>
      </w:pP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354"/>
        </w:tabs>
        <w:spacing w:before="0" w:line="278" w:lineRule="exact"/>
        <w:jc w:val="both"/>
      </w:pPr>
      <w:r>
        <w:rPr>
          <w:rStyle w:val="Zkladntext51"/>
          <w:b/>
          <w:bCs/>
        </w:rPr>
        <w:t>Kontaktní osoby na straně Partnera: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94"/>
        </w:tabs>
        <w:spacing w:line="278" w:lineRule="exact"/>
        <w:ind w:left="760" w:hanging="320"/>
        <w:jc w:val="both"/>
      </w:pPr>
      <w:r>
        <w:t xml:space="preserve">Zástupce pro smluvní a organizační otázky): 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94"/>
        </w:tabs>
        <w:spacing w:after="244" w:line="278" w:lineRule="exact"/>
        <w:ind w:left="760" w:hanging="320"/>
        <w:jc w:val="both"/>
      </w:pPr>
      <w:r>
        <w:t xml:space="preserve">Zástupce pro technické otázky (jméno, e-mail, telefon): 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354"/>
        </w:tabs>
        <w:spacing w:before="0" w:line="274" w:lineRule="exact"/>
        <w:jc w:val="both"/>
      </w:pPr>
      <w:r>
        <w:rPr>
          <w:rStyle w:val="Zkladntext51"/>
          <w:b/>
          <w:bCs/>
        </w:rPr>
        <w:t>Příjezd a parkování:</w:t>
      </w:r>
    </w:p>
    <w:p w:rsidR="0077157A" w:rsidRDefault="00191F17">
      <w:pPr>
        <w:pStyle w:val="Zkladntext20"/>
        <w:shd w:val="clear" w:color="auto" w:fill="auto"/>
        <w:spacing w:after="523" w:line="274" w:lineRule="exact"/>
        <w:ind w:left="760" w:hanging="320"/>
        <w:jc w:val="both"/>
      </w:pPr>
      <w:r>
        <w:t xml:space="preserve">• Partner je povinen zabezpečit na svou odpovědnost a na své náklady pro Umělce a jeho doprovod bezpečné parkování v areálu místa vystoupení, případně jeho </w:t>
      </w:r>
      <w:r>
        <w:t>těsné blízkosti, a to pro 2x dodávkový vůz a 1 osobní vůz.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349"/>
        </w:tabs>
        <w:spacing w:before="0" w:line="220" w:lineRule="exact"/>
        <w:jc w:val="both"/>
      </w:pPr>
      <w:r>
        <w:rPr>
          <w:rStyle w:val="Zkladntext51"/>
          <w:b/>
          <w:bCs/>
        </w:rPr>
        <w:t>Vykládka a nakládka nástrojové aparatury:</w:t>
      </w:r>
    </w:p>
    <w:p w:rsidR="0077157A" w:rsidRDefault="00191F17">
      <w:pPr>
        <w:pStyle w:val="Zkladntext20"/>
        <w:shd w:val="clear" w:color="auto" w:fill="auto"/>
        <w:ind w:left="760" w:hanging="320"/>
        <w:jc w:val="both"/>
        <w:sectPr w:rsidR="0077157A">
          <w:pgSz w:w="11900" w:h="16840"/>
          <w:pgMar w:top="1703" w:right="1767" w:bottom="1839" w:left="1791" w:header="0" w:footer="3" w:gutter="0"/>
          <w:cols w:space="720"/>
          <w:noEndnote/>
          <w:docGrid w:linePitch="360"/>
        </w:sectPr>
      </w:pPr>
      <w:r>
        <w:t xml:space="preserve">• Partner je povinen zabezpečit na svou odpovědnost a na své náklady </w:t>
      </w:r>
      <w:r>
        <w:rPr>
          <w:rStyle w:val="Zkladntext2Tun"/>
        </w:rPr>
        <w:t xml:space="preserve">(4) </w:t>
      </w:r>
      <w:r>
        <w:t>fyzicky zdatné pomocníky za účelem asistence při vyložení n</w:t>
      </w:r>
      <w:r>
        <w:t>ástrojové a světelné aparatury Umělce při příjezdu Umělce a naložení nástrojové a světelné aparatury Umělce po skončení vystoupení Umělce nebo v jiné dohodnuté době; pomocníci nesmějí být pod vlivem alkoholu nebo jiných návykových látek a musí být Umělci k</w:t>
      </w:r>
      <w:r>
        <w:t xml:space="preserve"> dispozici při nakládání a vykládání dle pokynů Umělce resp. osob tvořících jeho organizační doprovod.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after="236"/>
        <w:ind w:left="740" w:hanging="340"/>
        <w:jc w:val="both"/>
      </w:pPr>
      <w:r>
        <w:lastRenderedPageBreak/>
        <w:t>Za škody vzniklé při manipulaci s nástrojovou aparaturou způsobenou takto zabezpečenými pomocníky odpovídá Partner.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294"/>
        </w:tabs>
        <w:spacing w:before="0" w:line="269" w:lineRule="exact"/>
        <w:jc w:val="both"/>
      </w:pPr>
      <w:r>
        <w:rPr>
          <w:noProof/>
          <w:lang w:bidi="ar-SA"/>
        </w:rPr>
        <w:drawing>
          <wp:anchor distT="0" distB="0" distL="63500" distR="399415" simplePos="0" relativeHeight="377487108" behindDoc="1" locked="0" layoutInCell="1" allowOverlap="1">
            <wp:simplePos x="0" y="0"/>
            <wp:positionH relativeFrom="margin">
              <wp:posOffset>-1088390</wp:posOffset>
            </wp:positionH>
            <wp:positionV relativeFrom="paragraph">
              <wp:posOffset>-1466215</wp:posOffset>
            </wp:positionV>
            <wp:extent cx="688975" cy="1414145"/>
            <wp:effectExtent l="0" t="0" r="0" b="0"/>
            <wp:wrapSquare wrapText="right"/>
            <wp:docPr id="13" name="obrázek 13" descr="C:\Users\dostalova\Documents\KONVERZE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ostalova\Documents\KONVERZE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51"/>
          <w:b/>
          <w:bCs/>
        </w:rPr>
        <w:t>Technické a organizační podmínky: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line="269" w:lineRule="exact"/>
        <w:ind w:left="740" w:hanging="340"/>
        <w:jc w:val="both"/>
      </w:pPr>
      <w:r>
        <w:t>Partner je povinen zabezpečit, aby s nástrojovou aparaturou a vybavením Umělce na pódiu nemanipulovala žádná osoba bez výslovného souhlasu Umělce (takový bude udělen zpravidla za účelem rychlého přemístění připravené nástrojové aparatury z místa přípravy d</w:t>
      </w:r>
      <w:r>
        <w:t>le předchozí odrážky na pódium a zpět).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line="269" w:lineRule="exact"/>
        <w:ind w:left="740" w:hanging="340"/>
        <w:jc w:val="both"/>
      </w:pPr>
      <w:r>
        <w:t>Partner je povinen zabezpečit prostřednictvím alespoň dvoučlenné pořadatelské služby, aby na pódium s připravenou nástrojovou aparaturou Umělce nevstupovaly žádné osoby s výjimkou těch, u nichž je to s ohledem na jej</w:t>
      </w:r>
      <w:r>
        <w:t>ich činnost při realizaci vystoupení třeba (stage manager, zvukoví technici apod.).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line="269" w:lineRule="exact"/>
        <w:ind w:left="740" w:hanging="340"/>
        <w:jc w:val="both"/>
      </w:pPr>
      <w:r>
        <w:t>Partner odpovídá za škodu, ztrátu nebo poškození vybavení Umělce nacházejícího se v místě vystoupení, s výjimkou případů, že by ke škodě došlo i jinak, a případů, kdy škodu</w:t>
      </w:r>
      <w:r>
        <w:t xml:space="preserve"> zavinila některá osoba z řad Umělce nebo jeho doprovodu, ať již svou manipulací nebo udělením nevhodných pokynů osobě na straně Pořadatele.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line="269" w:lineRule="exact"/>
        <w:ind w:left="740" w:hanging="340"/>
        <w:jc w:val="both"/>
      </w:pPr>
      <w:r>
        <w:t xml:space="preserve">Partner je povinen zabezpečit vhodným způsobem oddělení diváků od pódia, na němž se vystoupení uskuteční (zábrany, </w:t>
      </w:r>
      <w:r>
        <w:t>pořadatelská služba apod.).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after="279" w:line="269" w:lineRule="exact"/>
        <w:ind w:left="740" w:hanging="340"/>
      </w:pPr>
      <w:r>
        <w:t>Dodává-li pro účely vystoupení zvukovou a světelnou techniku Společnost, je Partner povinen zabezpečit zábrany, zamezující vstupu diváků do prostoru kolem a na plošiny zvukové, světelné a projekční režie.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294"/>
        </w:tabs>
        <w:spacing w:before="0" w:line="220" w:lineRule="exact"/>
        <w:jc w:val="both"/>
      </w:pPr>
      <w:r>
        <w:rPr>
          <w:rStyle w:val="Zkladntext51"/>
          <w:b/>
          <w:bCs/>
        </w:rPr>
        <w:t>Zázemí: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line="269" w:lineRule="exact"/>
        <w:ind w:left="740" w:hanging="340"/>
        <w:jc w:val="both"/>
      </w:pPr>
      <w:r>
        <w:t>Partner je povi</w:t>
      </w:r>
      <w:r>
        <w:t>nen zabezpečit na svou odpovědnost a na své náklady pro Umělce a jeho doprovod čistou, osvětlenou, jménem/názvem Umělce viditelně označenou a uzamykatelnou šatnu s teplotou vzduchu alespoň 20°C, vybavenou (přímo v rámci šatny nebo v její těsné blízkosti) v</w:t>
      </w:r>
      <w:r>
        <w:t>lastním sociálním zařízením (WC, toaletní papír, umyvadlo s teplou vodou), přístupným pouze Umělci, případně jiným interpretům realizujícím své vystoupení na téže akci. Klíč od šatny převezme při příjezdu zástupce Umělce. Pořadatel je povinen zabezpečit, ž</w:t>
      </w:r>
      <w:r>
        <w:t>e po dobu, kdy bude šatna k dispozici Umělci, nebude mít do ní vstup žádná jiná osoba bez předchozího souhlasu Umělce.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line="269" w:lineRule="exact"/>
        <w:ind w:left="740" w:hanging="340"/>
        <w:jc w:val="both"/>
      </w:pPr>
      <w:r>
        <w:t>Partner je povinen zabezpečit v šatně věšáky na oblečení, židlemi a stoly pro 15 osob, zrcadlem a alespoň jednou zásuvkou 220 V.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4"/>
        </w:tabs>
        <w:spacing w:line="269" w:lineRule="exact"/>
        <w:ind w:left="740" w:hanging="340"/>
        <w:sectPr w:rsidR="0077157A"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703" w:right="1767" w:bottom="1839" w:left="1791" w:header="0" w:footer="3" w:gutter="0"/>
          <w:cols w:space="720"/>
          <w:noEndnote/>
          <w:docGrid w:linePitch="360"/>
        </w:sectPr>
      </w:pPr>
      <w:r>
        <w:t>Partner je povinen zabezpečit prostřednictvím alespoň dvoučlenné pořadatelské služby, že do zákulisí a do okolí šaten nebudou v době přítomnosti Umělce v místě vystoupení vstupovat jiné osoby, než viditelně</w:t>
      </w:r>
      <w:r>
        <w:t xml:space="preserve"> označené podle předchozí odrážky.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329"/>
        </w:tabs>
        <w:spacing w:before="0" w:line="269" w:lineRule="exact"/>
        <w:jc w:val="both"/>
      </w:pPr>
      <w:r>
        <w:rPr>
          <w:rStyle w:val="Zkladntext51"/>
          <w:b/>
          <w:bCs/>
        </w:rPr>
        <w:lastRenderedPageBreak/>
        <w:t>Občerstvení: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0"/>
        </w:tabs>
        <w:spacing w:line="269" w:lineRule="exact"/>
        <w:ind w:left="740" w:hanging="340"/>
        <w:jc w:val="both"/>
      </w:pPr>
      <w:r>
        <w:t>Partner je povinen na svou odpovědnost a na své náklady zajistit pro Umělce a jeho doprovod občerstvení v následujícím složení, které musí být Umělci k dispozici v jeho šatně v době před / po konání vystoupen</w:t>
      </w:r>
      <w:r>
        <w:t>í dle aktuálního požadavku Umělce: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Teplé jídlo pro 15 osob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2x mísa s kusovým sezónním ovocem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2x zeleninová mísa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2x sýrová mísa (mix sýrů)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right="3880" w:firstLine="0"/>
      </w:pPr>
      <w:r>
        <w:t>2x salámová mísa Mix pečivá pro 15 osob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right="760" w:firstLine="0"/>
      </w:pPr>
      <w:r>
        <w:t>Káva, čaj, cukr, případně varná konvice a ingredience pro přípravu kávy a čaje</w:t>
      </w:r>
      <w:r>
        <w:t xml:space="preserve"> 4x ks (1,5 litru) vody neperlivé 2x Cola Cola (2 litry)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2x Coca Cola light (2 litry),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bookmarkStart w:id="9" w:name="_GoBack"/>
      <w:bookmarkEnd w:id="9"/>
      <w:r>
        <w:t>2x jahodový džus (1 litr)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2x jablečný džus (1 litr)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2x hruškový džus (1 litr)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6x energy drink Red Bull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5x pivo nealkoholické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lOx pivo Plzeň ( Budvar, Gambrinus )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</w:pPr>
      <w:r>
        <w:t>Plastov</w:t>
      </w:r>
      <w:r>
        <w:t>é kelímky, příbory, talíře, ubrousky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0"/>
        </w:tabs>
        <w:spacing w:after="240" w:line="269" w:lineRule="exact"/>
        <w:ind w:left="740" w:hanging="340"/>
        <w:jc w:val="both"/>
      </w:pPr>
      <w:r>
        <w:t>Partner je povinen na svou odpovědnost a na své náklady zajistit pro Umělce nápoje v následujícím složení, které musí být Umělci k dispozici na pódiu v době vystoupení: 5x neperlivá 0,5 litru v PET lahvích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329"/>
        </w:tabs>
        <w:spacing w:before="0" w:line="269" w:lineRule="exact"/>
        <w:jc w:val="both"/>
      </w:pPr>
      <w:r>
        <w:rPr>
          <w:rStyle w:val="Zkladntext51"/>
          <w:b/>
          <w:bCs/>
        </w:rPr>
        <w:t>Propagace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0"/>
          <w:tab w:val="left" w:leader="dot" w:pos="5296"/>
        </w:tabs>
        <w:spacing w:line="269" w:lineRule="exact"/>
        <w:ind w:left="740" w:hanging="340"/>
        <w:jc w:val="both"/>
      </w:pPr>
      <w:r>
        <w:t>Společnost dodá Partnerovi nejpozději do</w:t>
      </w:r>
      <w:r>
        <w:tab/>
        <w:t xml:space="preserve"> následující propagační materiály</w:t>
      </w:r>
    </w:p>
    <w:p w:rsidR="0077157A" w:rsidRDefault="00191F17">
      <w:pPr>
        <w:pStyle w:val="Zkladntext20"/>
        <w:shd w:val="clear" w:color="auto" w:fill="auto"/>
        <w:spacing w:line="269" w:lineRule="exact"/>
        <w:ind w:left="740" w:firstLine="0"/>
        <w:jc w:val="both"/>
      </w:pPr>
      <w:r>
        <w:t>Umělce v následujícím množství, a to buď elektronickou poštou (je-li to možné) nebo doporučenou poštou na adresu Partnera uvedenou v záhlaví Smlouvy: fotka, tisková zpráva, vizuál.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0"/>
        </w:tabs>
        <w:spacing w:line="269" w:lineRule="exact"/>
        <w:ind w:left="740" w:hanging="340"/>
        <w:jc w:val="both"/>
      </w:pPr>
      <w:r>
        <w:t>Společnost zajistí pro realizaci vystoupení následující propagační součinnost Umělce (rozhovory apod.).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0"/>
        </w:tabs>
        <w:spacing w:after="240" w:line="269" w:lineRule="exact"/>
        <w:ind w:left="740" w:hanging="340"/>
        <w:jc w:val="both"/>
      </w:pPr>
      <w:r>
        <w:t xml:space="preserve">Partner zabezpečí místo pro prodej merchandisingu Umělce v prostoru vystoupení tak, aby bylo přístupné a dobře viditelné všem návštěvníkům vystoupení a </w:t>
      </w:r>
      <w:r>
        <w:t>aby bylo Umělci (resp. jeho doprovodu) k dispozici alespoň 1 hodinu před zahájením vystoupení a libovolnou Umělcem zvolenou dobu poté, dokud se budou v místě vystoupení nacházet návštěvníci. Místo musí být vybaveno stolem o rozměru alespoň 4x1 m a dvěma ži</w:t>
      </w:r>
      <w:r>
        <w:t>dlemi.</w:t>
      </w:r>
    </w:p>
    <w:p w:rsidR="0077157A" w:rsidRDefault="00191F17">
      <w:pPr>
        <w:pStyle w:val="Zkladntext50"/>
        <w:numPr>
          <w:ilvl w:val="0"/>
          <w:numId w:val="12"/>
        </w:numPr>
        <w:shd w:val="clear" w:color="auto" w:fill="auto"/>
        <w:tabs>
          <w:tab w:val="left" w:pos="435"/>
        </w:tabs>
        <w:spacing w:before="0" w:line="269" w:lineRule="exact"/>
        <w:jc w:val="both"/>
      </w:pPr>
      <w:r>
        <w:rPr>
          <w:rStyle w:val="Zkladntext51"/>
          <w:b/>
          <w:bCs/>
        </w:rPr>
        <w:t>Sankce</w:t>
      </w:r>
    </w:p>
    <w:p w:rsidR="0077157A" w:rsidRDefault="00191F17">
      <w:pPr>
        <w:pStyle w:val="Zkladntext20"/>
        <w:numPr>
          <w:ilvl w:val="0"/>
          <w:numId w:val="13"/>
        </w:numPr>
        <w:shd w:val="clear" w:color="auto" w:fill="auto"/>
        <w:tabs>
          <w:tab w:val="left" w:pos="760"/>
        </w:tabs>
        <w:spacing w:line="269" w:lineRule="exact"/>
        <w:ind w:left="740" w:hanging="340"/>
        <w:jc w:val="both"/>
        <w:sectPr w:rsidR="0077157A">
          <w:pgSz w:w="11900" w:h="16840"/>
          <w:pgMar w:top="1533" w:right="1887" w:bottom="560" w:left="1675" w:header="0" w:footer="3" w:gutter="0"/>
          <w:cols w:space="720"/>
          <w:noEndnote/>
          <w:docGrid w:linePitch="360"/>
        </w:sectPr>
      </w:pPr>
      <w:r>
        <w:t>Za porušení každé z povinností dle bodů 1-4 a 7-9 je Pořadatel povinen uhradit Agentuře smluvní pokutu ve výši 3.000 Kč, za porušení každé z povinností dle bodů 5-6 je Pořadatel povinen uhradit Agentuře smluvní pokutu v</w:t>
      </w:r>
      <w:r>
        <w:t>e výši 8.000 Kč čímž není dotčeno právo Agentury na náhradu způsobené škody a právo odstoupit od Smlouvy v souladu s čl. VII. odst. 2 Smlouvy.</w:t>
      </w:r>
    </w:p>
    <w:p w:rsidR="0077157A" w:rsidRDefault="0077157A">
      <w:pPr>
        <w:spacing w:before="75" w:after="75" w:line="240" w:lineRule="exact"/>
        <w:rPr>
          <w:sz w:val="19"/>
          <w:szCs w:val="19"/>
        </w:rPr>
      </w:pPr>
    </w:p>
    <w:p w:rsidR="0077157A" w:rsidRDefault="0077157A">
      <w:pPr>
        <w:rPr>
          <w:sz w:val="2"/>
          <w:szCs w:val="2"/>
        </w:rPr>
        <w:sectPr w:rsidR="0077157A">
          <w:type w:val="continuous"/>
          <w:pgSz w:w="11900" w:h="16840"/>
          <w:pgMar w:top="1518" w:right="0" w:bottom="545" w:left="0" w:header="0" w:footer="3" w:gutter="0"/>
          <w:cols w:space="720"/>
          <w:noEndnote/>
          <w:docGrid w:linePitch="360"/>
        </w:sectPr>
      </w:pPr>
    </w:p>
    <w:p w:rsidR="0077157A" w:rsidRDefault="0077157A">
      <w:pPr>
        <w:spacing w:line="360" w:lineRule="exact"/>
      </w:pPr>
    </w:p>
    <w:p w:rsidR="0077157A" w:rsidRDefault="0077157A">
      <w:pPr>
        <w:spacing w:line="360" w:lineRule="exact"/>
      </w:pPr>
    </w:p>
    <w:p w:rsidR="0077157A" w:rsidRDefault="0077157A">
      <w:pPr>
        <w:spacing w:line="360" w:lineRule="exact"/>
      </w:pPr>
    </w:p>
    <w:p w:rsidR="0077157A" w:rsidRDefault="0077157A">
      <w:pPr>
        <w:spacing w:line="360" w:lineRule="exact"/>
      </w:pPr>
    </w:p>
    <w:p w:rsidR="0077157A" w:rsidRDefault="0077157A">
      <w:pPr>
        <w:spacing w:line="360" w:lineRule="exact"/>
      </w:pPr>
    </w:p>
    <w:p w:rsidR="0077157A" w:rsidRDefault="0077157A">
      <w:pPr>
        <w:spacing w:line="414" w:lineRule="exact"/>
      </w:pPr>
    </w:p>
    <w:p w:rsidR="0077157A" w:rsidRDefault="0077157A">
      <w:pPr>
        <w:rPr>
          <w:sz w:val="2"/>
          <w:szCs w:val="2"/>
        </w:rPr>
      </w:pPr>
    </w:p>
    <w:sectPr w:rsidR="0077157A">
      <w:type w:val="continuous"/>
      <w:pgSz w:w="11900" w:h="16840"/>
      <w:pgMar w:top="1518" w:right="1148" w:bottom="545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91F17">
      <w:r>
        <w:separator/>
      </w:r>
    </w:p>
  </w:endnote>
  <w:endnote w:type="continuationSeparator" w:id="0">
    <w:p w:rsidR="00000000" w:rsidRDefault="0019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191F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6335395</wp:posOffset>
              </wp:positionH>
              <wp:positionV relativeFrom="page">
                <wp:posOffset>10241280</wp:posOffset>
              </wp:positionV>
              <wp:extent cx="67945" cy="154940"/>
              <wp:effectExtent l="1270" t="190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57A" w:rsidRDefault="00191F1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91F17">
                            <w:rPr>
                              <w:rStyle w:val="ZhlavneboZpatCandara10p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Candara10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8.85pt;margin-top:806.4pt;width:5.35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" filled="f" stroked="f">
              <v:textbox style="mso-fit-shape-to-text:t" inset="0,0,0,0">
                <w:txbxContent>
                  <w:p w:rsidR="0077157A" w:rsidRDefault="00191F1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91F17">
                      <w:rPr>
                        <w:rStyle w:val="ZhlavneboZpatCandara10ptNetun"/>
                        <w:noProof/>
                      </w:rPr>
                      <w:t>4</w:t>
                    </w:r>
                    <w:r>
                      <w:rPr>
                        <w:rStyle w:val="ZhlavneboZpatCandara10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191F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6335395</wp:posOffset>
              </wp:positionH>
              <wp:positionV relativeFrom="page">
                <wp:posOffset>10241280</wp:posOffset>
              </wp:positionV>
              <wp:extent cx="62230" cy="154940"/>
              <wp:effectExtent l="1270" t="1905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57A" w:rsidRDefault="00191F1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91F17">
                            <w:rPr>
                              <w:rStyle w:val="ZhlavneboZpatCandara10p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Candara10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98.85pt;margin-top:806.4pt;width:4.9pt;height:12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IjrQIAAKw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" filled="f" stroked="f">
              <v:textbox style="mso-fit-shape-to-text:t" inset="0,0,0,0">
                <w:txbxContent>
                  <w:p w:rsidR="0077157A" w:rsidRDefault="00191F1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91F17">
                      <w:rPr>
                        <w:rStyle w:val="ZhlavneboZpatCandara10ptNetun"/>
                        <w:noProof/>
                      </w:rPr>
                      <w:t>3</w:t>
                    </w:r>
                    <w:r>
                      <w:rPr>
                        <w:rStyle w:val="ZhlavneboZpatCandara10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191F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6335395</wp:posOffset>
              </wp:positionH>
              <wp:positionV relativeFrom="page">
                <wp:posOffset>10241280</wp:posOffset>
              </wp:positionV>
              <wp:extent cx="70485" cy="154940"/>
              <wp:effectExtent l="1270" t="1905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57A" w:rsidRDefault="00191F1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91F17">
                            <w:rPr>
                              <w:rStyle w:val="ZhlavneboZpatCandara10ptNetun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Candara10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8.85pt;margin-top:806.4pt;width:5.55pt;height:12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" filled="f" stroked="f">
              <v:textbox style="mso-fit-shape-to-text:t" inset="0,0,0,0">
                <w:txbxContent>
                  <w:p w:rsidR="0077157A" w:rsidRDefault="00191F1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91F17">
                      <w:rPr>
                        <w:rStyle w:val="ZhlavneboZpatCandara10ptNetun"/>
                        <w:noProof/>
                      </w:rPr>
                      <w:t>8</w:t>
                    </w:r>
                    <w:r>
                      <w:rPr>
                        <w:rStyle w:val="ZhlavneboZpatCandara10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77157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191F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6361430</wp:posOffset>
              </wp:positionH>
              <wp:positionV relativeFrom="page">
                <wp:posOffset>9888220</wp:posOffset>
              </wp:positionV>
              <wp:extent cx="77470" cy="186055"/>
              <wp:effectExtent l="0" t="127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57A" w:rsidRDefault="00191F1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91F17">
                            <w:rPr>
                              <w:rStyle w:val="ZhlavneboZpat12ptNetun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2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00.9pt;margin-top:778.6pt;width:6.1pt;height:14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kbqwIAAKw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" filled="f" stroked="f">
              <v:textbox style="mso-fit-shape-to-text:t" inset="0,0,0,0">
                <w:txbxContent>
                  <w:p w:rsidR="0077157A" w:rsidRDefault="00191F1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91F17">
                      <w:rPr>
                        <w:rStyle w:val="ZhlavneboZpat12ptNetun"/>
                        <w:noProof/>
                      </w:rPr>
                      <w:t>5</w:t>
                    </w:r>
                    <w:r>
                      <w:rPr>
                        <w:rStyle w:val="ZhlavneboZpat12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77157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191F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6335395</wp:posOffset>
              </wp:positionH>
              <wp:positionV relativeFrom="page">
                <wp:posOffset>10241280</wp:posOffset>
              </wp:positionV>
              <wp:extent cx="69850" cy="154940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57A" w:rsidRDefault="00191F1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91F17">
                            <w:rPr>
                              <w:rStyle w:val="ZhlavneboZpatCandara10ptNetun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Candara10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8.85pt;margin-top:806.4pt;width:5.5pt;height:12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" filled="f" stroked="f">
              <v:textbox style="mso-fit-shape-to-text:t" inset="0,0,0,0">
                <w:txbxContent>
                  <w:p w:rsidR="0077157A" w:rsidRDefault="00191F1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91F17">
                      <w:rPr>
                        <w:rStyle w:val="ZhlavneboZpatCandara10ptNetun"/>
                        <w:noProof/>
                      </w:rPr>
                      <w:t>9</w:t>
                    </w:r>
                    <w:r>
                      <w:rPr>
                        <w:rStyle w:val="ZhlavneboZpatCandara10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7715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7A" w:rsidRDefault="0077157A"/>
  </w:footnote>
  <w:footnote w:type="continuationSeparator" w:id="0">
    <w:p w:rsidR="0077157A" w:rsidRDefault="007715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191F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3133725</wp:posOffset>
              </wp:positionH>
              <wp:positionV relativeFrom="page">
                <wp:posOffset>762635</wp:posOffset>
              </wp:positionV>
              <wp:extent cx="1358900" cy="170815"/>
              <wp:effectExtent l="0" t="63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57A" w:rsidRDefault="00191F1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IV. PRODEJ VSTUPENEK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46.75pt;margin-top:60.05pt;width:107pt;height:13.4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3waqwIAAK4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" filled="f" stroked="f">
              <v:textbox style="mso-fit-shape-to-text:t" inset="0,0,0,0">
                <w:txbxContent>
                  <w:p w:rsidR="0077157A" w:rsidRDefault="00191F1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IV. PRODEJ VSTUPENEK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57A" w:rsidRDefault="007715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528A"/>
    <w:multiLevelType w:val="multilevel"/>
    <w:tmpl w:val="7FAA3222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9647D"/>
    <w:multiLevelType w:val="multilevel"/>
    <w:tmpl w:val="DB54A9D6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D33E83"/>
    <w:multiLevelType w:val="multilevel"/>
    <w:tmpl w:val="D174DBB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556731"/>
    <w:multiLevelType w:val="multilevel"/>
    <w:tmpl w:val="11BA513E"/>
    <w:lvl w:ilvl="0">
      <w:start w:val="5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FA005D"/>
    <w:multiLevelType w:val="multilevel"/>
    <w:tmpl w:val="511287C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6F60B6"/>
    <w:multiLevelType w:val="multilevel"/>
    <w:tmpl w:val="EB524CE8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AD560C"/>
    <w:multiLevelType w:val="multilevel"/>
    <w:tmpl w:val="C958DDB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247193"/>
    <w:multiLevelType w:val="multilevel"/>
    <w:tmpl w:val="AC98B58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0E5975"/>
    <w:multiLevelType w:val="multilevel"/>
    <w:tmpl w:val="3908328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8958CB"/>
    <w:multiLevelType w:val="multilevel"/>
    <w:tmpl w:val="3E9669AA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744C9E"/>
    <w:multiLevelType w:val="multilevel"/>
    <w:tmpl w:val="27C41128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840BFC"/>
    <w:multiLevelType w:val="multilevel"/>
    <w:tmpl w:val="C6D8FF80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D127CA"/>
    <w:multiLevelType w:val="multilevel"/>
    <w:tmpl w:val="30AED07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7A"/>
    <w:rsid w:val="00191F17"/>
    <w:rsid w:val="0077157A"/>
    <w:rsid w:val="00B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7BAD0D18-C1C7-4ED9-8368-DF745908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60"/>
      <w:szCs w:val="60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4Nekurzvadkovn0ptExact">
    <w:name w:val="Základní text (4) + Ne kurzíva;Řádkování 0 pt Exact"/>
    <w:basedOn w:val="Zkladntext4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0">
    <w:name w:val="Základní text (5) Exact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8ptTunMtko60Exact">
    <w:name w:val="Základní text (6) + 18 pt;Tučné;Měřítko 60% Exact"/>
    <w:basedOn w:val="Zkladntext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60"/>
      <w:position w:val="0"/>
      <w:sz w:val="36"/>
      <w:szCs w:val="36"/>
      <w:u w:val="none"/>
      <w:lang w:val="cs-CZ" w:eastAsia="cs-CZ" w:bidi="cs-CZ"/>
    </w:rPr>
  </w:style>
  <w:style w:type="character" w:customStyle="1" w:styleId="Zkladntext618ptTundkovn2ptMtko60Exact">
    <w:name w:val="Základní text (6) + 18 pt;Tučné;Řádkování 2 pt;Měřítko 60% Exact"/>
    <w:basedOn w:val="Zkladntext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0"/>
      <w:w w:val="60"/>
      <w:position w:val="0"/>
      <w:sz w:val="36"/>
      <w:szCs w:val="3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0">
    <w:name w:val="Základní text (7) Exact"/>
    <w:basedOn w:val="Zkladntext7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0">
    <w:name w:val="Základní text (8) Exact"/>
    <w:basedOn w:val="Zkladntext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22ptNetunKurzvadkovn4pt">
    <w:name w:val="Nadpis #1 + 22 pt;Ne tučné;Kurzíva;Řádkování 4 p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8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Candara10ptNetun">
    <w:name w:val="Záhlaví nebo Zápatí + Candara;10 pt;Ne 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9ptExact">
    <w:name w:val="Titulek obrázku + 9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2ptNetun">
    <w:name w:val="Záhlaví nebo Zápatí + 12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105ptExact">
    <w:name w:val="Základní text (9) + 10;5 pt Exact"/>
    <w:basedOn w:val="Zkladntext9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85ptTundkovn0ptExact">
    <w:name w:val="Základní text (10) + 8;5 pt;Tučné;Řádkování 0 pt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Arial95ptNetunExact">
    <w:name w:val="Základní text (11) + Arial;9;5 pt;Ne tučné Exact"/>
    <w:basedOn w:val="Zkladntext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20" w:line="0" w:lineRule="atLeast"/>
    </w:pPr>
    <w:rPr>
      <w:rFonts w:ascii="Calibri" w:eastAsia="Calibri" w:hAnsi="Calibri" w:cs="Calibri"/>
      <w:sz w:val="60"/>
      <w:szCs w:val="6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after="120" w:line="0" w:lineRule="atLeast"/>
      <w:jc w:val="right"/>
    </w:pPr>
    <w:rPr>
      <w:rFonts w:ascii="Calibri" w:eastAsia="Calibri" w:hAnsi="Calibri" w:cs="Calibri"/>
      <w:i/>
      <w:iCs/>
      <w:spacing w:val="-10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475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0" w:lineRule="atLeast"/>
      <w:jc w:val="both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264" w:lineRule="exact"/>
      <w:ind w:hanging="38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48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0" w:line="0" w:lineRule="atLeast"/>
      <w:ind w:hanging="380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0" w:lineRule="atLeast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02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3525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2017-03-09T14:16:00Z</dcterms:created>
  <dcterms:modified xsi:type="dcterms:W3CDTF">2017-03-09T14:16:00Z</dcterms:modified>
</cp:coreProperties>
</file>