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8C0586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9272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8C058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6218/U/2021-HSPH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6F0028" w:rsidRPr="00B86A1D" w:rsidRDefault="008C0586" w:rsidP="00B86A1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UZSVM/U/4364/2021-HSPH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N006/21/V00003708</w:t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FA4981" w:rsidRDefault="008C0586" w:rsidP="00FA4981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 Úřad pro zastupování státu ve věcech majetkových</w:t>
      </w:r>
    </w:p>
    <w:p w:rsidR="00FA4981" w:rsidRDefault="008C0586" w:rsidP="00FA4981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Rašínovo nábřeží 390/42, Nové Město, 128 00 Praha 2,</w:t>
      </w:r>
    </w:p>
    <w:p w:rsidR="00FA4981" w:rsidRDefault="008C0586" w:rsidP="00FA4981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PhDr. Marie Ševelová, ředitelka Územního pracoviště Ústí nad Labem,</w:t>
      </w:r>
    </w:p>
    <w:p w:rsidR="00FA4981" w:rsidRDefault="008C0586" w:rsidP="00FA4981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Příkazu generálního ředitele č. 6/2019 v platném znění,</w:t>
      </w:r>
    </w:p>
    <w:p w:rsidR="00FA4981" w:rsidRDefault="008C0586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69797111,</w:t>
      </w:r>
    </w:p>
    <w:p w:rsidR="00FA4981" w:rsidRDefault="008C0586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„objednatel"),</w:t>
      </w:r>
    </w:p>
    <w:p w:rsidR="00FA4981" w:rsidRDefault="008C0586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A4981" w:rsidRPr="00E67AF3" w:rsidRDefault="008C0586" w:rsidP="00FA4981">
      <w:pPr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In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g. </w:t>
      </w:r>
      <w:r w:rsidR="0092173E">
        <w:rPr>
          <w:rFonts w:ascii="Arial" w:hAnsi="Arial" w:cs="Arial"/>
          <w:b/>
          <w:iCs/>
          <w:color w:val="000000"/>
          <w:sz w:val="22"/>
          <w:szCs w:val="22"/>
        </w:rPr>
        <w:t>Dobromír Kaplan</w:t>
      </w:r>
    </w:p>
    <w:p w:rsidR="00FA4981" w:rsidRPr="00816AE9" w:rsidRDefault="008C0586" w:rsidP="00FA4981">
      <w:pPr>
        <w:pStyle w:val="Prosttext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B65239">
        <w:rPr>
          <w:rFonts w:ascii="Arial" w:hAnsi="Arial" w:cs="Arial"/>
          <w:sz w:val="22"/>
          <w:szCs w:val="22"/>
        </w:rPr>
        <w:t xml:space="preserve"> Razice 25,  418 04 Hrobčice</w:t>
      </w:r>
    </w:p>
    <w:p w:rsidR="00FA4981" w:rsidRPr="00DE7706" w:rsidRDefault="008C0586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E36A20">
        <w:rPr>
          <w:rFonts w:ascii="Arial" w:hAnsi="Arial" w:cs="Arial"/>
          <w:sz w:val="22"/>
          <w:szCs w:val="22"/>
        </w:rPr>
        <w:t>42091586</w:t>
      </w:r>
      <w:r>
        <w:rPr>
          <w:rFonts w:ascii="Arial" w:hAnsi="Arial" w:cs="Arial"/>
          <w:sz w:val="22"/>
          <w:szCs w:val="22"/>
        </w:rPr>
        <w:t>,</w:t>
      </w:r>
    </w:p>
    <w:p w:rsidR="00FA4981" w:rsidRDefault="008C0586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„zhotovitel"),</w:t>
      </w:r>
    </w:p>
    <w:p w:rsidR="00FA4981" w:rsidRDefault="008C0586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21 a § 1746 zákona č. 89/2012 Sb., občanský zákoník, ve znění zákona č. 460/2016 Sb., a zákona č. 137/2006 Sb., o veřejných zakázk</w:t>
      </w:r>
      <w:r>
        <w:rPr>
          <w:rFonts w:ascii="Arial" w:hAnsi="Arial" w:cs="Arial"/>
          <w:sz w:val="22"/>
          <w:szCs w:val="22"/>
        </w:rPr>
        <w:t>ách, ve znění pozdějších předpisů, tuto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Smlouvu o dílo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667118">
        <w:rPr>
          <w:rFonts w:ascii="Arial" w:hAnsi="Arial" w:cs="Arial"/>
          <w:b/>
          <w:sz w:val="32"/>
          <w:szCs w:val="32"/>
        </w:rPr>
        <w:t>54</w:t>
      </w:r>
      <w:r>
        <w:rPr>
          <w:rFonts w:ascii="Arial" w:hAnsi="Arial" w:cs="Arial"/>
          <w:b/>
          <w:sz w:val="32"/>
          <w:szCs w:val="32"/>
        </w:rPr>
        <w:t>/2021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FA4981" w:rsidRDefault="008C0586" w:rsidP="00FA4981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zhotovitele provést dílo spočívající v oceňování nemovitých věcí v soudních okresech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Most</w:t>
      </w:r>
      <w:r w:rsidRPr="00862E2C">
        <w:rPr>
          <w:rFonts w:ascii="Arial" w:hAnsi="Arial" w:cs="Arial"/>
          <w:iCs/>
          <w:color w:val="000000"/>
          <w:sz w:val="22"/>
          <w:szCs w:val="22"/>
        </w:rPr>
        <w:t>,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Louny a Teplice</w:t>
      </w:r>
      <w:r>
        <w:rPr>
          <w:rFonts w:ascii="Arial" w:hAnsi="Arial" w:cs="Arial"/>
          <w:sz w:val="22"/>
          <w:szCs w:val="22"/>
        </w:rPr>
        <w:t xml:space="preserve"> pro potřeby objednatele, jehož výsledkem je znalecký posudek.</w:t>
      </w:r>
    </w:p>
    <w:p w:rsidR="00FA4981" w:rsidRDefault="008C0586" w:rsidP="00FA4981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posudek zhotovitel zpracuje pouze na základě písemné nebo elektronické objednávky vystavené objednatelem. Součástí objednávky je specifikace oceňované nemovité věci včetně přiložené ko</w:t>
      </w:r>
      <w:r>
        <w:rPr>
          <w:rFonts w:ascii="Arial" w:hAnsi="Arial" w:cs="Arial"/>
          <w:sz w:val="22"/>
          <w:szCs w:val="22"/>
        </w:rPr>
        <w:t>pie listu vlastnictví, požadovaný rozsah ocenění, termín doručení znaleckého posudku objednateli, který bez předchozí dohody se zhotovitelem nesmí být kratší než lhůta uvedená v čl. II. této smlouvy, a nejvýše přípustná cena za zpracování znaleckého posudk</w:t>
      </w:r>
      <w:r>
        <w:rPr>
          <w:rFonts w:ascii="Arial" w:hAnsi="Arial" w:cs="Arial"/>
          <w:sz w:val="22"/>
          <w:szCs w:val="22"/>
        </w:rPr>
        <w:t xml:space="preserve">u stanovená v souladu s čl. III. této smlouvy. </w:t>
      </w:r>
    </w:p>
    <w:p w:rsidR="00FA4981" w:rsidRDefault="008C0586" w:rsidP="00FA4981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Neodmítne-li zhotovitel písemně nebo elektronicky bez zbytečného odkladu objednávku, zavazuje se tím zejména provést dílo a doručit objednateli znalecký posudek řádně zpracovaný podle objednávky objednatele</w:t>
      </w:r>
      <w:r>
        <w:rPr>
          <w:rFonts w:ascii="Arial" w:hAnsi="Arial" w:cs="Arial"/>
          <w:sz w:val="22"/>
          <w:szCs w:val="22"/>
        </w:rPr>
        <w:t xml:space="preserve"> v místě plnění v termínu stanoveném objednatelem.</w:t>
      </w:r>
    </w:p>
    <w:p w:rsidR="00FA4981" w:rsidRDefault="008C0586" w:rsidP="00FA4981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Vyskytnou-li se v průběhu provádění díla překážky bránící zhotoviteli zpracovat znalecký posudek ve stanoveném termínu, oznámí tuto skutečnost objednateli. Po posouzení povahy překážky se smluvní strany mo</w:t>
      </w:r>
      <w:r>
        <w:rPr>
          <w:rFonts w:ascii="Arial" w:hAnsi="Arial" w:cs="Arial"/>
          <w:sz w:val="22"/>
          <w:szCs w:val="22"/>
        </w:rPr>
        <w:t>hou dohodnout na dalších podmínkách provádění díla.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oceňuje nemovité věci a zpracovává znalecký posudek v souladu s platnými právními předpisy, zejména v souladu se zákonem 254/2019 Sb., o znalcích, znaleckých kancelářích a znaleckých ústavech, </w:t>
      </w:r>
      <w:r>
        <w:rPr>
          <w:rFonts w:ascii="Arial" w:hAnsi="Arial" w:cs="Arial"/>
          <w:sz w:val="22"/>
          <w:szCs w:val="22"/>
        </w:rPr>
        <w:t xml:space="preserve">se zákonem č. 151/1997 Sb., o oceňování majetku a o změně některých zákonů (zákon o oceňování majetku), ve znění pozdějších předpisů, a </w:t>
      </w:r>
      <w:r>
        <w:rPr>
          <w:rFonts w:ascii="Arial" w:hAnsi="Arial" w:cs="Arial"/>
          <w:sz w:val="22"/>
          <w:szCs w:val="22"/>
        </w:rPr>
        <w:lastRenderedPageBreak/>
        <w:t xml:space="preserve">vyhláškou č. 441/2013 Sb., k provedení zákona o oceňování majetku (oceňovací vyhláška), ve znění pozdějších předpisů. 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ení-li v objednávce stanoveno jinak, zhotovitel oceňuje nemovité věci a zpracovává znalecký posudek v souladu se „Specifikací požadavků na zpracování znaleckého posudku“, která je součástí objednávky.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v objednávce stanoveno jinak, znalecký posudek </w:t>
      </w:r>
      <w:r>
        <w:rPr>
          <w:rFonts w:ascii="Arial" w:hAnsi="Arial" w:cs="Arial"/>
          <w:sz w:val="22"/>
          <w:szCs w:val="22"/>
        </w:rPr>
        <w:t xml:space="preserve">musí mít strukturu a charakter potřebné pro stanovení ceny v místě a čase obvyklé dle zákona č. 219/2000 Sb., o majetku České republiky a jejím vystupování v právních vztazích, ve znění pozdějších předpisů. 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posudek musí obsahovat doložku znalce p</w:t>
      </w:r>
      <w:r>
        <w:rPr>
          <w:rFonts w:ascii="Arial" w:hAnsi="Arial" w:cs="Arial"/>
          <w:sz w:val="22"/>
          <w:szCs w:val="22"/>
        </w:rPr>
        <w:t xml:space="preserve">odle ustanovení § 127a zákona č. 99/1963 Sb., občanský soudní řád, ve znění pozdějších předpisů. 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souhlasí se zveřejněním znaleckých posudků.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poskytnout bezplatně součinnost objednateli v případě řešení připomínek ke znale</w:t>
      </w:r>
      <w:r>
        <w:rPr>
          <w:rFonts w:ascii="Arial" w:hAnsi="Arial" w:cs="Arial"/>
          <w:sz w:val="22"/>
          <w:szCs w:val="22"/>
        </w:rPr>
        <w:t>ckému posudku ze strany třetích osob nebo organizačních složek státu.</w:t>
      </w:r>
    </w:p>
    <w:p w:rsid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provádět dílo vlastním jménem a na vlastní odpovědnost, v nejvyšší kvalitě, odpovídající účelu smlouvy a právním předpisům.</w:t>
      </w:r>
    </w:p>
    <w:p w:rsidR="00B86A1D" w:rsidRPr="00B86A1D" w:rsidRDefault="008C0586" w:rsidP="00B86A1D">
      <w:pPr>
        <w:pStyle w:val="Prost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zhotovitel použije byť i </w:t>
      </w:r>
      <w:r>
        <w:rPr>
          <w:rFonts w:ascii="Arial" w:hAnsi="Arial" w:cs="Arial"/>
          <w:sz w:val="22"/>
          <w:szCs w:val="22"/>
        </w:rPr>
        <w:t>jen k plnění určité části díla další osobu, odpovídá objednateli za plnění poskytnuté další osobou, jako by toto plnění poskytoval zhotovitel sám.</w:t>
      </w:r>
    </w:p>
    <w:p w:rsidR="00FA4981" w:rsidRDefault="008C0586" w:rsidP="00B86A1D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Místo a čas plnění</w:t>
      </w:r>
    </w:p>
    <w:p w:rsidR="00FA4981" w:rsidRDefault="008C0586" w:rsidP="00FA4981">
      <w:pPr>
        <w:pStyle w:val="Prosttext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plnění předmětu smlouvy je to pracoviště objednatele, do něhož je zařazena </w:t>
      </w:r>
      <w:r>
        <w:rPr>
          <w:rFonts w:ascii="Arial" w:hAnsi="Arial" w:cs="Arial"/>
          <w:sz w:val="22"/>
          <w:szCs w:val="22"/>
        </w:rPr>
        <w:t>osoba oprávněná za objednatele učinit objednávku podle této smlouvy.</w:t>
      </w:r>
    </w:p>
    <w:p w:rsidR="00FA4981" w:rsidRPr="00B65239" w:rsidRDefault="008C0586" w:rsidP="00FA4981">
      <w:pPr>
        <w:pStyle w:val="Prosttext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zpracovat znalecký posudek ve lhůtě </w:t>
      </w:r>
      <w:r w:rsidR="00B65239" w:rsidRPr="00B65239">
        <w:rPr>
          <w:rFonts w:ascii="Arial" w:hAnsi="Arial" w:cs="Arial"/>
          <w:b/>
          <w:sz w:val="22"/>
          <w:szCs w:val="22"/>
        </w:rPr>
        <w:t>15</w:t>
      </w:r>
      <w:r w:rsidRPr="00B65239">
        <w:rPr>
          <w:rFonts w:ascii="Arial" w:hAnsi="Arial" w:cs="Arial"/>
          <w:b/>
          <w:sz w:val="22"/>
          <w:szCs w:val="22"/>
        </w:rPr>
        <w:t xml:space="preserve"> </w:t>
      </w:r>
      <w:r w:rsidRPr="00B65239">
        <w:rPr>
          <w:rFonts w:ascii="Arial" w:hAnsi="Arial" w:cs="Arial"/>
          <w:sz w:val="22"/>
          <w:szCs w:val="22"/>
        </w:rPr>
        <w:t xml:space="preserve">dnů počítané ode dne doručení písemné nebo elektronické objednávky zhotoviteli. </w:t>
      </w:r>
    </w:p>
    <w:p w:rsidR="00FA4981" w:rsidRDefault="008C0586" w:rsidP="00FA4981">
      <w:pPr>
        <w:pStyle w:val="Prosttext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Závazek </w:t>
      </w:r>
      <w:r>
        <w:rPr>
          <w:rFonts w:ascii="Arial" w:hAnsi="Arial" w:cs="Arial"/>
          <w:sz w:val="22"/>
          <w:szCs w:val="22"/>
        </w:rPr>
        <w:t xml:space="preserve">zhotovitele provést dílo je splněn tím, že zhotovitel doručí objednateli znalecký posudek řádně zpracovaný podle objednávky objednatele v místě plnění v termínu stanoveném objednatelem. Znalecký posudek se považuje za řádně zpracovaný, jestliže nemá žádné </w:t>
      </w:r>
      <w:r>
        <w:rPr>
          <w:rFonts w:ascii="Arial" w:hAnsi="Arial" w:cs="Arial"/>
          <w:sz w:val="22"/>
          <w:szCs w:val="22"/>
        </w:rPr>
        <w:t>vady a nedodělky. Má-li znalecký posudek vady a nedodělky, vrátí jej objednatel zhotoviteli, který je povinen jej přepracovat, a to na vlastní náklady zhotovitele. Není-li jiné dohody mezi objednatelem a zhotovitelem, termín pro provedení díla se tím prodl</w:t>
      </w:r>
      <w:r>
        <w:rPr>
          <w:rFonts w:ascii="Arial" w:hAnsi="Arial" w:cs="Arial"/>
          <w:sz w:val="22"/>
          <w:szCs w:val="22"/>
        </w:rPr>
        <w:t xml:space="preserve">užuje pouze o lhůtu, odpovídající počtem dní době od odevzdání vadného posudku objednateli do doručení vráceného znaleckého posudku zhotoviteli. 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díla</w:t>
      </w:r>
    </w:p>
    <w:p w:rsidR="00FA4981" w:rsidRDefault="008C0586" w:rsidP="00FA4981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díla činí </w:t>
      </w:r>
      <w:r w:rsidRPr="00164554">
        <w:rPr>
          <w:rFonts w:ascii="Arial" w:hAnsi="Arial" w:cs="Arial"/>
          <w:b/>
          <w:sz w:val="22"/>
          <w:szCs w:val="22"/>
        </w:rPr>
        <w:t>3</w:t>
      </w:r>
      <w:r w:rsidR="00E36A20">
        <w:rPr>
          <w:rFonts w:ascii="Arial" w:hAnsi="Arial" w:cs="Arial"/>
          <w:b/>
          <w:sz w:val="22"/>
          <w:szCs w:val="22"/>
        </w:rPr>
        <w:t>85</w:t>
      </w:r>
      <w:r w:rsidRPr="00164554">
        <w:rPr>
          <w:rFonts w:ascii="Arial" w:hAnsi="Arial" w:cs="Arial"/>
          <w:b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Kč </w:t>
      </w:r>
      <w:r w:rsidR="00667118">
        <w:rPr>
          <w:rFonts w:ascii="Arial" w:hAnsi="Arial" w:cs="Arial"/>
          <w:sz w:val="22"/>
          <w:szCs w:val="22"/>
        </w:rPr>
        <w:t xml:space="preserve">pro Most a Louny a </w:t>
      </w:r>
      <w:r w:rsidR="00667118" w:rsidRPr="00667118">
        <w:rPr>
          <w:rFonts w:ascii="Arial" w:hAnsi="Arial" w:cs="Arial"/>
          <w:b/>
          <w:sz w:val="22"/>
          <w:szCs w:val="22"/>
        </w:rPr>
        <w:t>375,00</w:t>
      </w:r>
      <w:r w:rsidR="00667118">
        <w:rPr>
          <w:rFonts w:ascii="Arial" w:hAnsi="Arial" w:cs="Arial"/>
          <w:sz w:val="22"/>
          <w:szCs w:val="22"/>
        </w:rPr>
        <w:t xml:space="preserve"> Kč pro Teplice </w:t>
      </w:r>
      <w:r>
        <w:rPr>
          <w:rFonts w:ascii="Arial" w:hAnsi="Arial" w:cs="Arial"/>
          <w:sz w:val="22"/>
          <w:szCs w:val="22"/>
        </w:rPr>
        <w:t>za každou hodinu potřebno</w:t>
      </w:r>
      <w:r>
        <w:rPr>
          <w:rFonts w:ascii="Arial" w:hAnsi="Arial" w:cs="Arial"/>
          <w:sz w:val="22"/>
          <w:szCs w:val="22"/>
        </w:rPr>
        <w:t>u pro zpracování znaleckého posudku.</w:t>
      </w:r>
    </w:p>
    <w:p w:rsidR="00FA4981" w:rsidRDefault="008C0586" w:rsidP="00FA4981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hodin potřebných ke zpracování znaleckého posudku se stanoví dle cenové nabídky předložené zhotovitelem na základě výzvy zadavatele se specifikací konkrétních oceňovaných nemovitostí.  </w:t>
      </w:r>
    </w:p>
    <w:p w:rsidR="00FA4981" w:rsidRDefault="008C0586" w:rsidP="00FA4981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Uvedená smluvní cena je sta</w:t>
      </w:r>
      <w:r>
        <w:rPr>
          <w:rFonts w:ascii="Arial" w:hAnsi="Arial" w:cs="Arial"/>
          <w:sz w:val="22"/>
          <w:szCs w:val="22"/>
        </w:rPr>
        <w:t>novena jako cena nejvýše přípustná a konečná. V této smluvní ceně jsou již započteny veškeré náklady zhotovitele související se zpracováním znaleckého posudku (tj. např. materiál, doprava, poplatky, pojištění, diety, služby, dodávky).</w:t>
      </w:r>
    </w:p>
    <w:p w:rsidR="00FA4981" w:rsidRDefault="008C0586" w:rsidP="00FA4981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cena je platn</w:t>
      </w:r>
      <w:r>
        <w:rPr>
          <w:rFonts w:ascii="Arial" w:hAnsi="Arial" w:cs="Arial"/>
          <w:sz w:val="22"/>
          <w:szCs w:val="22"/>
        </w:rPr>
        <w:t>á v nezměněné výši od data nabytí účinnosti nebo platnosti smlouvy až do ukončení platnosti nebo účinnosti smlouvy.</w:t>
      </w:r>
    </w:p>
    <w:p w:rsidR="00FA4981" w:rsidRDefault="008C0586" w:rsidP="00FA4981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zhotovitel plátcem daně z přidané hodnoty, k ceně bude připočtena daň z přidané hodnoty v zákonné výši.</w:t>
      </w:r>
    </w:p>
    <w:p w:rsidR="00FA4981" w:rsidRDefault="008C0586" w:rsidP="00FA4981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služby nebo </w:t>
      </w:r>
      <w:r>
        <w:rPr>
          <w:rFonts w:ascii="Arial" w:hAnsi="Arial" w:cs="Arial"/>
          <w:sz w:val="22"/>
          <w:szCs w:val="22"/>
        </w:rPr>
        <w:t>související dodávky musí být poskytnuty objednateli v požadovaném rozsahu, a to bez jakéhokoliv omezení; zhotovitel není oprávněn „doúčtovat“ objednateli jakékoliv dodatečné práce, služby či dodávky, byť nezbytné pro řádné splnění ucelené části díla nebo c</w:t>
      </w:r>
      <w:r>
        <w:rPr>
          <w:rFonts w:ascii="Arial" w:hAnsi="Arial" w:cs="Arial"/>
          <w:sz w:val="22"/>
          <w:szCs w:val="22"/>
        </w:rPr>
        <w:t>elého díla, a to např. i z důvodu, že zhotovitel chybně odhadl nabídkovou (smluvní) cenu anebo poskytl nekvalitní práci, dodávku či službu, v jejichž důsledku bylo nezbytné poskytnout další plnění pro komplexní a řádné zpracování znaleckého posudku.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</w:t>
      </w:r>
      <w:r>
        <w:rPr>
          <w:rFonts w:ascii="Arial" w:hAnsi="Arial" w:cs="Arial"/>
          <w:sz w:val="22"/>
          <w:szCs w:val="22"/>
        </w:rPr>
        <w:t>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 a fakturace</w:t>
      </w:r>
    </w:p>
    <w:p w:rsidR="00FA4981" w:rsidRDefault="008C0586" w:rsidP="00FA4981">
      <w:pPr>
        <w:pStyle w:val="Prosttext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vystaví fakturu za objednávku až po řádném zpracování znaleckého posudku. Faktura musí mít náležitosti účetního dokladu podle platných právních předpisů. Objednatel si vyhrazuje právo vrátit fakturu zhotoviteli k </w:t>
      </w:r>
      <w:r>
        <w:rPr>
          <w:rFonts w:ascii="Arial" w:hAnsi="Arial" w:cs="Arial"/>
          <w:sz w:val="22"/>
          <w:szCs w:val="22"/>
        </w:rPr>
        <w:t>vystavení nové, pokud nebude faktura takové náležitosti obsahovat. Objednatel si dále vyhrazuje právo vrátit fakturu zhotoviteli, pokud zpracovaný znalecký posudek nebude odpovídat kvalitou či rozsahem objednávce.</w:t>
      </w:r>
    </w:p>
    <w:p w:rsidR="00FA4981" w:rsidRDefault="008C0586" w:rsidP="00FA4981">
      <w:pPr>
        <w:pStyle w:val="Prosttext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faktura musí být vystavena a předána</w:t>
      </w:r>
      <w:r>
        <w:rPr>
          <w:rFonts w:ascii="Arial" w:hAnsi="Arial" w:cs="Arial"/>
          <w:sz w:val="22"/>
          <w:szCs w:val="22"/>
        </w:rPr>
        <w:t xml:space="preserve"> objednateli nejpozději do 10 pracovních dnů od řádného dokončení ucelené části díla.</w:t>
      </w:r>
    </w:p>
    <w:p w:rsidR="00FA4981" w:rsidRDefault="008C0586" w:rsidP="00FA4981">
      <w:pPr>
        <w:pStyle w:val="Prosttext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faktury činí 21 kalendářních dnů ode dne jejího prokazatelného převzetí objednatelem.</w:t>
      </w:r>
    </w:p>
    <w:p w:rsidR="00FA4981" w:rsidRDefault="008C0586" w:rsidP="00FA4981">
      <w:pPr>
        <w:pStyle w:val="Prosttext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Fakturace i platby jsou prováděny v české měně v souladu s platnými daňový</w:t>
      </w:r>
      <w:r>
        <w:rPr>
          <w:rFonts w:ascii="Arial" w:hAnsi="Arial" w:cs="Arial"/>
          <w:sz w:val="22"/>
          <w:szCs w:val="22"/>
        </w:rPr>
        <w:t>mi předpisy.</w:t>
      </w:r>
    </w:p>
    <w:p w:rsidR="00FA4981" w:rsidRDefault="008C0586" w:rsidP="00FA4981">
      <w:pPr>
        <w:pStyle w:val="Prosttext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neposkytuje zálohové plnění.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Mlčenlivost</w:t>
      </w:r>
    </w:p>
    <w:p w:rsidR="00FA4981" w:rsidRDefault="008C0586" w:rsidP="00FA4981">
      <w:pPr>
        <w:pStyle w:val="Prosttext"/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zachovávat mlčenlivost o všech skutečnostech, o kterých se dozvěděl při plnění této smlouvy a bez písemného souhlasu objednatele je nesmí zpřístupnit třetí osobě </w:t>
      </w:r>
      <w:r>
        <w:rPr>
          <w:rFonts w:ascii="Arial" w:hAnsi="Arial" w:cs="Arial"/>
          <w:sz w:val="22"/>
          <w:szCs w:val="22"/>
        </w:rPr>
        <w:t>ani je použít v rozporu s účelem této smlouvy, ledaže se jedná o skutečnosti veřejně přístupné nebo o případ, kdy je zpřístupnění informace vyžadováno na základě právního předpisu.</w:t>
      </w:r>
    </w:p>
    <w:p w:rsidR="00FA4981" w:rsidRDefault="008C0586" w:rsidP="00FA4981">
      <w:pPr>
        <w:pStyle w:val="Prosttext"/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zavázat povinností mlčenlivosti všechny osoby, které </w:t>
      </w:r>
      <w:r>
        <w:rPr>
          <w:rFonts w:ascii="Arial" w:hAnsi="Arial" w:cs="Arial"/>
          <w:sz w:val="22"/>
          <w:szCs w:val="22"/>
        </w:rPr>
        <w:t>se budou podílet na provádění díla podle této smlouvy. Zhotovitel odpovídá za porušení povinnosti mlčenlivosti těchto osob, jako by povinnost porušil sám.</w:t>
      </w:r>
    </w:p>
    <w:p w:rsidR="00FA4981" w:rsidRPr="00B86A1D" w:rsidRDefault="008C0586" w:rsidP="00B86A1D">
      <w:pPr>
        <w:pStyle w:val="Prosttext"/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mlčenlivosti trvá i po skončení účinnosti této smlouvy.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Ukončení smluvního vztahu</w:t>
      </w:r>
    </w:p>
    <w:p w:rsidR="00E36A20" w:rsidRDefault="008C0586" w:rsidP="00E36A20">
      <w:pPr>
        <w:pStyle w:val="Prosttext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0" w:name="_Hlk67423354"/>
      <w:r w:rsidRPr="00081D1A">
        <w:rPr>
          <w:rFonts w:ascii="Arial" w:hAnsi="Arial" w:cs="Arial"/>
          <w:b/>
          <w:sz w:val="22"/>
          <w:szCs w:val="22"/>
        </w:rPr>
        <w:t>S</w:t>
      </w:r>
      <w:r w:rsidRPr="00081D1A">
        <w:rPr>
          <w:rFonts w:ascii="Arial" w:hAnsi="Arial" w:cs="Arial"/>
          <w:b/>
          <w:sz w:val="22"/>
          <w:szCs w:val="22"/>
        </w:rPr>
        <w:t>mlouva je uzavřena na dobu určitou, a to do vyčerpání finančního limitu ve výši 605 000,00 Kč včetně DPH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 tohoto finančního limitu jsou započítávány veškeré úhrady za oceňování nemovitého majetku poskytované všem zhotovitelům dle smluv uzavřených na zák</w:t>
      </w:r>
      <w:r>
        <w:rPr>
          <w:rFonts w:ascii="Arial" w:hAnsi="Arial" w:cs="Arial"/>
          <w:sz w:val="22"/>
          <w:szCs w:val="22"/>
        </w:rPr>
        <w:t>ladě veřejné zakázky s názvem „Oceňování nemovitého majetku pro odbory Územního pracoviště Ústí nad Labem, 2021“ (jednou z těchto smluv je i tato smlouva). O dosažení finančního limitu bude objednatel zhotovitele písemně informovat.</w:t>
      </w:r>
    </w:p>
    <w:bookmarkEnd w:id="0"/>
    <w:p w:rsidR="00FA4981" w:rsidRDefault="008C0586" w:rsidP="00FA4981">
      <w:pPr>
        <w:pStyle w:val="Prosttext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si vyhrazuje</w:t>
      </w:r>
      <w:r>
        <w:rPr>
          <w:rFonts w:ascii="Arial" w:hAnsi="Arial" w:cs="Arial"/>
          <w:sz w:val="22"/>
          <w:szCs w:val="22"/>
        </w:rPr>
        <w:t xml:space="preserve"> právo pozastavit průběh plnění této smlouvy a rovněž smlouvu písemně vypovědět bez výpovědní doby, bez udání důvodu, a to bez jakékoliv sankce či náhrady za nedokončené plnění. Výpověď je účinná okamžikem jejího doručení zhotoviteli. Objednatel se zavazuj</w:t>
      </w:r>
      <w:r>
        <w:rPr>
          <w:rFonts w:ascii="Arial" w:hAnsi="Arial" w:cs="Arial"/>
          <w:sz w:val="22"/>
          <w:szCs w:val="22"/>
        </w:rPr>
        <w:t>e, že dílčí plnění poskytnuté zhotovitelem přede dnem ukončením smlouvy uhradí v souladu se smlouvou.</w:t>
      </w:r>
    </w:p>
    <w:p w:rsidR="00FA4981" w:rsidRDefault="008C0586" w:rsidP="00FA4981">
      <w:pPr>
        <w:pStyle w:val="Prosttext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může být rovněž ukončena dohodu smluvních stran.</w:t>
      </w:r>
    </w:p>
    <w:p w:rsidR="00FA4981" w:rsidRDefault="008C0586" w:rsidP="00FA4981">
      <w:pPr>
        <w:pStyle w:val="Prosttext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Prodlení zhotovitele se splněním povinnosti podle této smlouvy o více jak 15 pracovních dnů je </w:t>
      </w:r>
      <w:r>
        <w:rPr>
          <w:rFonts w:ascii="Arial" w:hAnsi="Arial" w:cs="Arial"/>
          <w:sz w:val="22"/>
          <w:szCs w:val="22"/>
        </w:rPr>
        <w:t>považováno za podstatné porušení smlouvy ze strany zhotovitele, v takovém případě je objednatel oprávněn od této smlouvy odstoupit. Odstoupení od smlouvy je účinné okamžikem doručení písemného odstoupení od smlouvy zhotoviteli.</w:t>
      </w:r>
    </w:p>
    <w:p w:rsidR="00FA4981" w:rsidRDefault="008C0586" w:rsidP="00FA4981">
      <w:pPr>
        <w:pStyle w:val="Prosttext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zániku této smlouvy prov</w:t>
      </w:r>
      <w:r>
        <w:rPr>
          <w:rFonts w:ascii="Arial" w:hAnsi="Arial" w:cs="Arial"/>
          <w:sz w:val="22"/>
          <w:szCs w:val="22"/>
        </w:rPr>
        <w:t>edou smluvní strany vypořádání vzájemných práv a závazků plynoucích z této smlouvy nejpozději do 30 dnů od skončení účinnosti smlouvy.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:rsidR="00FA4981" w:rsidRDefault="008C0586" w:rsidP="00FA4981">
      <w:pPr>
        <w:pStyle w:val="Prosttext"/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nedoručí objednateli řádně zpracovaný znalecký posudek včas, zavazuje se zhotovi</w:t>
      </w:r>
      <w:r>
        <w:rPr>
          <w:rFonts w:ascii="Arial" w:hAnsi="Arial" w:cs="Arial"/>
          <w:sz w:val="22"/>
          <w:szCs w:val="22"/>
        </w:rPr>
        <w:t>tel zaplatit objednateli smluvní pokutu ve výši 300 Kč za každý kalendářní den prodlení.</w:t>
      </w:r>
    </w:p>
    <w:p w:rsidR="00FA4981" w:rsidRDefault="008C0586" w:rsidP="00FA4981">
      <w:pPr>
        <w:pStyle w:val="Prosttext"/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Poruší-li zhotovitel povinnosti stanovené v čl. V. této smlouvy, je povinen objednateli zaplatit smluvní pokutu ve výši 1 000 Kč za každý jednotlivý případ porušení po</w:t>
      </w:r>
      <w:r>
        <w:rPr>
          <w:rFonts w:ascii="Arial" w:hAnsi="Arial" w:cs="Arial"/>
          <w:sz w:val="22"/>
          <w:szCs w:val="22"/>
        </w:rPr>
        <w:t>vinnosti.</w:t>
      </w:r>
    </w:p>
    <w:p w:rsidR="00FA4981" w:rsidRDefault="008C0586" w:rsidP="00FA4981">
      <w:pPr>
        <w:pStyle w:val="Prosttext"/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nese plnou odpovědnost za škodu způsobenou objednateli v souvislosti s plněním předmětu této smlouvy a je povinen jakoukoliv škodu objednateli uhradit. Výše náhrady škody nebo výše sankce není omezena. </w:t>
      </w:r>
    </w:p>
    <w:p w:rsidR="00FA4981" w:rsidRDefault="008C0586" w:rsidP="00FA4981">
      <w:pPr>
        <w:pStyle w:val="Prosttext"/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smluvní pokuty nezani</w:t>
      </w:r>
      <w:r>
        <w:rPr>
          <w:rFonts w:ascii="Arial" w:hAnsi="Arial" w:cs="Arial"/>
          <w:sz w:val="22"/>
          <w:szCs w:val="22"/>
        </w:rPr>
        <w:t>ká nárok objednatele na náhradu škody v plné výši.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VIII.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Součinnost smluvních stran</w:t>
      </w:r>
    </w:p>
    <w:p w:rsidR="00FA4981" w:rsidRDefault="008C0586" w:rsidP="00FA4981">
      <w:pPr>
        <w:pStyle w:val="Prosttext"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uzavření této smlouvy jsou osobami oprávněnými za objednatele učinit objednávku podle této smlouvy a jednat ve věcech provádění díla podle této smlouvy:</w:t>
      </w:r>
    </w:p>
    <w:p w:rsidR="00B21D6E" w:rsidRPr="006B3C85" w:rsidRDefault="008C0586" w:rsidP="00B21D6E">
      <w:pPr>
        <w:pStyle w:val="Prosttext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Stanislava Konášová, ředitelka odboru Hospodářsko správního, Mírové nám. 3129/36, Ústí nad Labem-centrum, 40001 Ústí nad Labem, </w:t>
      </w:r>
    </w:p>
    <w:p w:rsidR="00B21D6E" w:rsidRPr="00B21D6E" w:rsidRDefault="008C0586" w:rsidP="00B21D6E">
      <w:pPr>
        <w:pStyle w:val="Prosttext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Aleš Václav Kratochvíl, ředitel odboru Právních služeb, Mírov</w:t>
      </w:r>
      <w:r>
        <w:rPr>
          <w:rFonts w:ascii="Arial" w:hAnsi="Arial" w:cs="Arial"/>
          <w:sz w:val="22"/>
          <w:szCs w:val="22"/>
        </w:rPr>
        <w:t xml:space="preserve">é nám. 3129/36, Ústí nad Labem-centrum, 40001 Ústí nad Labem, telefon </w:t>
      </w:r>
    </w:p>
    <w:p w:rsidR="00FA4981" w:rsidRDefault="008C0586" w:rsidP="00FA4981">
      <w:pPr>
        <w:pStyle w:val="Prosttext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Kult, ředitel odboru Odloučené pracoviště Chomutov</w:t>
      </w:r>
      <w:r w:rsidR="00E36A20">
        <w:rPr>
          <w:rFonts w:ascii="Arial" w:hAnsi="Arial" w:cs="Arial"/>
          <w:sz w:val="22"/>
          <w:szCs w:val="22"/>
        </w:rPr>
        <w:t xml:space="preserve"> pro okres Most</w:t>
      </w:r>
      <w:r>
        <w:rPr>
          <w:rFonts w:ascii="Arial" w:hAnsi="Arial" w:cs="Arial"/>
          <w:sz w:val="22"/>
          <w:szCs w:val="22"/>
        </w:rPr>
        <w:t>, náměstí T. G. M</w:t>
      </w:r>
      <w:r>
        <w:rPr>
          <w:rFonts w:ascii="Arial" w:hAnsi="Arial" w:cs="Arial"/>
          <w:sz w:val="22"/>
          <w:szCs w:val="22"/>
        </w:rPr>
        <w:t xml:space="preserve">asaryka 1744, 43001 Chomutov, telefon </w:t>
      </w:r>
    </w:p>
    <w:p w:rsidR="00FA4981" w:rsidRDefault="008C0586" w:rsidP="00FA4981">
      <w:pPr>
        <w:pStyle w:val="Prosttext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Miloš Tajtl, ředitel odboru Odloučené pracoviště Louny, Pod Nemocnicí 2381, 44001 Louny, telefon </w:t>
      </w:r>
    </w:p>
    <w:p w:rsidR="00FA4981" w:rsidRDefault="008C0586" w:rsidP="00FA4981">
      <w:pPr>
        <w:pStyle w:val="Prosttext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Ivana Kozáková, ředitelka odbo</w:t>
      </w:r>
      <w:r>
        <w:rPr>
          <w:rFonts w:ascii="Arial" w:hAnsi="Arial" w:cs="Arial"/>
          <w:sz w:val="22"/>
          <w:szCs w:val="22"/>
        </w:rPr>
        <w:t xml:space="preserve">ru Odloučené pracoviště Teplice, Husitská 1071/2, 41501 Teplice, telefon </w:t>
      </w:r>
    </w:p>
    <w:p w:rsidR="00FA4981" w:rsidRPr="00D154FE" w:rsidRDefault="008C0586" w:rsidP="00FA4981">
      <w:pPr>
        <w:pStyle w:val="Prosttext"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154FE">
        <w:rPr>
          <w:rFonts w:ascii="Arial" w:hAnsi="Arial" w:cs="Arial"/>
          <w:sz w:val="22"/>
          <w:szCs w:val="22"/>
        </w:rPr>
        <w:t xml:space="preserve">V době uzavření této smlouvy jsou osobami oprávněnými za zhotovitele jednat ve věcech provádění díla podle této </w:t>
      </w:r>
      <w:proofErr w:type="gramStart"/>
      <w:r w:rsidRPr="00D154FE">
        <w:rPr>
          <w:rFonts w:ascii="Arial" w:hAnsi="Arial" w:cs="Arial"/>
          <w:sz w:val="22"/>
          <w:szCs w:val="22"/>
        </w:rPr>
        <w:t>smlouvy:  Ing.</w:t>
      </w:r>
      <w:proofErr w:type="gramEnd"/>
      <w:r w:rsidRPr="00D154FE">
        <w:rPr>
          <w:rFonts w:ascii="Arial" w:hAnsi="Arial" w:cs="Arial"/>
          <w:sz w:val="22"/>
          <w:szCs w:val="22"/>
        </w:rPr>
        <w:t xml:space="preserve"> Dobromír Ka</w:t>
      </w:r>
      <w:r w:rsidRPr="00D154FE">
        <w:rPr>
          <w:rFonts w:ascii="Arial" w:hAnsi="Arial" w:cs="Arial"/>
          <w:sz w:val="22"/>
          <w:szCs w:val="22"/>
        </w:rPr>
        <w:t>plan, tel.</w:t>
      </w:r>
    </w:p>
    <w:p w:rsidR="00FA4981" w:rsidRDefault="008C0586" w:rsidP="00FA4981">
      <w:pPr>
        <w:pStyle w:val="Prosttext"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Strany smlouvy si bez zbytečného odkladu písemně nebo elektronicky sdělí změny v údajích o osobě oprávněné za objednatele učinit objednávku podle této smlouvy a jednat ve věcech </w:t>
      </w:r>
      <w:r>
        <w:rPr>
          <w:rFonts w:ascii="Arial" w:hAnsi="Arial" w:cs="Arial"/>
          <w:sz w:val="22"/>
          <w:szCs w:val="22"/>
        </w:rPr>
        <w:lastRenderedPageBreak/>
        <w:t xml:space="preserve">provádění díla podle této smlouvy a v údajích o osobě </w:t>
      </w:r>
      <w:r>
        <w:rPr>
          <w:rFonts w:ascii="Arial" w:hAnsi="Arial" w:cs="Arial"/>
          <w:sz w:val="22"/>
          <w:szCs w:val="22"/>
        </w:rPr>
        <w:t xml:space="preserve">oprávněné za zhotovitele jednat ve věcech provádění díla podle této smlouvy. </w:t>
      </w:r>
    </w:p>
    <w:p w:rsidR="00B86A1D" w:rsidRDefault="00B86A1D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IX.</w:t>
      </w:r>
    </w:p>
    <w:p w:rsidR="00FA4981" w:rsidRDefault="008C0586" w:rsidP="00FA4981">
      <w:pPr>
        <w:pStyle w:val="Prosttext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FA4981" w:rsidRDefault="008C0586" w:rsidP="00FA4981">
      <w:pPr>
        <w:pStyle w:val="Prost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poslední smluvní stranou.</w:t>
      </w:r>
    </w:p>
    <w:p w:rsidR="00FA4981" w:rsidRDefault="008C0586" w:rsidP="00FA4981">
      <w:pPr>
        <w:pStyle w:val="Prost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pěti stejnopisech, z nichž čtyři obdrží objednatel a jeden zhotovitel. </w:t>
      </w:r>
    </w:p>
    <w:p w:rsidR="00FA4981" w:rsidRDefault="008C0586" w:rsidP="00FA4981">
      <w:pPr>
        <w:pStyle w:val="Prost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vyslovuje souhlas s tím, že objednatel zveřejní smlouvu (včetně případných dodatků) na internetových stránkách objednatele a na profilu veřejnéh</w:t>
      </w:r>
      <w:r>
        <w:rPr>
          <w:rFonts w:ascii="Arial" w:hAnsi="Arial" w:cs="Arial"/>
          <w:sz w:val="22"/>
          <w:szCs w:val="22"/>
        </w:rPr>
        <w:t>o zadavatele. Tato smlouva podléhá rovněž zveřejnění v registru smluv podle zákona č. 340/2015 Sb., o zvláštních podmínkách účinnosti některých smluv, uveřejňování těchto smluv a o registru smluv. Zveřejnění v registru smluv zajistí objednatel. Tato smlouv</w:t>
      </w:r>
      <w:r>
        <w:rPr>
          <w:rFonts w:ascii="Arial" w:hAnsi="Arial" w:cs="Arial"/>
          <w:sz w:val="22"/>
          <w:szCs w:val="22"/>
        </w:rPr>
        <w:t>a nabývá účinnosti dnem uveřejnění v registru smluv.</w:t>
      </w:r>
    </w:p>
    <w:p w:rsidR="00FA4981" w:rsidRDefault="008C0586" w:rsidP="00FA4981">
      <w:pPr>
        <w:pStyle w:val="Prost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C4E58">
        <w:rPr>
          <w:rFonts w:ascii="Arial" w:hAnsi="Arial" w:cs="Arial"/>
          <w:sz w:val="22"/>
          <w:szCs w:val="22"/>
        </w:rPr>
        <w:t>Jakékoliv změny či doplnění této smlouvy je možné činit výhradně formou písemných a číselně označených dodatků ke smlouvě schválených oběma smluvními stranami. Tím není dotčeno ustanovení čl. VIII. odst.</w:t>
      </w:r>
      <w:r w:rsidRPr="007C4E58">
        <w:rPr>
          <w:rFonts w:ascii="Arial" w:hAnsi="Arial" w:cs="Arial"/>
          <w:sz w:val="22"/>
          <w:szCs w:val="22"/>
        </w:rPr>
        <w:t xml:space="preserve"> 3 této smlouvy. </w:t>
      </w:r>
    </w:p>
    <w:p w:rsidR="00FA4981" w:rsidRDefault="008C0586" w:rsidP="00FA4981">
      <w:pPr>
        <w:pStyle w:val="Prost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C4E58">
        <w:rPr>
          <w:rFonts w:ascii="Arial" w:hAnsi="Arial" w:cs="Arial"/>
          <w:sz w:val="22"/>
          <w:szCs w:val="22"/>
        </w:rPr>
        <w:t>Smluvní strany prohlašují, že si tuto smlouvu před podpisem přečetly, s jejím obsahem souhlasí a na důkaz toho připojují své vlastnoruční podpisy.</w:t>
      </w:r>
    </w:p>
    <w:p w:rsidR="006F0028" w:rsidRPr="007C4E58" w:rsidRDefault="006F0028" w:rsidP="006F0028">
      <w:pPr>
        <w:pStyle w:val="Prosttext"/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6"/>
        <w:gridCol w:w="4856"/>
      </w:tblGrid>
      <w:tr w:rsidR="0039684C" w:rsidTr="003147DD">
        <w:tc>
          <w:tcPr>
            <w:tcW w:w="4927" w:type="dxa"/>
            <w:hideMark/>
          </w:tcPr>
          <w:p w:rsidR="00FA4981" w:rsidRDefault="008C0586" w:rsidP="003147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 Ústí nad Labem dne 1.4.2021</w:t>
            </w:r>
          </w:p>
        </w:tc>
        <w:tc>
          <w:tcPr>
            <w:tcW w:w="4927" w:type="dxa"/>
            <w:hideMark/>
          </w:tcPr>
          <w:p w:rsidR="00FA4981" w:rsidRDefault="008C0586" w:rsidP="003147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 Razicích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dne 22.4.2021</w:t>
            </w:r>
            <w:bookmarkStart w:id="1" w:name="_GoBack"/>
            <w:bookmarkEnd w:id="1"/>
          </w:p>
        </w:tc>
      </w:tr>
      <w:tr w:rsidR="0039684C" w:rsidTr="003147DD">
        <w:tc>
          <w:tcPr>
            <w:tcW w:w="4927" w:type="dxa"/>
          </w:tcPr>
          <w:p w:rsidR="00FA4981" w:rsidRDefault="00FA4981" w:rsidP="003147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</w:tcPr>
          <w:p w:rsidR="00FA4981" w:rsidRDefault="00FA4981" w:rsidP="003147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684C" w:rsidTr="003147DD">
        <w:tc>
          <w:tcPr>
            <w:tcW w:w="4927" w:type="dxa"/>
            <w:hideMark/>
          </w:tcPr>
          <w:p w:rsidR="00FA4981" w:rsidRDefault="008C0586" w:rsidP="003147D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- Úřad pro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zastupování státu ve věcech majetkových</w:t>
            </w:r>
          </w:p>
        </w:tc>
        <w:tc>
          <w:tcPr>
            <w:tcW w:w="4927" w:type="dxa"/>
            <w:hideMark/>
          </w:tcPr>
          <w:p w:rsidR="00FA4981" w:rsidRDefault="00FA4981" w:rsidP="003147D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9684C" w:rsidTr="003147DD">
        <w:trPr>
          <w:trHeight w:val="2146"/>
        </w:trPr>
        <w:tc>
          <w:tcPr>
            <w:tcW w:w="4927" w:type="dxa"/>
          </w:tcPr>
          <w:p w:rsidR="00FA4981" w:rsidRDefault="00FA4981" w:rsidP="003147D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</w:tcPr>
          <w:p w:rsidR="00FA4981" w:rsidRDefault="00FA4981" w:rsidP="003147D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684C" w:rsidTr="003147DD">
        <w:tc>
          <w:tcPr>
            <w:tcW w:w="4927" w:type="dxa"/>
            <w:hideMark/>
          </w:tcPr>
          <w:p w:rsidR="00FA4981" w:rsidRDefault="008C0586" w:rsidP="003147D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927" w:type="dxa"/>
            <w:hideMark/>
          </w:tcPr>
          <w:p w:rsidR="00FA4981" w:rsidRDefault="008C0586" w:rsidP="003147D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</w:p>
        </w:tc>
      </w:tr>
      <w:tr w:rsidR="0039684C" w:rsidTr="003147DD">
        <w:tc>
          <w:tcPr>
            <w:tcW w:w="4927" w:type="dxa"/>
            <w:hideMark/>
          </w:tcPr>
          <w:p w:rsidR="00FA4981" w:rsidRDefault="008C0586" w:rsidP="003147D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PhDr. Marie Ševelová</w:t>
            </w:r>
          </w:p>
        </w:tc>
        <w:tc>
          <w:tcPr>
            <w:tcW w:w="4927" w:type="dxa"/>
            <w:hideMark/>
          </w:tcPr>
          <w:p w:rsidR="00FA4981" w:rsidRDefault="008C0586" w:rsidP="003147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Dobromír Kaplan</w:t>
            </w:r>
          </w:p>
          <w:p w:rsidR="001B1856" w:rsidRDefault="001B1856" w:rsidP="003147D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9684C" w:rsidTr="003147DD">
        <w:tc>
          <w:tcPr>
            <w:tcW w:w="4927" w:type="dxa"/>
            <w:hideMark/>
          </w:tcPr>
          <w:p w:rsidR="00FA4981" w:rsidRDefault="008C0586" w:rsidP="003147D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Územního pracoviště</w:t>
            </w:r>
          </w:p>
        </w:tc>
        <w:tc>
          <w:tcPr>
            <w:tcW w:w="4927" w:type="dxa"/>
          </w:tcPr>
          <w:p w:rsidR="00FA4981" w:rsidRDefault="00FA4981" w:rsidP="003147D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684C" w:rsidTr="003147DD">
        <w:tc>
          <w:tcPr>
            <w:tcW w:w="4927" w:type="dxa"/>
            <w:hideMark/>
          </w:tcPr>
          <w:p w:rsidR="00FA4981" w:rsidRDefault="008C0586" w:rsidP="003147D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Ústí nad </w:t>
            </w:r>
            <w:r>
              <w:rPr>
                <w:rFonts w:ascii="Arial" w:hAnsi="Arial" w:cs="Arial"/>
                <w:sz w:val="22"/>
                <w:szCs w:val="22"/>
              </w:rPr>
              <w:t>Labem</w:t>
            </w:r>
          </w:p>
        </w:tc>
        <w:tc>
          <w:tcPr>
            <w:tcW w:w="4927" w:type="dxa"/>
          </w:tcPr>
          <w:p w:rsidR="00FA4981" w:rsidRDefault="00FA4981" w:rsidP="003147D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A4981" w:rsidRDefault="00FA4981" w:rsidP="00FA4981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</w:p>
    <w:p w:rsidR="00FA4981" w:rsidRDefault="00FA4981" w:rsidP="00FA4981">
      <w:pPr>
        <w:rPr>
          <w:rFonts w:ascii="Arial" w:hAnsi="Arial" w:cs="Arial"/>
          <w:sz w:val="22"/>
          <w:szCs w:val="22"/>
        </w:rPr>
      </w:pPr>
    </w:p>
    <w:p w:rsidR="00FA4981" w:rsidRPr="00A43C1C" w:rsidRDefault="00FA4981" w:rsidP="00FA4981">
      <w:pPr>
        <w:rPr>
          <w:rFonts w:ascii="Arial" w:hAnsi="Arial" w:cs="Arial"/>
          <w:sz w:val="22"/>
          <w:szCs w:val="22"/>
        </w:rPr>
      </w:pPr>
    </w:p>
    <w:p w:rsidR="00FA4981" w:rsidRPr="00A43C1C" w:rsidRDefault="00FA4981" w:rsidP="006B5A0C">
      <w:pPr>
        <w:rPr>
          <w:rFonts w:ascii="Arial" w:hAnsi="Arial" w:cs="Arial"/>
          <w:sz w:val="22"/>
          <w:szCs w:val="22"/>
        </w:rPr>
      </w:pPr>
    </w:p>
    <w:sectPr w:rsidR="00FA4981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6FB7"/>
    <w:multiLevelType w:val="hybridMultilevel"/>
    <w:tmpl w:val="04FA55AA"/>
    <w:lvl w:ilvl="0" w:tplc="32DEF4CA">
      <w:start w:val="1"/>
      <w:numFmt w:val="decimal"/>
      <w:lvlText w:val="%1."/>
      <w:lvlJc w:val="left"/>
      <w:pPr>
        <w:ind w:left="360" w:hanging="360"/>
      </w:pPr>
    </w:lvl>
    <w:lvl w:ilvl="1" w:tplc="9E128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AAC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89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6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602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28F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2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44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66A14"/>
    <w:multiLevelType w:val="hybridMultilevel"/>
    <w:tmpl w:val="9FAE4CE0"/>
    <w:lvl w:ilvl="0" w:tplc="22A6C2EA">
      <w:start w:val="1"/>
      <w:numFmt w:val="decimal"/>
      <w:lvlText w:val="%1."/>
      <w:lvlJc w:val="left"/>
      <w:pPr>
        <w:ind w:left="360" w:hanging="360"/>
      </w:pPr>
    </w:lvl>
    <w:lvl w:ilvl="1" w:tplc="2820A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2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4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0E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0B4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6E6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2D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A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1268A"/>
    <w:multiLevelType w:val="hybridMultilevel"/>
    <w:tmpl w:val="57A02616"/>
    <w:lvl w:ilvl="0" w:tplc="F654982A">
      <w:start w:val="1"/>
      <w:numFmt w:val="decimal"/>
      <w:lvlText w:val="%1."/>
      <w:lvlJc w:val="left"/>
      <w:pPr>
        <w:ind w:left="360" w:hanging="360"/>
      </w:pPr>
    </w:lvl>
    <w:lvl w:ilvl="1" w:tplc="F4A04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83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C3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4C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E5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E3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61D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49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C0F26"/>
    <w:multiLevelType w:val="hybridMultilevel"/>
    <w:tmpl w:val="B3E4DDC6"/>
    <w:lvl w:ilvl="0" w:tplc="F818588C">
      <w:start w:val="1"/>
      <w:numFmt w:val="decimal"/>
      <w:lvlText w:val="%1."/>
      <w:lvlJc w:val="left"/>
      <w:pPr>
        <w:ind w:left="360" w:hanging="360"/>
      </w:pPr>
    </w:lvl>
    <w:lvl w:ilvl="1" w:tplc="56C67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4C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A9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C79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07B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E5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85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EE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63C36"/>
    <w:multiLevelType w:val="hybridMultilevel"/>
    <w:tmpl w:val="47D4F322"/>
    <w:lvl w:ilvl="0" w:tplc="4E1CE2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3F46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46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44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478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B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40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4E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CB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D1CE4"/>
    <w:multiLevelType w:val="hybridMultilevel"/>
    <w:tmpl w:val="356A9A80"/>
    <w:lvl w:ilvl="0" w:tplc="57E43F56">
      <w:start w:val="1"/>
      <w:numFmt w:val="decimal"/>
      <w:lvlText w:val="%1."/>
      <w:lvlJc w:val="left"/>
      <w:pPr>
        <w:ind w:left="360" w:hanging="360"/>
      </w:pPr>
    </w:lvl>
    <w:lvl w:ilvl="1" w:tplc="5504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CC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2D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0F0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CE63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E2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43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E9E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C1CC2"/>
    <w:multiLevelType w:val="hybridMultilevel"/>
    <w:tmpl w:val="F418FBC4"/>
    <w:lvl w:ilvl="0" w:tplc="16E25D50">
      <w:start w:val="1"/>
      <w:numFmt w:val="decimal"/>
      <w:lvlText w:val="%1."/>
      <w:lvlJc w:val="left"/>
      <w:pPr>
        <w:ind w:left="360" w:hanging="360"/>
      </w:pPr>
    </w:lvl>
    <w:lvl w:ilvl="1" w:tplc="3D820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6E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BEE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68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2C3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E9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8E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E5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1340C"/>
    <w:multiLevelType w:val="hybridMultilevel"/>
    <w:tmpl w:val="53F67A96"/>
    <w:lvl w:ilvl="0" w:tplc="B7A0E26E">
      <w:start w:val="1"/>
      <w:numFmt w:val="lowerLetter"/>
      <w:lvlText w:val="%1)"/>
      <w:lvlJc w:val="left"/>
      <w:pPr>
        <w:ind w:left="1080" w:hanging="360"/>
      </w:pPr>
    </w:lvl>
    <w:lvl w:ilvl="1" w:tplc="329CF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403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A7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A65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6F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EC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1F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A6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03C26"/>
    <w:multiLevelType w:val="hybridMultilevel"/>
    <w:tmpl w:val="8FB82F62"/>
    <w:lvl w:ilvl="0" w:tplc="B1FA46D0">
      <w:start w:val="1"/>
      <w:numFmt w:val="decimal"/>
      <w:lvlText w:val="%1."/>
      <w:lvlJc w:val="left"/>
      <w:pPr>
        <w:ind w:left="360" w:hanging="360"/>
      </w:pPr>
    </w:lvl>
    <w:lvl w:ilvl="1" w:tplc="27A65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2D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9E7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45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26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AA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B494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CC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1636A"/>
    <w:multiLevelType w:val="hybridMultilevel"/>
    <w:tmpl w:val="538C7B4E"/>
    <w:lvl w:ilvl="0" w:tplc="EC181BE2">
      <w:start w:val="1"/>
      <w:numFmt w:val="decimal"/>
      <w:lvlText w:val="%1."/>
      <w:lvlJc w:val="left"/>
      <w:pPr>
        <w:ind w:left="360" w:hanging="360"/>
      </w:pPr>
    </w:lvl>
    <w:lvl w:ilvl="1" w:tplc="3168A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07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B09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C33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6C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EE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CEE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A0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449F5"/>
    <w:rsid w:val="0007294B"/>
    <w:rsid w:val="00074C6C"/>
    <w:rsid w:val="000756E8"/>
    <w:rsid w:val="00081D1A"/>
    <w:rsid w:val="0008691A"/>
    <w:rsid w:val="000907E3"/>
    <w:rsid w:val="000A1C44"/>
    <w:rsid w:val="000B60E1"/>
    <w:rsid w:val="001440AB"/>
    <w:rsid w:val="00145C7C"/>
    <w:rsid w:val="00150919"/>
    <w:rsid w:val="00164554"/>
    <w:rsid w:val="00181D76"/>
    <w:rsid w:val="001B1856"/>
    <w:rsid w:val="001E5FA4"/>
    <w:rsid w:val="001F7A01"/>
    <w:rsid w:val="00201A27"/>
    <w:rsid w:val="00240884"/>
    <w:rsid w:val="00245AA4"/>
    <w:rsid w:val="00254609"/>
    <w:rsid w:val="002820F5"/>
    <w:rsid w:val="003147DD"/>
    <w:rsid w:val="0032272A"/>
    <w:rsid w:val="00340C2E"/>
    <w:rsid w:val="00345881"/>
    <w:rsid w:val="003810A5"/>
    <w:rsid w:val="0039684C"/>
    <w:rsid w:val="00397BA0"/>
    <w:rsid w:val="003A32E9"/>
    <w:rsid w:val="003A7154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67118"/>
    <w:rsid w:val="006B3C85"/>
    <w:rsid w:val="006B5A0C"/>
    <w:rsid w:val="006C6442"/>
    <w:rsid w:val="006F0028"/>
    <w:rsid w:val="00710088"/>
    <w:rsid w:val="0071682A"/>
    <w:rsid w:val="00742876"/>
    <w:rsid w:val="00750C51"/>
    <w:rsid w:val="007A662F"/>
    <w:rsid w:val="007B5E91"/>
    <w:rsid w:val="007C4E58"/>
    <w:rsid w:val="00805892"/>
    <w:rsid w:val="00816AE9"/>
    <w:rsid w:val="008214AA"/>
    <w:rsid w:val="00860F94"/>
    <w:rsid w:val="00861145"/>
    <w:rsid w:val="00862E2C"/>
    <w:rsid w:val="008706FC"/>
    <w:rsid w:val="0087674F"/>
    <w:rsid w:val="008768AE"/>
    <w:rsid w:val="00885F6E"/>
    <w:rsid w:val="008B1374"/>
    <w:rsid w:val="008C0586"/>
    <w:rsid w:val="008C06E2"/>
    <w:rsid w:val="008D63AD"/>
    <w:rsid w:val="008D750B"/>
    <w:rsid w:val="008E2E34"/>
    <w:rsid w:val="0092173E"/>
    <w:rsid w:val="00935FFB"/>
    <w:rsid w:val="00957B4D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33D2"/>
    <w:rsid w:val="00B15FE9"/>
    <w:rsid w:val="00B21D6E"/>
    <w:rsid w:val="00B3019C"/>
    <w:rsid w:val="00B4149D"/>
    <w:rsid w:val="00B63C26"/>
    <w:rsid w:val="00B65239"/>
    <w:rsid w:val="00B86A1D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154FE"/>
    <w:rsid w:val="00D45009"/>
    <w:rsid w:val="00D45E56"/>
    <w:rsid w:val="00D71111"/>
    <w:rsid w:val="00D85CFD"/>
    <w:rsid w:val="00DC26A0"/>
    <w:rsid w:val="00DD17A3"/>
    <w:rsid w:val="00DE7706"/>
    <w:rsid w:val="00DF12DF"/>
    <w:rsid w:val="00E07B64"/>
    <w:rsid w:val="00E15636"/>
    <w:rsid w:val="00E1670F"/>
    <w:rsid w:val="00E22C86"/>
    <w:rsid w:val="00E23836"/>
    <w:rsid w:val="00E36A20"/>
    <w:rsid w:val="00E42E14"/>
    <w:rsid w:val="00E57DD7"/>
    <w:rsid w:val="00E67AF3"/>
    <w:rsid w:val="00E834F4"/>
    <w:rsid w:val="00F04730"/>
    <w:rsid w:val="00F179C9"/>
    <w:rsid w:val="00F445EC"/>
    <w:rsid w:val="00F821FE"/>
    <w:rsid w:val="00F97DB8"/>
    <w:rsid w:val="00FA4981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161E"/>
  <w15:docId w15:val="{1976E35B-4FEF-4F11-9D40-8E25272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A498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4981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21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2021-04-28T07:24:00Z</dcterms:created>
  <dcterms:modified xsi:type="dcterms:W3CDTF">2021-04-28T07:24:00Z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SoD č.  46,47,48,49,50,51,52,53,54/2021 - "Oceňování nemovitého majetku pro odbory Územního pracoviště Ústí nad Labem, ÚZSVM,2021" - URGENTNÍ!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Medáčková Zlata</vt:lpwstr>
  </property>
  <property fmtid="{D5CDD505-2E9C-101B-9397-08002B2CF9AE}" pid="41" name="CUSTOM.VLASTNIK_JMENO_TISK">
    <vt:lpwstr/>
  </property>
  <property fmtid="{D5CDD505-2E9C-101B-9397-08002B2CF9AE}" pid="42" name="CUSTOM.VLASTNIK_MAIL">
    <vt:lpwstr>Zlata.Medackova@uzsvm.cz</vt:lpwstr>
  </property>
  <property fmtid="{D5CDD505-2E9C-101B-9397-08002B2CF9AE}" pid="43" name="CUSTOM.VLASTNIK_TELEFON">
    <vt:lpwstr>+420 416 921 412</vt:lpwstr>
  </property>
  <property fmtid="{D5CDD505-2E9C-101B-9397-08002B2CF9AE}" pid="44" name="CUSTOM.VYTVOREN_DNE">
    <vt:lpwstr>15.03.2021</vt:lpwstr>
  </property>
  <property fmtid="{D5CDD505-2E9C-101B-9397-08002B2CF9AE}" pid="45" name="KOD.KOD_CJ">
    <vt:lpwstr>UZSVM/U/4364/2021-HSPH</vt:lpwstr>
  </property>
  <property fmtid="{D5CDD505-2E9C-101B-9397-08002B2CF9AE}" pid="46" name="KOD.KOD_EVC">
    <vt:lpwstr>6218/U/2021-HSPH</vt:lpwstr>
  </property>
  <property fmtid="{D5CDD505-2E9C-101B-9397-08002B2CF9AE}" pid="47" name="KOD.KOD_EVC_BARCODE">
    <vt:lpwstr>µ#6218/U/2021-HSPH@b¸</vt:lpwstr>
  </property>
  <property fmtid="{D5CDD505-2E9C-101B-9397-08002B2CF9AE}" pid="48" name="KOD.KOD_IU_CODE">
    <vt:lpwstr>4012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a82cc81e-e739-4ac4-9f59-fde50c54b035</vt:lpwstr>
  </property>
  <property fmtid="{D5CDD505-2E9C-101B-9397-08002B2CF9AE}" pid="52" name="KrbDmsIdForm">
    <vt:lpwstr>a82cc81e-e739-4ac4-9f59-fde50c54b035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