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S M L O U V A  O  D Í L O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Oprava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CASE IH LUXXUM 120 MC, výrobní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íslo: ZHSK01694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Smluvní strany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Objednatel: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Krajská správa a údr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žba silnic Vysočiny, př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ísp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ěvkov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á organizace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sídlem: </w:t>
        <w:tab/>
        <w:tab/>
        <w:t xml:space="preserve">Kosovská 1122/16, 586 01 Jihlava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zastoupený: </w:t>
        <w:tab/>
        <w:tab/>
        <w:t xml:space="preserve">Ing.  Necidem,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ředitelem organizace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jednat jménem objednatele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ěcech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</w:t>
      </w:r>
    </w:p>
    <w:p>
      <w:pPr>
        <w:spacing w:before="0" w:after="0" w:line="240"/>
        <w:ind w:right="0" w:left="212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mistr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údr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žby, xxxxxxxxxx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Bankovní spojení: </w:t>
        <w:tab/>
        <w:t xml:space="preserve">Komer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banka, a.s. - pobo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čka Jihlava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čtu: </w:t>
        <w:tab/>
        <w:tab/>
        <w:t xml:space="preserve">xxxxxxxxxxxxx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Č: </w:t>
        <w:tab/>
        <w:tab/>
        <w:tab/>
        <w:t xml:space="preserve">00090450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Č: </w:t>
        <w:tab/>
        <w:tab/>
        <w:tab/>
        <w:t xml:space="preserve">CZ00090450</w:t>
      </w:r>
    </w:p>
    <w:p>
      <w:pPr>
        <w:keepNext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Telefon: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Fax: </w:t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E-mail: </w:t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řizovatel: </w:t>
        <w:tab/>
        <w:tab/>
        <w:t xml:space="preserve">Kraj Vysočina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jen kupující)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Zhotovitel: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CEREA, a.s.</w:t>
      </w:r>
    </w:p>
    <w:p>
      <w:pPr>
        <w:tabs>
          <w:tab w:val="left" w:pos="5352" w:leader="none"/>
          <w:tab w:val="left" w:pos="7508" w:leader="none"/>
          <w:tab w:val="left" w:pos="11128" w:leader="none"/>
          <w:tab w:val="left" w:pos="11637" w:leader="none"/>
          <w:tab w:val="left" w:pos="12147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se sídlem:                  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ělnick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384, 531 25 Pardubice</w:t>
      </w:r>
    </w:p>
    <w:p>
      <w:pPr>
        <w:spacing w:before="0" w:after="3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astoupená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: </w:t>
        <w:tab/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Ing. Franti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šek Turkem, předsedou představenstva </w:t>
      </w:r>
    </w:p>
    <w:p>
      <w:pPr>
        <w:spacing w:before="0" w:after="3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členem představenstva 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osoba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jednat jménem prodávajícího ve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ěcech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  vedoucí servisu stroj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ů, xxxxxxxxxxxxx</w:t>
        <w:tab/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ČO:</w:t>
        <w:tab/>
        <w:tab/>
        <w:tab/>
        <w:t xml:space="preserve">46504940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Č:</w:t>
        <w:tab/>
        <w:tab/>
        <w:tab/>
        <w:t xml:space="preserve"> CZ46504940</w:t>
        <w:tab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Email: </w:t>
        <w:tab/>
        <w:tab/>
        <w:t xml:space="preserve">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xxxxxxxxxxxxxxx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(dále jen prodávající)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Smluvní strany se dohodly,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jejich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ávazkový vztah ve smyslu § 2586 a násl.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 (dále jen OZ), se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ídí tímto zákonem a uzavírají na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řejnou zak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ázku, zadanou mimo 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žim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137/2006 Sb. o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ých zakázkách, ve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ředpisů, tuto smlouvu o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 (dále jen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“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).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2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ředmět plněn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14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je závazek zhotovitele dodat objednateli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a provést montá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a dalš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nezbytné práce, podle specifikace uvedené v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íloze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1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(dále jen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í) ve smyslu poptávkového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oprava CASE IH LUXXUM 120 MC, výrobní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íslo: ZHSK01694“ a nabídky uchaze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 ze dne 7. 3. 2021  a přev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ést na objednavatele vlastnické právo k tomuto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5" w:hanging="705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Zhotovitel je povinen dodat a namontovat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mno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žstv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provedení a jakosti podle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ředpisů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ýrobce.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705" w:hanging="70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je té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zaškolen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obsluhy kupujícího a závazek objednavatele zaplatit za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cenu 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3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smlouvy.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3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Cena za pln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í</w:t>
      </w:r>
    </w:p>
    <w:p>
      <w:pPr>
        <w:numPr>
          <w:ilvl w:val="0"/>
          <w:numId w:val="20"/>
        </w:numPr>
        <w:spacing w:before="0" w:after="120" w:line="240"/>
        <w:ind w:right="0" w:left="709" w:hanging="720"/>
        <w:jc w:val="left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Celkový finan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objem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podle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čl. 2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o dílo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70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174 700,-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 bez DPH                                    211 387,-Kč s DPH.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spacing w:before="0" w:after="120" w:line="240"/>
        <w:ind w:right="0" w:left="709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Tato cena zahrnuje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náklady spojené s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smlouvy, tj. cenu zbož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dopravn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do místa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dokumentace a dal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ích souvisejících náklad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ů. Tato cena je konečn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á, nep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řekročiteln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pro daný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smlouvy. </w:t>
      </w:r>
    </w:p>
    <w:p>
      <w:pPr>
        <w:numPr>
          <w:ilvl w:val="0"/>
          <w:numId w:val="24"/>
        </w:numPr>
        <w:spacing w:before="0" w:after="120" w:line="240"/>
        <w:ind w:right="0" w:left="709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Celkovou a pro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čely fakturace rozhodnou cenou se rozum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cena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četně DPH. </w:t>
      </w:r>
    </w:p>
    <w:p>
      <w:pPr>
        <w:numPr>
          <w:ilvl w:val="0"/>
          <w:numId w:val="24"/>
        </w:numPr>
        <w:spacing w:before="0" w:after="120" w:line="240"/>
        <w:ind w:right="0" w:left="709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Smluvní strany se dohodly,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dojde-li v průběhu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ke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ěně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ákonné sazby DPH stanovené pro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vyplývající z této smlouvy, je prodávající od okam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žiku nabyt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činnosti změny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ákonné sazby DPH povinen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čtovat prod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ávajícímu platnou sazbu DPH. O této skute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čnosti nen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nutné uzavírat dodatek k této smlouv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4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Místo pln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í, 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ání a p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í zbo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í            </w:t>
      </w:r>
    </w:p>
    <w:p>
      <w:pPr>
        <w:tabs>
          <w:tab w:val="left" w:pos="5352" w:leader="none"/>
          <w:tab w:val="left" w:pos="7508" w:leader="none"/>
          <w:tab w:val="left" w:pos="11128" w:leader="none"/>
          <w:tab w:val="left" w:pos="11637" w:leader="none"/>
          <w:tab w:val="left" w:pos="12147" w:leader="none"/>
        </w:tabs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</w:t>
      </w:r>
    </w:p>
    <w:p>
      <w:pPr>
        <w:numPr>
          <w:ilvl w:val="0"/>
          <w:numId w:val="27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Cerea, a.s. 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ředisko Havl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čkův Brod </w:t>
      </w:r>
    </w:p>
    <w:p>
      <w:pPr>
        <w:numPr>
          <w:ilvl w:val="0"/>
          <w:numId w:val="27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Zhotovitel je povinen v míst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ředat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osob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pověřen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s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ávacím protokolem“ ve dvojím vyhotovení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vyplněn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ým a 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íslem smlouvy, který podepí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 osoba pověřen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zbo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 Jedno vyhotovení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ává objednateli, druhé vyhotovení zhotoviteli. </w:t>
      </w:r>
    </w:p>
    <w:p>
      <w:pPr>
        <w:numPr>
          <w:ilvl w:val="0"/>
          <w:numId w:val="27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Osoby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k 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a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zbo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(oprávn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jednat ve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ěcech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í) jsou uvedeny v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čl. 1. Smluvn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strany se vzájemn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dohodly, že změna uveden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osob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ých jednat ve 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ěcech plněn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bude oznamována jednostranným písemným </w:t>
      </w:r>
    </w:p>
    <w:p>
      <w:pPr>
        <w:numPr>
          <w:ilvl w:val="0"/>
          <w:numId w:val="27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a není pot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řeba na jejich změnu uzavř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ít dodatek ke smlouv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ě.</w:t>
      </w:r>
    </w:p>
    <w:p>
      <w:pPr>
        <w:spacing w:before="0" w:after="12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</w:t>
      </w:r>
    </w:p>
    <w:p>
      <w:pPr>
        <w:keepNext w:val="true"/>
        <w:spacing w:before="0" w:after="0" w:line="240"/>
        <w:ind w:right="0" w:left="3900" w:firstLine="34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ánek 5</w:t>
      </w:r>
    </w:p>
    <w:p>
      <w:pPr>
        <w:keepNext w:val="true"/>
        <w:spacing w:before="0" w:after="0" w:line="240"/>
        <w:ind w:right="0" w:left="3552" w:firstLine="348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Doba pln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í</w:t>
      </w:r>
    </w:p>
    <w:p>
      <w:pPr>
        <w:keepNext w:val="true"/>
        <w:numPr>
          <w:ilvl w:val="0"/>
          <w:numId w:val="31"/>
        </w:numPr>
        <w:spacing w:before="0" w:after="120" w:line="240"/>
        <w:ind w:right="0" w:left="709" w:hanging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Dodavatel je povinen dodávat zbo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následovn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ě:</w:t>
      </w:r>
    </w:p>
    <w:p>
      <w:pPr>
        <w:numPr>
          <w:ilvl w:val="0"/>
          <w:numId w:val="31"/>
        </w:numPr>
        <w:spacing w:before="0" w:after="120" w:line="240"/>
        <w:ind w:right="0" w:left="72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Zahájení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</w:t>
        <w:tab/>
        <w:tab/>
        <w:tab/>
        <w:t xml:space="preserve">po podpisu a registraci</w:t>
      </w:r>
    </w:p>
    <w:p>
      <w:pPr>
        <w:numPr>
          <w:ilvl w:val="0"/>
          <w:numId w:val="31"/>
        </w:numPr>
        <w:spacing w:before="0" w:after="120" w:line="240"/>
        <w:ind w:right="0" w:left="720" w:hanging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í:</w:t>
        <w:tab/>
        <w:tab/>
        <w:tab/>
        <w:t xml:space="preserve">30. 4. 2021</w:t>
        <w:tab/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6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Platební podmínky</w:t>
      </w:r>
    </w:p>
    <w:p>
      <w:pPr>
        <w:numPr>
          <w:ilvl w:val="0"/>
          <w:numId w:val="35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Zhotovitel po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 zbo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 souladu s touto smlouvou je povinen vystavit fakturu a do 5 (p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ěti) pracovn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doporučeně objednateli odeslat za dodan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zbo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ve dvojím vyhotovení. Tato faktura je splatná do 30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ode dne jej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ího doru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a povinn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v souladu s OZ 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ákonem o dani z 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řidan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hodnoty, obsahuje 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faktura a její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íslo, název a sídlo prodávajícího a kupujícího s jejich dal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ími identifika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ími údaji, 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smlouvy 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ástku k fakturaci a dal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údaje povinné podle uvedených právních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ředpisů. </w:t>
      </w:r>
    </w:p>
    <w:p>
      <w:pPr>
        <w:numPr>
          <w:ilvl w:val="0"/>
          <w:numId w:val="35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Zhotovitel je povinen fakturu a doklady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ávací protokol“ apod. - ozna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čit 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íslem smlouvy objednatele. Objednatel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ůže fakturu 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átit v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ě, kdy obsahuje nespr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ávné nebo neúplné údaje nebo obsahuje nesprávné cenové údaje. Toto vrácení se musí stát do konce lh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ůty splatnosti faktury. V takov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ém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 vystav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dodavatel novou fakturu s novou lh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ůtou splatnosti, kterou je povinen doručit objednateli do 5 (pěti) pracovn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ích dn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ů ode dne doručen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oprávn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ěně vr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ácené faktury.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7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Záruky kvality</w:t>
      </w:r>
    </w:p>
    <w:p>
      <w:pPr>
        <w:spacing w:before="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Záruka na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čl. 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měs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íce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provedenou práci 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24 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ů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namontovan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ND od data ukon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opravy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Záru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doba po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ěžet dnem před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odb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ěratelem-Reklamace a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áruky uplat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ňuje objednavatel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ímo u zhotovitele.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8</w:t>
      </w:r>
    </w:p>
    <w:p>
      <w:pPr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Smluvní pokuty</w:t>
      </w:r>
    </w:p>
    <w:p>
      <w:pPr>
        <w:numPr>
          <w:ilvl w:val="0"/>
          <w:numId w:val="40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Zhotovitel je povinen zaplatit objednateli smluvní pokutu za prodlení s 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ím ve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 0,2 % za každ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i zapo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den prodlení z ceny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í, nejvý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še však do celkov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ceny za 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40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Objednatel je povinen zaplatit dodavateli smluvní pokutu ve vý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ši 0,2 % z fakturovan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ástky za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žd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i zapo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ý den prodlení se zaplacením faktury. </w:t>
      </w:r>
    </w:p>
    <w:p>
      <w:pPr>
        <w:numPr>
          <w:ilvl w:val="0"/>
          <w:numId w:val="40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Strana povinná k uhrazení smluvní pokuty je povinna uhradit vyú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čtovan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 sankce nejpozd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ěji do 15 dnů ode dne obdržen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ého vyú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čtov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ání. 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76" w:leader="none"/>
        </w:tabs>
        <w:suppressAutoHyphens w:val="true"/>
        <w:spacing w:before="0" w:after="0" w:line="240"/>
        <w:ind w:right="-34" w:left="578" w:hanging="57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ánek 9</w:t>
      </w:r>
    </w:p>
    <w:p>
      <w:pPr>
        <w:tabs>
          <w:tab w:val="left" w:pos="576" w:leader="none"/>
        </w:tabs>
        <w:suppressAutoHyphens w:val="true"/>
        <w:spacing w:before="0" w:after="0" w:line="240"/>
        <w:ind w:right="-34" w:left="578" w:hanging="578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Zvlá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štn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ujednání</w:t>
      </w:r>
    </w:p>
    <w:p>
      <w:pPr>
        <w:numPr>
          <w:ilvl w:val="0"/>
          <w:numId w:val="43"/>
        </w:numPr>
        <w:suppressAutoHyphens w:val="true"/>
        <w:spacing w:before="0" w:after="120" w:line="240"/>
        <w:ind w:right="-34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Zhotovitel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šuje, že se před uzavřen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smlouvy nedopustil v souvislosti se zadávacím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ízením sám nebo prost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jiné osoby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jednání, je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by odporovalo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ákonu nebo dobrým mrav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ům nebo by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 obcházelo, zejména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nenab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ízel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 výhody osobám podílejícím se na zadání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zakázky, na kterou s ním zadavatel uzav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řel smlouvu, a že se zejm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éna ve vztahu k ostatním uchaze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čům nedopustil 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ádného jednání naru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ícího hospodá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řskou soutěž. </w:t>
      </w:r>
    </w:p>
    <w:p>
      <w:pPr>
        <w:numPr>
          <w:ilvl w:val="0"/>
          <w:numId w:val="43"/>
        </w:numPr>
        <w:suppressAutoHyphens w:val="true"/>
        <w:spacing w:before="0" w:after="120" w:line="240"/>
        <w:ind w:right="-34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 má právo vypov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ědět tuto smlouvu v př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ě, že v souvislosti s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čelu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dojde ke spáchání trestného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činu.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doba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3 dny 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íná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ěžet dnem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ásledujícím po dni, kdy bylo písemné vyhotovení výpov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ědi doručeno prod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ávajícímu.</w:t>
      </w:r>
    </w:p>
    <w:p>
      <w:pPr>
        <w:numPr>
          <w:ilvl w:val="0"/>
          <w:numId w:val="43"/>
        </w:numPr>
        <w:suppressAutoHyphens w:val="true"/>
        <w:spacing w:before="0" w:after="120" w:line="240"/>
        <w:ind w:right="-34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Objednatel nabývá vlastnické právo ke zbo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jeho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pov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ěřenou podle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čl.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smlouvy. Nebezpe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vzniku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škody na zbož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ází na objednatele v okam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žiku, kdy je zbož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které je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ředmětem plněn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této smlouvy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áno v souladu s 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čl. 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40" w:leader="none"/>
          <w:tab w:val="left" w:pos="72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Čl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ánek 10</w:t>
      </w:r>
    </w:p>
    <w:p>
      <w:pPr>
        <w:keepNext w:val="true"/>
        <w:spacing w:before="0" w:after="0" w:line="240"/>
        <w:ind w:right="0" w:left="0" w:firstLine="0"/>
        <w:jc w:val="center"/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Záv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4"/>
          <w:shd w:fill="auto" w:val="clear"/>
        </w:rPr>
        <w:t xml:space="preserve">á ustanovení</w:t>
      </w:r>
    </w:p>
    <w:p>
      <w:pPr>
        <w:keepNext w:val="true"/>
        <w:numPr>
          <w:ilvl w:val="0"/>
          <w:numId w:val="48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Pln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 této smlouvy se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ídí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zákonem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89/2012 Sb., občansk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ého zákoníku v platném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í.</w:t>
      </w:r>
    </w:p>
    <w:p>
      <w:pPr>
        <w:numPr>
          <w:ilvl w:val="0"/>
          <w:numId w:val="48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ěny a doplňky 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éto smlouvy lze provád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 pouze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ísemnými oboustrann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dohodnut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ými dodatky, které se stanou nedílnou sou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ástí této smlouvy.</w:t>
      </w:r>
    </w:p>
    <w:p>
      <w:pPr>
        <w:numPr>
          <w:ilvl w:val="0"/>
          <w:numId w:val="48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Smlouva je vyhotovena ve 2 výtiscích, z nich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objednatel obdrž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1 a dodavatel 1 vyhotovení.</w:t>
      </w:r>
    </w:p>
    <w:p>
      <w:pPr>
        <w:numPr>
          <w:ilvl w:val="0"/>
          <w:numId w:val="48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Tato smlouva nabývá platnosti dnem podpisu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ěma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ími stranami a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činnost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dnem uve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v informa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 systému ve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správy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Registru smluv.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častn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íci se dohodli,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ákonnou povinnost dle § 5 odst. 2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č. 340/2015 Sb., v platn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ém zn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(zákon o registraci smluv) splní objednavatel.</w:t>
      </w:r>
    </w:p>
    <w:p>
      <w:pPr>
        <w:numPr>
          <w:ilvl w:val="0"/>
          <w:numId w:val="48"/>
        </w:numPr>
        <w:spacing w:before="0" w:after="120" w:line="240"/>
        <w:ind w:right="0" w:left="709" w:hanging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smluvn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 strany prohla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že si smlouvy přečetli, že smlouva byla uzavřena jako projev svobodn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ůle, bez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átlaku a ob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ěma stran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ám jsou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řejm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 jejich práva a povinnosti z této smlouvy vyplývající. </w:t>
      </w:r>
    </w:p>
    <w:p>
      <w:pPr>
        <w:spacing w:before="0" w:after="0" w:line="240"/>
        <w:ind w:right="0" w:left="36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Pardubicích dne                                                                  V Jihlav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 dne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              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Ing. Franti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šek Turek, předseda představenstva              Ing. R.Necid, ředitel organizace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--------------------------------------------------------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xxxxxxxxxxxxxx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člen představenstva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4">
    <w:abstractNumId w:val="48"/>
  </w:num>
  <w:num w:numId="20">
    <w:abstractNumId w:val="42"/>
  </w:num>
  <w:num w:numId="24">
    <w:abstractNumId w:val="36"/>
  </w:num>
  <w:num w:numId="27">
    <w:abstractNumId w:val="30"/>
  </w:num>
  <w:num w:numId="31">
    <w:abstractNumId w:val="24"/>
  </w:num>
  <w:num w:numId="35">
    <w:abstractNumId w:val="18"/>
  </w:num>
  <w:num w:numId="40">
    <w:abstractNumId w:val="12"/>
  </w:num>
  <w:num w:numId="43">
    <w:abstractNumId w:val="6"/>
  </w:num>
  <w:num w:numId="4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