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</w:t>
      </w:r>
      <w:bookmarkEnd w:id="0"/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pravidlech a podmínkách dodávky tepelné energie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č. T4711/19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TEREA Cheb S.r.O.,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Cheb, Májová 588/33, PSČ 350 48, IČO 63507871, DIČ CZ63507871; jednající prostřednictvím jednatelů Ing. Martinem Černíkem a Ing. Steffenem Thomasem Zagermannem,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zapsána u Krajského soudu v Plzni-obchodní rejstřík spisová značka C 6622,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26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cs-CZ" w:eastAsia="cs-CZ" w:bidi="cs-CZ"/>
        </w:rPr>
        <w:t xml:space="preserve">Galerie výtvarného umění v Chebu,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se sídlem Cheb, nám krále Jiřího z Poděbrad 10/16, PSČ 350 02, IČO 00369021; jednající prostřednictvím ředitele Mgr. Marcela Fišera, Ph.D.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zapsána u Krajského soudu v Plzni-obchodní rejstřík spisová značka Pr 531,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Výše uvedené smluvní strany ve smyslu ustanovení § 76 odst. 3) zákona č. 458/2000 Sb. o podmínkách podnikání a o výkonu státní správy v energetických odvětvích a o změně některých zákonů (energetický zákon) a zákona č. 89/2012 Sb. (občanského zákoníku), uzavírají pro instalaci zařízení a pro dodávku tepla pro vytápění a k jinému využití (dále jen dodávka tepla), tuto smlouvu: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pravidlech a podmínkách dodávky tepelné energie</w:t>
      </w:r>
      <w:bookmarkEnd w:id="4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</w:t>
        <w:br/>
        <w:t>PŘEDMĚT SMLOUVY</w:t>
      </w:r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1.1. Předmětem této smlouvy je závazek dodavatele dodávat tepelnou energii ze zařízení dodavatele do odběrného místa odběratele v souladu s touto smlouvou a závazek odběratele zaplatit za dodanou a odebranou tepelnou energii cenu za podmínek uvedených v této smlouvě.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1.2. Dodávka tepelnou energii se provádí podle zákona č. 458/2000 Sb. v platném znění a jeho prováděcích předpisů.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II</w:t>
      </w:r>
      <w:bookmarkEnd w:id="8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2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Charakter a pravidla dodávky tepelné energie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720" w:right="0" w:hanging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2.1. Základní parametry dodávané a vrácené teplonosné látky a další údaje jsou uvedeny v příloze č. 1 „Technické parametry odběrného místa“.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4.3. Má-li odběratel pochybnosti o správnosti fakturovaných částek, může je reklamovat do dne splatnosti předmětné faktury. Na později uplatňované reklamace nelze brát zřetel. Odběratel není v prodlení s plněním peněžitého závazku, bude-li jeho reklamace oprávněná.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V</w:t>
      </w:r>
      <w:bookmarkEnd w:id="1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Doložka o hospodárnosti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580" w:right="0" w:hanging="58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5.1. Pokud se změní technické, ekonomické nebo právní poměry platné v době uzavření této smlouvy natrvalo tak, že od některé ze smluvních stran již nelze očekávat dodržování smlouvy, upraví smluvní strany příslušné ustanovení smlouvy v souladu s novým stavem věci tak, aby bylo dosaženo ekonomického účelu do takové míry, jaká bude možná. Právo na odstoupení od smlouvy z tohoto důvodu nemůže být uplatněno.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VI</w:t>
      </w:r>
      <w:bookmarkEnd w:id="14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Sankční ujednání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uhradí dodavateli smluvní pokutu ve výši do 5.000 Kč: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0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přemístění měřícího zařízení dodavatele bez jeho souhlasu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0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opakované neumožnění přístupu k měřícímu zařízení (§ 2 odst. 2.4 PPD)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5" w:val="left"/>
        </w:tabs>
        <w:bidi w:val="0"/>
        <w:spacing w:before="0" w:after="0" w:line="240" w:lineRule="auto"/>
        <w:ind w:left="0" w:right="0" w:firstLine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 porušení prostředků proti neoprávněné manipulaci na měřícím zařízení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prodlení s platbami danými na základě daňového dokladu /fakturace/ sjednali dodavatel a odběratel v kupní smlouvě na dodávku tepla smluvní úrok z prodlení ve výši 0,05 % denně z dlužné částky, kdy prodlení počíná běžet prvním dnem po lhůtě splatnosti uvedeném v daňovém dokladu.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 informovat odběratele o příčinách přerušení dodávek a délce trvání, dále je povinen sdělovat termíny plánovaných oprav nejpozději do 30 dnů před termínem jejich provádění. Přesný termín odstávky bude sdělen nejpozději 5 dnů předem. V případě porušení tohoto ustanovení uhradí dodavatel odběrateli veškeré vzniklé škody.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uhradí odběrateli smluvní pokutu ve výši 5000 Kč za nedodržení termínu pro výměnu měřícího zařízení na žádost odběratele za účelem jeho přezkoušení za podmínek § 78 odst. 2 zákona č. 458/2000 Sb., pokud se nárok na ni prokáže jako oprávněný.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Ujednáním o smluvní pokutě není dotčen nárok poškozené strany na náhradu škody, pokud není nárok na náhradu škody ze zákona vyloučen.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dále oprávněn přerušit dodávku tepla do odběrného místa odběratele v případech uvedených v §76 zákona 458/2000Sb.</w:t>
      </w:r>
    </w:p>
    <w:p>
      <w:pPr>
        <w:pStyle w:val="Style6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711" w:val="left"/>
        </w:tabs>
        <w:bidi w:val="0"/>
        <w:spacing w:before="0" w:after="48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Nedošlo-li k vzájemnému zápočtu pohledávky podle ust. uvedeného v článku Zvláštní ujednání této smlouvy a je-li dodavatel v prodlení v případě vrácení přeplatku, zavazuje se zaplatit smluvní úrok z prodlení ve výši 0,05 % denně.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Článek VII</w:t>
      </w:r>
      <w:bookmarkEnd w:id="17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Doba trvání smlouvy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11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Zahájení dodávky tepla se provádí postupně dle postupu stavebních prací při instalaci výměníkové stanice a přepojení na rozvody tepla a následně kolaudace. Dodávka bude zahájena až po kolaudaci instalace předávací stanice a napojení na rozvody tepla.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1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Smlouva se uzavírá na dobu neurčitou.</w:t>
      </w:r>
    </w:p>
    <w:p>
      <w:pPr>
        <w:pStyle w:val="Style6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711" w:val="left"/>
        </w:tabs>
        <w:bidi w:val="0"/>
        <w:spacing w:before="0" w:line="240" w:lineRule="auto"/>
        <w:ind w:left="700" w:right="0" w:hanging="7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Smlouvu lze vypovědět v jednoroční výpovědní lhůtě, a to vždy k 31. 12. běžného roku. Písemná výpověď musí být prokazatelně doručena druhé smluvní straně. Platnost smlouvy v takovém případě končí 31. 12. daného roku.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right="0" w:firstLine="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a noční útlum podle technických možností předávací stanice. Pověřenému a proškolenému pracovníkovi odběratele bude umožněn přístup k ovládání základních parametrů vytápění.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after="48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Způsob a pravidla vstupu dodavatele (pověřeného zaměstnance dodavatele) do objektu odběratele za účelem provádění odečtů, kontroly, opravy nebo běžné údržby měřících a tepelných zařízení budou prováděny PO - PÁ v období od 7.30 do 16.00 hod.,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SO,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NE, SV od 10.00 do 16.00 hod.. Pověřený zaměstnanec dodavatele se prokáže pracovním průkazem na recepci odběratele, kde mu bude předán klíč pro energomístnost - po ukončení činnosti příslušný klíč opět odevzdá na recepci. V případě havárie mimo toto období bude kontaktována havarijní služba na tel.: 00420 721 668 661.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je nebo se stane jedno nebo více ustanovení této smlouvy neúčinným a pokud by ve smlouvě byla zjištěna neplatnost některého článku, není tím dotčena účinnost ostatních ustanovení.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zavazují, že se touto smlouvou budou řídit i případní právní nástupci smluvních stran, kteří převezmou veškerá práva a povinnosti vyplývající z této smlouvy.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Smluvní strany se zavazují nahradit neúčinná ustanovení dle možnosti stejnými nebo jinými, které budou mít podobný ekonomický a technický účinek.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Změny a doplňky, jakož i zrušení této smlouvy a jejích příloh podléhá písemné formě. Toto platí také pro změny požadavku povinnosti písemné formy. Ústní ujednání přijata nebyla.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Sídlem příslušného soudu a místem plnění je Cheb.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33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v této smlouvě není stanoveno jinak, řídí se smluvní strany příslušnými ustanoveními zák. č. 89/2012 Sb.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plánovaní odstávky na opravy a údržby kotelny nebo výměníkové stanice, které by mohly omezit dodávku tepla delší než 24 hod., je dodavatel povinen odběratele v předstihu informovat a připravit zvláštní dohodu mezi dodavatelem a odběratelem pro tento případ. Při uzavření dohody pro konkrétní případ se neuvažuje, tak zvaná letní odstávka, (provádí se za provozu).</w:t>
      </w:r>
    </w:p>
    <w:p>
      <w:pPr>
        <w:pStyle w:val="Style6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701" w:val="left"/>
        </w:tabs>
        <w:bidi w:val="0"/>
        <w:spacing w:before="0" w:after="480" w:line="240" w:lineRule="auto"/>
        <w:ind w:right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Tato smlouva nabývá platnosti dnem podpisu obou smluvních stran a účinnosti nabývá nejdříve dnem uveřejnění prostřednictvím registru smluv dle zákona č. 340/2015 Sb., o zvláštních podmínkách účinnosti některých smluv, uveřejňování těchto smluv a o registru smluv. Odběratel se zavazuje realizovat zveřejnění této smlouvy v předmětném registru v souladu s uvedeným zákonem.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082" w:right="1083" w:bottom="1484" w:left="1096" w:header="654" w:footer="105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Chebu dne </w:t>
      </w:r>
      <w:r>
        <w:rPr>
          <w:color w:val="363E99"/>
          <w:spacing w:val="0"/>
          <w:w w:val="100"/>
          <w:position w:val="0"/>
          <w:shd w:val="clear" w:color="auto" w:fill="auto"/>
          <w:lang w:val="en-US" w:eastAsia="en-US" w:bidi="en-US"/>
        </w:rPr>
        <w:t>Zc'lo</w:t>
      </w:r>
    </w:p>
    <w:p>
      <w:pPr>
        <w:widowControl w:val="0"/>
        <w:spacing w:line="199" w:lineRule="exact"/>
        <w:rPr>
          <w:sz w:val="16"/>
          <w:szCs w:val="1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8" w:right="0" w:bottom="1078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framePr w:w="1013" w:h="274" w:wrap="none" w:vAnchor="text" w:hAnchor="page" w:x="4654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odběratel:</w:t>
      </w:r>
    </w:p>
    <w:p>
      <w:pPr>
        <w:pStyle w:val="Style12"/>
        <w:keepNext w:val="0"/>
        <w:keepLines w:val="0"/>
        <w:framePr w:w="1037" w:h="274" w:wrap="none" w:vAnchor="text" w:hAnchor="page" w:x="1112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dodavatel:</w:t>
      </w:r>
    </w:p>
    <w:p>
      <w:pPr>
        <w:widowControl w:val="0"/>
        <w:spacing w:line="360" w:lineRule="exact"/>
      </w:pPr>
      <w:r>
        <w:drawing>
          <wp:anchor distT="362585" distB="0" distL="3175" distR="0" simplePos="0" relativeHeight="62914690" behindDoc="1" locked="0" layoutInCell="1" allowOverlap="1">
            <wp:simplePos x="0" y="0"/>
            <wp:positionH relativeFrom="page">
              <wp:posOffset>708660</wp:posOffset>
            </wp:positionH>
            <wp:positionV relativeFrom="paragraph">
              <wp:posOffset>375285</wp:posOffset>
            </wp:positionV>
            <wp:extent cx="2639695" cy="163385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39695" cy="16338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3658870</wp:posOffset>
            </wp:positionH>
            <wp:positionV relativeFrom="paragraph">
              <wp:posOffset>247015</wp:posOffset>
            </wp:positionV>
            <wp:extent cx="3188335" cy="151765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188335" cy="15176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6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78" w:right="1085" w:bottom="1078" w:left="1114" w:header="0" w:footer="3" w:gutter="0"/>
          <w:cols w:space="720"/>
          <w:noEndnote/>
          <w:rtlGutter w:val="0"/>
          <w:docGrid w:linePitch="360"/>
        </w:sectPr>
      </w:pP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9" w:right="3214" w:bottom="4557" w:left="1059" w:header="691" w:footer="4129" w:gutter="0"/>
          <w:cols w:space="720"/>
          <w:noEndnote/>
          <w:rtlGutter w:val="0"/>
          <w:docGrid w:linePitch="360"/>
        </w:sectPr>
      </w:pPr>
      <w:bookmarkStart w:id="20" w:name="bookmark2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Znázornění odběru:</w:t>
      </w:r>
      <w:bookmarkEnd w:id="20"/>
    </w:p>
    <w:p>
      <w:pPr>
        <w:widowControl w:val="0"/>
        <w:spacing w:line="219" w:lineRule="exact"/>
        <w:rPr>
          <w:sz w:val="18"/>
          <w:szCs w:val="1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0" w:bottom="45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2"/>
        <w:keepNext w:val="0"/>
        <w:keepLines w:val="0"/>
        <w:framePr w:w="2942" w:h="259" w:wrap="none" w:vAnchor="text" w:hAnchor="page" w:x="1818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JZbúsob měření a fakturace teplo</w:t>
      </w:r>
    </w:p>
    <w:p>
      <w:pPr>
        <w:pStyle w:val="Style12"/>
        <w:keepNext w:val="0"/>
        <w:keepLines w:val="0"/>
        <w:framePr w:w="619" w:h="235" w:wrap="none" w:vAnchor="text" w:hAnchor="page" w:x="2466" w:y="37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2F3B47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vratná</w:t>
      </w:r>
    </w:p>
    <w:p>
      <w:pPr>
        <w:pStyle w:val="Style12"/>
        <w:keepNext w:val="0"/>
        <w:keepLines w:val="0"/>
        <w:framePr w:w="4680" w:h="490" w:wrap="none" w:vAnchor="text" w:hAnchor="page" w:x="1933" w:y="4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Průměrná teplota otopné vody v přiměni v létě: 70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vertAlign w:val="superscript"/>
          <w:lang w:val="cs-CZ" w:eastAsia="cs-CZ" w:bidi="cs-CZ"/>
        </w:rPr>
        <w:t>s</w:t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cs-CZ" w:eastAsia="cs-CZ" w:bidi="cs-CZ"/>
        </w:rPr>
        <w:t>C</w:t>
      </w:r>
    </w:p>
    <w:p>
      <w:pPr>
        <w:pStyle w:val="Style12"/>
        <w:keepNext w:val="0"/>
        <w:keepLines w:val="0"/>
        <w:framePr w:w="4680" w:h="490" w:wrap="none" w:vAnchor="text" w:hAnchor="page" w:x="1933" w:y="41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Průměrná teplota otopné vody v příměru v zimě: 80°C</w:t>
      </w:r>
    </w:p>
    <w:p>
      <w:pPr>
        <w:pStyle w:val="Style12"/>
        <w:keepNext w:val="0"/>
        <w:keepLines w:val="0"/>
        <w:framePr w:w="3298" w:h="1046" w:wrap="none" w:vAnchor="text" w:hAnchor="page" w:x="7069" w:y="227"/>
        <w:widowControl w:val="0"/>
        <w:shd w:val="clear" w:color="auto" w:fill="auto"/>
        <w:bidi w:val="0"/>
        <w:spacing w:before="0" w:after="0" w:line="305" w:lineRule="auto"/>
        <w:ind w:left="0" w:right="0" w:firstLine="0"/>
        <w:jc w:val="left"/>
      </w:pPr>
      <w:r>
        <w:rPr>
          <w:color w:val="EE6859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FAKTURACE Q1 Měřič tepla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Elektřinu dodává odběratel</w:t>
      </w:r>
    </w:p>
    <w:p>
      <w:pPr>
        <w:pStyle w:val="Style12"/>
        <w:keepNext w:val="0"/>
        <w:keepLines w:val="0"/>
        <w:framePr w:w="3298" w:h="1046" w:wrap="none" w:vAnchor="text" w:hAnchor="page" w:x="7069" w:y="227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 xml:space="preserve">Fakturace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GJ (kWh) </w:t>
      </w:r>
      <w:r>
        <w:rPr>
          <w:spacing w:val="0"/>
          <w:w w:val="100"/>
          <w:position w:val="0"/>
          <w:shd w:val="clear" w:color="auto" w:fill="auto"/>
          <w:lang w:val="cs-CZ" w:eastAsia="cs-CZ" w:bidi="cs-CZ"/>
        </w:rPr>
        <w:t>dle měření - cena paty objektu</w:t>
      </w:r>
    </w:p>
    <w:p>
      <w:pPr>
        <w:widowControl w:val="0"/>
        <w:spacing w:line="360" w:lineRule="exact"/>
      </w:pPr>
      <w:r>
        <w:drawing>
          <wp:anchor distT="152400" distB="585470" distL="15240" distR="0" simplePos="0" relativeHeight="62914692" behindDoc="1" locked="0" layoutInCell="1" allowOverlap="1">
            <wp:simplePos x="0" y="0"/>
            <wp:positionH relativeFrom="page">
              <wp:posOffset>1169035</wp:posOffset>
            </wp:positionH>
            <wp:positionV relativeFrom="paragraph">
              <wp:posOffset>165100</wp:posOffset>
            </wp:positionV>
            <wp:extent cx="3035935" cy="221869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3035935" cy="221869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99160" distB="0" distL="0" distR="304800" simplePos="0" relativeHeight="62914693" behindDoc="1" locked="0" layoutInCell="1" allowOverlap="1">
            <wp:simplePos x="0" y="0"/>
            <wp:positionH relativeFrom="page">
              <wp:posOffset>4259580</wp:posOffset>
            </wp:positionH>
            <wp:positionV relativeFrom="paragraph">
              <wp:posOffset>1042670</wp:posOffset>
            </wp:positionV>
            <wp:extent cx="2018030" cy="13411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018030" cy="13411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1198" w:bottom="4557" w:left="1059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0" w:bottom="455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 Chebu dne </w:t>
      </w:r>
      <w:r>
        <w:rPr>
          <w:color w:val="363E99"/>
          <w:spacing w:val="0"/>
          <w:w w:val="100"/>
          <w:position w:val="0"/>
          <w:shd w:val="clear" w:color="auto" w:fill="auto"/>
          <w:lang w:val="cs-CZ" w:eastAsia="cs-CZ" w:bidi="cs-CZ"/>
        </w:rPr>
        <w:t>•'*»£-©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0"/>
          <w:szCs w:val="30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3214" w:bottom="4557" w:left="1136" w:header="0" w:footer="3" w:gutter="0"/>
          <w:cols w:num="2" w:space="720" w:equalWidth="0">
            <w:col w:w="2400" w:space="2410"/>
            <w:col w:w="2741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V Chebu dne </w:t>
      </w:r>
      <w:r>
        <w:rPr>
          <w:color w:val="363E99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Y- </w:t>
      </w:r>
      <w:r>
        <w:rPr>
          <w:rFonts w:ascii="Times New Roman" w:eastAsia="Times New Roman" w:hAnsi="Times New Roman" w:cs="Times New Roman"/>
          <w:i/>
          <w:iCs/>
          <w:color w:val="363E99"/>
          <w:spacing w:val="0"/>
          <w:w w:val="100"/>
          <w:position w:val="0"/>
          <w:sz w:val="30"/>
          <w:szCs w:val="30"/>
          <w:shd w:val="clear" w:color="auto" w:fill="auto"/>
          <w:lang w:val="en-US" w:eastAsia="en-US" w:bidi="en-US"/>
        </w:rPr>
        <w:t>'W'LV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8" w:after="58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0" w:bottom="111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w:drawing>
          <wp:anchor distT="0" distB="0" distL="0" distR="0" simplePos="0" relativeHeight="125829378" behindDoc="0" locked="0" layoutInCell="1" allowOverlap="1">
            <wp:simplePos x="0" y="0"/>
            <wp:positionH relativeFrom="page">
              <wp:posOffset>706120</wp:posOffset>
            </wp:positionH>
            <wp:positionV relativeFrom="paragraph">
              <wp:posOffset>12700</wp:posOffset>
            </wp:positionV>
            <wp:extent cx="2633345" cy="1286510"/>
            <wp:wrapTight wrapText="right">
              <wp:wrapPolygon>
                <wp:start x="0" y="0"/>
                <wp:lineTo x="21600" y="0"/>
                <wp:lineTo x="21600" y="18734"/>
                <wp:lineTo x="16700" y="18734"/>
                <wp:lineTo x="16700" y="21600"/>
                <wp:lineTo x="9975" y="21600"/>
                <wp:lineTo x="9975" y="18734"/>
                <wp:lineTo x="9875" y="18734"/>
                <wp:lineTo x="9875" y="16533"/>
                <wp:lineTo x="5600" y="16533"/>
                <wp:lineTo x="5600" y="13922"/>
                <wp:lineTo x="0" y="13922"/>
                <wp:lineTo x="0" y="0"/>
              </wp:wrapPolygon>
            </wp:wrapTight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633345" cy="1286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795655</wp:posOffset>
                </wp:positionV>
                <wp:extent cx="1210310" cy="332105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1031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Dodavatel: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TEREA Cheb s.r.o.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56.800000000000004pt;margin-top:62.649999999999999pt;width:95.299999999999997pt;height:26.150000000000002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Dodavatel: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TEREA Cheb s.r.o.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3848100</wp:posOffset>
                </wp:positionH>
                <wp:positionV relativeFrom="paragraph">
                  <wp:posOffset>792480</wp:posOffset>
                </wp:positionV>
                <wp:extent cx="2947670" cy="372110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7670" cy="3721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Odběratel: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 xml:space="preserve">Galerie výtvarného umění v Chebu </w:t>
                            </w:r>
                            <w:r>
                              <w:rPr>
                                <w:color w:val="18C0E3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&gt; o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03.pt;margin-top:62.399999999999999pt;width:232.09999999999999pt;height:29.300000000000001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Odběratel: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 xml:space="preserve">Galerie výtvarného umění v Chebu </w:t>
                      </w:r>
                      <w:r>
                        <w:rPr>
                          <w:color w:val="18C0E3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&gt; 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eb s.r.o.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33" w:lineRule="auto"/>
        <w:ind w:left="-20" w:right="0" w:firstLine="0"/>
        <w:jc w:val="center"/>
      </w:pPr>
      <w:bookmarkStart w:id="22" w:name="bookmark22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TEREA Cheb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Steffen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Thomas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lna Martin Čem*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Zagermann</w:t>
      </w:r>
      <w:bookmarkEnd w:id="22"/>
    </w:p>
    <w:p>
      <w:pPr>
        <w:pStyle w:val="Style24"/>
        <w:keepNext w:val="0"/>
        <w:keepLines w:val="0"/>
        <w:widowControl w:val="0"/>
        <w:shd w:val="clear" w:color="auto" w:fill="auto"/>
        <w:tabs>
          <w:tab w:pos="2470" w:val="left"/>
        </w:tabs>
        <w:bidi w:val="0"/>
        <w:spacing w:before="0" w:after="0" w:line="269" w:lineRule="auto"/>
        <w:ind w:left="0" w:right="0" w:firstLine="5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right="5840" w:bottom="1119" w:left="105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cs-CZ" w:eastAsia="cs-CZ" w:bidi="cs-CZ"/>
        </w:rPr>
        <w:t>JEDNATEL</w:t>
        <w:tab/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JEDNATEL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Omezení a přerušení dodávky tepla a TV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tepelné energie má právo přerušit nebo omezit dodávku tepelné energie v nezbytném rozsahu a na nezbytně nutnou dobu v těchto případech: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bezprostředním ohrožení zdraví nebo majetku osob a při likvidaci těchto stavů,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stavech nouze nebo činnostech bezprostředně zamezujících jejich vzniku,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provádění plánovaných stavebních úprav, oprav, údržbových a revizních prací a při připojování nového odběrného místa, pokud jsou oznámeny nejméně 15 dní předem,</w:t>
      </w:r>
    </w:p>
    <w:p>
      <w:pPr>
        <w:pStyle w:val="Style2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provádění nezbytných provozních manipulací na dobu 4 hodin, e) při havarijním přerušení či omezení nezbytných provozních dodávek teplonosné látky nebo paliv a energií poskytovaných jinými dodavateli tepelné energie,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nedodržení povinností odběratele podle § 77 odst. 4, zákona č. 458/2000 Sb.,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vzniku a odstraňování havárií a poruch na zařízeních pro rozvod a výrobu tepelné energie na dobu nezbytně nutnou,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8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jestliže odběratel tepelné energie používá zařízení, která ohrožují život, zdraví nebo majetek osob nebo ovlivňují kvalitu dodávek v neprospěch dalších odběratelů tepelné energie,</w:t>
      </w:r>
    </w:p>
    <w:p>
      <w:pPr>
        <w:pStyle w:val="Style24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267" w:val="left"/>
        </w:tabs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při neoprávněném odběru.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5" w:val="left"/>
        </w:tabs>
        <w:bidi w:val="0"/>
        <w:spacing w:before="0" w:after="0" w:line="233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Měření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oprávněn a povinen dodávku tepelné energie měřit, vyhodnocovat a účtovat podle skutečných parametrů teplonosné látky a údajů vlastního měřícího zařízení, které na svůj náklad osadí, zapojí, udržuje a pravidelně ověřuje správnost měření v souladu se zvláštním právním předpisem (zákon o metrologii č. 505/1990 Sb., v platném znění). Odběratel tepelné energie má právo na ověření správnosti odečtu naměřených hodnot dle zákona o metrologii.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Vznikla-li pochybnost o správnosti údajů měření nebo byla-li zjištěna závada na měřicím zařízení, je dodavatel tepelné energie povinen na základě písemné žádosti zákazníka do 30 dnů ověřit správnost měření a v případě zjištěné závady měřicí zařízení vyměnit. Zákazník je povinen poskytnout k výměně měřicího zařízení nezbytnou součinnost. Je-li zjištěna závada měřicího zařízení, hradí náklady spojené s jeho přezkoušením a výměnou dodavatel tepelné energie. Není-li závada zjištěna, hradí tyto náklady zákazník.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Jakýkoli zásah do měřicího zařízení bez souhlasu dodavatele tepelné energie se zakazuje.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4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tepelné energie má právo měřicí zařízení osadit a zajistit proti neoprávněné manipulaci a provádět pravidelné odečty naměřených hodnot, odběratel tepelné energie je povinen to umožnit. Zjistí-li odběratel tepelné energie porušení měřicího zařízení nebo jeho zajištění, je povinen to neprodleně oznámit dodavateli tepelné energie.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0" w:val="left"/>
        </w:tabs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poruchy měřidla se stanovuje množství spotřebovaného tepla dle průměrných denních teplot naměřených meteorologickým ústavem, tzv. Gradenovou metodou denostupně.</w:t>
      </w:r>
    </w:p>
    <w:p>
      <w:pPr>
        <w:pStyle w:val="Style24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270" w:val="left"/>
        </w:tabs>
        <w:bidi w:val="0"/>
        <w:spacing w:before="0" w:after="10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Měření množství tepla pro dodávku TV a dodané množství TV provádí dodavatel na vstupu do zařízení pro ohřev teplé vody svým fakturačním měřidlem a fakturačním vodoměrem dodavatele pitné vody. V případě poruch fakturačního měřidla tepla, spotřeba tepla pro ohřev TV, bude zjištěna a fakturována výpočtem, jako průměr spotřeby tepla na ohřev vody, za předcházející tří měsíce.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Účtování a placení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ve smlouvě dohodnuto jinak, je zúčtovacím obdobím dodávky tepla kalendářní měsíc.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za teplo bude prováděna ve dvou dokladech. První splátka na základě zálohového dokladu ve výši 80% předpokládaného odběru (vztaženo ke skutečné spotřebě daného měsíce roku předcházejícího) do 5. dne daného měsíce, se splatností 10 dnů. Doúčtování bude provedeno do 10. dne následujícího měsíce a to na základě skutečné spotřeby. V prvním roce odběru bude záloha stanovena ve výši 80% předpokládané plánované spotřeby.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Odběratel se zavazuje k úhradě finanční částky, dané daňovým dokladem /fakturou/ na č. účtu, uvedeného na dokladu, který </w:t>
      </w: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odešle po provedeném odečtu spotřeby tepla k vytápění a jiné spotřebě za daný měsíc.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Není-li ve smlouvě dohodnuto jinak, je zúčtovacím obdobím dodávky teplé vody kalendářní rok.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Fakturace za teplou vodu bude prováděna měsíčně zálohově, na základě předpokládaného odběru (vztaženo k1/12 skutečné spotřeby předcházejícího roku) do 5. dne daného měsíce se splatností 10 dnů. Doúčtování bude provedeno do 14 dnů po skončení kalendářního roku a to na základě právní legislativy (vyhl. č. 405/2015 Sb. o způsobu dělení nákladů za dodávku tepelné energie při společném měření odebraného množství tepelné energie).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hradí spotřebu tepla k ohřevu teplé vody finanční částkou, uvedenou na daňovém dokladu (faktuře) bankovním převodem, na číslo bankovního účtu a pod stanoveným variabilním symbolem, uvedených na dokladu, který dodavatel odešle po provedeném odečtu spotřeby tepla k ohřevu teplé vody.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Reklamovanou fakturu dodavatel přezkoumá a výsledek oznámí odběrateli do 30 dnů ode dne, kdy reklamaci obdržel. V případě oprávněné reklamace, způsob vyrovnání rozdílu již zaplacené a po reklamaci stanovené částky, bude písemně dohodnut v rámci reklamačního řízení.</w:t>
      </w:r>
    </w:p>
    <w:p>
      <w:pPr>
        <w:pStyle w:val="Style24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265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není povinen poskytnout standardní platební podmínky odběratelům, kteří mají nesplacené závazky vůči dodavateli.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Technická ujednání</w:t>
      </w:r>
    </w:p>
    <w:p>
      <w:pPr>
        <w:pStyle w:val="Style2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6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povinen:</w:t>
      </w:r>
    </w:p>
    <w:p>
      <w:pPr>
        <w:pStyle w:val="Style2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zbytečného odkladu informovat odběratele o poruchách na svém zařízení, jež mohou mít vliv na předmět plnění a o předpokládaném čase jejich odstranění.</w:t>
      </w:r>
    </w:p>
    <w:p>
      <w:pPr>
        <w:pStyle w:val="Style24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2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nejméně 14 kalendářních dnů předem oznámit dobu přerušení dodávek TV pro nezbytnou údržbu zařízení. Přerušení dodávky nesmí být delší než 14 kalendářních dnů.</w:t>
      </w:r>
    </w:p>
    <w:p>
      <w:pPr>
        <w:pStyle w:val="Style24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Odběratel je povinen: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bez zbytečného odkladu informovat dodavatele o poruchách na svém odběrném tepelném zařízení, jež mohou mít vliv na zařízení dodavatele a o způsobu a čase jejich odstranění.</w:t>
      </w:r>
    </w:p>
    <w:p>
      <w:pPr>
        <w:pStyle w:val="Style24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256" w:val="left"/>
        </w:tabs>
        <w:bidi w:val="0"/>
        <w:spacing w:before="0" w:after="1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informovat dodavatele o změnách na svém odběrném tepelném zařízení, jež mohou mít vliv na zařízení a dodávky dodavatele a tyto změny provést odbornou firmou.</w:t>
      </w:r>
    </w:p>
    <w:p>
      <w:pPr>
        <w:pStyle w:val="Style2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370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Závěrečná ustanovení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65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Pro účely styku s dodavatelem odběratel jmenovitě určuje pověřeného zástupce. Pověřený zástupce je v případě nedosažitelnosti povinen zajistit za sebe náhradu.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Podmínkou pro uzavření smlouvy na dodávku tepla pro vytápění a k dalšímu využití a TV, je dohoda ve všech bodech smluvního ujednání.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 případě převodu majetku, ke kterému se vztahuje odběrné místo, a který souvisí s předmětem smlouvy na dodávku tepla a TV na třetí osobu, je původní vlastník jako odběratel povinen upozornit v kupní smlouvě kupujícího na smluvní závazek o odběru a dodávce tepla pro vytápění a k jinému využití a TV tedy, že trvá závazek odběru a tepla a TV a je třeba uzavřít s nynějším dodavatelem tepla a TV buď novou smlouvu na dodávku tepla a TV nebo dodatek, ve kterém se zněmí titul odběratele.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Pokud dojde k zániku smlouvy před ukončením účtovacího období, bude konečné vyúčtování skutečné dodávky provedeno do 3 měsíců po skončení zúčtovacího období.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Odchylky od Podmínek připojení a dodávek tepla TEREA Cheb s.r.o., sjednají obě smluvní strany ve zvláštním ujednání kupní smlouvy na dodávku tepla a TV.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Tyto podmínky připojení a dodávek tepla TEREA Cheb s.r.o. č. 01/2019 nabývají účinnosti dnem vydání.</w:t>
      </w:r>
    </w:p>
    <w:p>
      <w:pPr>
        <w:pStyle w:val="Style24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274" w:val="left"/>
        </w:tabs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Dodavatel je oprávněn tyto podmínky jednostranně měnit pouze a výhradně v závislosti na změnách obecně závazných právních předpisů a souvisejících výkladů.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Den platnosti a účinnosti vydání: 01.11.2019</w:t>
      </w:r>
    </w:p>
    <w:p>
      <w:pPr>
        <w:pStyle w:val="Style24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TEREA Cheb s.r.o.</w:t>
      </w:r>
    </w:p>
    <w:sectPr>
      <w:footnotePr>
        <w:pos w:val="pageBottom"/>
        <w:numFmt w:val="decimal"/>
        <w:numRestart w:val="continuous"/>
      </w:footnotePr>
      <w:pgSz w:w="11900" w:h="16840"/>
      <w:pgMar w:top="1146" w:right="193" w:bottom="1146" w:left="236" w:header="718" w:footer="718" w:gutter="0"/>
      <w:cols w:num="2" w:space="269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6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7"/>
      <w:numFmt w:val="decimal"/>
      <w:lvlText w:val="%1."/>
    </w:lvl>
    <w:lvl w:ilvl="1">
      <w:start w:val="1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6">
    <w:multiLevelType w:val="multilevel"/>
    <w:lvl w:ilvl="0">
      <w:start w:val="9"/>
      <w:numFmt w:val="decimal"/>
      <w:lvlText w:val="%1."/>
    </w:lvl>
    <w:lvl w:ilvl="1">
      <w:start w:val="4"/>
      <w:numFmt w:val="decimal"/>
      <w:lvlText w:val="%1.%2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8">
    <w:multiLevelType w:val="multilevel"/>
    <w:lvl w:ilvl="0">
      <w:start w:val="5"/>
      <w:numFmt w:val="decimal"/>
      <w:lvlText w:val="§ %1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0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2">
    <w:multiLevelType w:val="multilevel"/>
    <w:lvl w:ilvl="0">
      <w:start w:val="6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5">
    <w:name w:val="Nadpis #2_"/>
    <w:basedOn w:val="DefaultParagraphFont"/>
    <w:link w:val="Style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Nadpis #3_"/>
    <w:basedOn w:val="DefaultParagraphFont"/>
    <w:link w:val="Style9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Titulek obrázku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18C0E3"/>
      <w:sz w:val="19"/>
      <w:szCs w:val="19"/>
      <w:u w:val="none"/>
    </w:rPr>
  </w:style>
  <w:style w:type="character" w:customStyle="1" w:styleId="CharStyle25">
    <w:name w:val="Základní text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dpis #1"/>
    <w:basedOn w:val="Normal"/>
    <w:link w:val="CharStyle3"/>
    <w:pPr>
      <w:widowControl w:val="0"/>
      <w:shd w:val="clear" w:color="auto" w:fill="auto"/>
      <w:spacing w:before="360" w:after="580"/>
      <w:jc w:val="center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2"/>
      <w:szCs w:val="52"/>
      <w:u w:val="none"/>
    </w:rPr>
  </w:style>
  <w:style w:type="paragraph" w:customStyle="1" w:styleId="Style4">
    <w:name w:val="Nadpis #2"/>
    <w:basedOn w:val="Normal"/>
    <w:link w:val="CharStyle5"/>
    <w:pPr>
      <w:widowControl w:val="0"/>
      <w:shd w:val="clear" w:color="auto" w:fill="auto"/>
      <w:spacing w:after="540"/>
      <w:jc w:val="center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auto"/>
      <w:spacing w:after="240"/>
      <w:ind w:left="680" w:hanging="68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9">
    <w:name w:val="Nadpis #3"/>
    <w:basedOn w:val="Normal"/>
    <w:link w:val="CharStyle10"/>
    <w:pPr>
      <w:widowControl w:val="0"/>
      <w:shd w:val="clear" w:color="auto" w:fill="auto"/>
      <w:jc w:val="center"/>
      <w:outlineLvl w:val="2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Titulek obrázku"/>
    <w:basedOn w:val="Normal"/>
    <w:link w:val="CharStyle13"/>
    <w:pPr>
      <w:widowControl w:val="0"/>
      <w:shd w:val="clear" w:color="auto" w:fill="auto"/>
      <w:spacing w:line="257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8C0E3"/>
      <w:sz w:val="19"/>
      <w:szCs w:val="19"/>
      <w:u w:val="none"/>
    </w:rPr>
  </w:style>
  <w:style w:type="paragraph" w:customStyle="1" w:styleId="Style24">
    <w:name w:val="Základní text"/>
    <w:basedOn w:val="Normal"/>
    <w:link w:val="CharStyle2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/Relationships>
</file>