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pravidlech a podmínkách dodávky tepelné energie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č. T4711/19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33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TEREA Cheb S.r.O.,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Cheb, Májová 588/33, PSČ 350 48, IČO 63507871, DIČ CZ63507871; jednající prostřednictvím jednatelů Ing. Martinem Černíkem a Ing. Steffenem Thomasem Zagermannem,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zapsána u Krajského soudu v Plzni-obchodní rejstřík spisová značka C 6622,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2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Galerie výtvarného umění v Chebu,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Cheb, nám krále Jiřího z Poděbrad 10/16, PSČ 350 02, IČO 00369021; jednající prostřednictvím ředitele Mgr. Marcela Fišera, Ph.D.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zapsána u Krajského soudu v Plzni-obchodní rejstřík spisová značka Pr 531,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uvedené smluvní strany ve smyslu ustanovení § 76 odst. 3) zákona č. 458/2000 Sb. o podmínkách podnikání a o výkonu státní správy v energetických odvětvích a o změně některých zákonů (energetický zákon) a zákona č. 89/2012 Sb. (občanského zákoníku), uzavírají pro instalaci zařízení a pro dodávku tepla pro vytápění a k jinému využití (dále jen dodávka tepla), tuto smlouvu: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pravidlech a podmínkách dodávky tepelné energie</w:t>
      </w:r>
      <w:bookmarkEnd w:id="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</w:t>
        <w:br/>
        <w:t>PŘEDMĚT SMLOUVY</w:t>
      </w:r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1.1. Předmětem této smlouvy je závazek dodavatele dodávat tepelnou energii ze zařízení dodavatele do odběrného místa odběratele v souladu s touto smlouvou a závazek odběratele zaplatit za dodanou a odebranou tepelnou energii cenu za podmínek uvedených v této smlouvě.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1.2. Dodávka tepelnou energii se provádí podle zákona č. 458/2000 Sb. v platném znění a jeho prováděcích předpisů.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</w:t>
      </w:r>
      <w:bookmarkEnd w:id="8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4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Charakter a pravidla dodávky tepelné energie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2.1. Základní parametry dodávané a vrácené teplonosné látky a další údaje jsou uvedeny v příloze č. 1 „Technické parametry odběrného místa“.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4.3. Má-li odběratel pochybnosti o správnosti fakturovaných částek, může je reklamovat do dne splatnosti předmětné faktury. Na později uplatňované reklamace nelze brát zřetel. Odběratel není v prodlení s plněním peněžitého závazku, bude-li jeho reklamace oprávněná.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</w:t>
      </w:r>
      <w:bookmarkEnd w:id="1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Doložka o hospodárnosti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5.1. Pokud se změní technické, ekonomické nebo právní poměry platné v době uzavření této smlouvy natrvalo tak, že od některé ze smluvních stran již nelze očekávat dodržování smlouvy, upraví smluvní strany příslušné ustanovení smlouvy v souladu s novým stavem věci tak, aby bylo dosaženo ekonomického účelu do takové míry, jaká bude možná. Právo na odstoupení od smlouvy z tohoto důvodu nemůže být uplatněno.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VI</w:t>
      </w:r>
      <w:bookmarkEnd w:id="14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Sankční ujednání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uhradí dodavateli smluvní pokutu ve výši do 5.000 Kč: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přemístění měřícího zařízení dodavatele bez jeho souhlasu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opakované neumožnění přístupu k měřícímu zařízení (§ 2 odst. 2.4 PPD)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5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porušení prostředků proti neoprávněné manipulaci na měřícím zařízení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prodlení s platbami danými na základě daňového dokladu /fakturace/ sjednali dodavatel a odběratel v kupní smlouvě na dodávku tepla smluvní úrok z prodlení ve výši 0,05 % denně z dlužné částky, kdy prodlení počíná běžet prvním dnem po lhůtě splatnosti uvedeném v daňovém dokladu.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informovat odběratele o příčinách přerušení dodávek a délce trvání, dále je povinen sdělovat termíny plánovaných oprav nejpozději do 30 dnů před termínem jejich provádění. Přesný termín odstávky bude sdělen nejpozději 5 dnů předem. V případě porušení tohoto ustanovení uhradí dodavatel odběrateli veškeré vzniklé škody.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uhradí odběrateli smluvní pokutu ve výši 5000 Kč za nedodržení termínu pro výměnu měřícího zařízení na žádost odběratele za účelem jeho přezkoušení za podmínek § 78 odst. 2 zákona č. 458/2000 Sb., pokud se nárok na ni prokáže jako oprávněný.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Ujednáním o smluvní pokutě není dotčen nárok poškozené strany na náhradu škody, pokud není nárok na náhradu škody ze zákona vyloučen.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dále oprávněn přerušit dodávku tepla do odběrného místa odběratele v případech uvedených v §76 zákona 458/2000Sb.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1" w:val="left"/>
        </w:tabs>
        <w:bidi w:val="0"/>
        <w:spacing w:before="0" w:after="48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Nedošlo-li k vzájemnému zápočtu pohledávky podle ust. uvedeného v článku Zvláštní ujednání této smlouvy a je-li dodavatel v prodlení v případě vrácení přeplatku, zavazuje se zaplatit smluvní úrok z prodlení ve výši 0,05 % denně.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VII</w:t>
      </w:r>
      <w:bookmarkEnd w:id="17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</w:p>
    <w:p>
      <w:pPr>
        <w:pStyle w:val="Style6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11" w:val="left"/>
        </w:tabs>
        <w:bidi w:val="0"/>
        <w:spacing w:before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dodávky tepla se provádí postupně dle postupu stavebních prací při instalaci výměníkové stanice a přepojení na rozvody tepla a následně kolaudace. Dodávka bude zahájena až po kolaudaci instalace předávací stanice a napojení na rozvody tepla.</w:t>
      </w:r>
    </w:p>
    <w:p>
      <w:pPr>
        <w:pStyle w:val="Style6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1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se uzavírá na dobu neurčitou.</w:t>
      </w:r>
    </w:p>
    <w:p>
      <w:pPr>
        <w:pStyle w:val="Style6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11" w:val="left"/>
        </w:tabs>
        <w:bidi w:val="0"/>
        <w:spacing w:before="0" w:line="240" w:lineRule="auto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lze vypovědět v jednoroční výpovědní lhůtě, a to vždy k 31. 12. běžného roku. Písemná výpověď musí být prokazatelně doručena druhé smluvní straně. Platnost smlouvy v takovém případě končí 31. 12. daného roku.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noční útlum podle technických možností předávací stanice. Pověřenému a proškolenému pracovníkovi odběratele bude umožněn přístup k ovládání základních parametrů vytápění.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after="48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a pravidla vstupu dodavatele (pověřeného zaměstnance dodavatele) do objektu odběratele za účelem provádění odečtů, kontroly, opravy nebo běžné údržby měřících a tepelných zařízení budou prováděny PO - PÁ v období od 7.30 do 16.00 hod.,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SO,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NE, SV od 10.00 do 16.00 hod.. Pověřený zaměstnanec dodavatele se prokáže pracovním průkazem na recepci odběratele, kde mu bude předán klíč pro energomístnost - po ukončení činnosti příslušný klíč opět odevzdá na recepci. V případě havárie mimo toto období bude kontaktována havarijní služba na tel.: 00420 721 668 661.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nebo se stane jedno nebo více ustanovení této smlouvy neúčinným a pokud by ve smlouvě byla zjištěna neplatnost některého článku, není tím dotčena účinnost ostatních ustanovení.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zavazují, že se touto smlouvou budou řídit i případní právní nástupci smluvních stran, kteří převezmou veškerá práva a povinnosti vyplývající z této smlouvy.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zavazují nahradit neúčinná ustanovení dle možnosti stejnými nebo jinými, které budou mít podobný ekonomický a technický účinek.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a doplňky, jakož i zrušení této smlouvy a jejích příloh podléhá písemné formě. Toto platí také pro změny požadavku povinnosti písemné formy. Ústní ujednání přijata nebyla.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Sídlem příslušného soudu a místem plnění je Cheb.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33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 této smlouvě není stanoveno jinak, řídí se smluvní strany příslušnými ustanoveními zák. č. 89/2012 Sb.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plánovaní odstávky na opravy a údržby kotelny nebo výměníkové stanice, které by mohly omezit dodávku tepla delší než 24 hod., je dodavatel povinen odběratele v předstihu informovat a připravit zvláštní dohodu mezi dodavatelem a odběratelem pro tento případ. Při uzavření dohody pro konkrétní případ se neuvažuje, tak zvaná letní odstávka, (provádí se za provozu).</w:t>
      </w:r>
    </w:p>
    <w:p>
      <w:pPr>
        <w:pStyle w:val="Style6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1" w:val="left"/>
        </w:tabs>
        <w:bidi w:val="0"/>
        <w:spacing w:before="0" w:after="48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obou smluvních stran a účinnosti nabývá nejdříve dnem uveřejnění prostřednictvím registru smluv dle zákona č. 340/2015 Sb., o zvláštních podmínkách účinnosti některých smluv, uveřejňování těchto smluv a o registru smluv. Odběratel se zavazuje realizovat zveřejnění této smlouvy v předmětném registru v souladu s uvedeným zákonem.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82" w:right="1083" w:bottom="1484" w:left="1096" w:header="654" w:footer="105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Chebu dne </w:t>
      </w:r>
      <w:r>
        <w:rPr>
          <w:color w:val="363E99"/>
          <w:spacing w:val="0"/>
          <w:w w:val="100"/>
          <w:position w:val="0"/>
          <w:shd w:val="clear" w:color="auto" w:fill="auto"/>
          <w:lang w:val="en-US" w:eastAsia="en-US" w:bidi="en-US"/>
        </w:rPr>
        <w:t>Zc'lo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8" w:right="0" w:bottom="107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013" w:h="274" w:wrap="none" w:vAnchor="text" w:hAnchor="page" w:x="465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12"/>
        <w:keepNext w:val="0"/>
        <w:keepLines w:val="0"/>
        <w:framePr w:w="1037" w:h="274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dodavatel:</w:t>
      </w:r>
    </w:p>
    <w:p>
      <w:pPr>
        <w:widowControl w:val="0"/>
        <w:spacing w:line="360" w:lineRule="exact"/>
      </w:pPr>
      <w:r>
        <w:drawing>
          <wp:anchor distT="362585" distB="0" distL="3175" distR="0" simplePos="0" relativeHeight="62914690" behindDoc="1" locked="0" layoutInCell="1" allowOverlap="1">
            <wp:simplePos x="0" y="0"/>
            <wp:positionH relativeFrom="page">
              <wp:posOffset>708660</wp:posOffset>
            </wp:positionH>
            <wp:positionV relativeFrom="paragraph">
              <wp:posOffset>375285</wp:posOffset>
            </wp:positionV>
            <wp:extent cx="2639695" cy="16338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39695" cy="1633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247015</wp:posOffset>
            </wp:positionV>
            <wp:extent cx="3188335" cy="15176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188335" cy="1517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8" w:right="1085" w:bottom="1078" w:left="1114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19" w:right="3214" w:bottom="4557" w:left="1059" w:header="691" w:footer="4129" w:gutter="0"/>
          <w:cols w:space="720"/>
          <w:noEndnote/>
          <w:rtlGutter w:val="0"/>
          <w:docGrid w:linePitch="360"/>
        </w:sectPr>
      </w:pPr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Znázornění odběru:</w:t>
      </w:r>
      <w:bookmarkEnd w:id="20"/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right="0" w:bottom="455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2942" w:h="259" w:wrap="none" w:vAnchor="text" w:hAnchor="page" w:x="181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JZbúsob měření a fakturace teplo</w:t>
      </w:r>
    </w:p>
    <w:p>
      <w:pPr>
        <w:pStyle w:val="Style12"/>
        <w:keepNext w:val="0"/>
        <w:keepLines w:val="0"/>
        <w:framePr w:w="619" w:h="235" w:wrap="none" w:vAnchor="text" w:hAnchor="page" w:x="2466" w:y="3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2F3B47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vratná</w:t>
      </w:r>
    </w:p>
    <w:p>
      <w:pPr>
        <w:pStyle w:val="Style12"/>
        <w:keepNext w:val="0"/>
        <w:keepLines w:val="0"/>
        <w:framePr w:w="4680" w:h="490" w:wrap="none" w:vAnchor="text" w:hAnchor="page" w:x="1933" w:y="4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Průměrná teplota otopné vody v přiměni v létě: 70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</w:t>
      </w:r>
    </w:p>
    <w:p>
      <w:pPr>
        <w:pStyle w:val="Style12"/>
        <w:keepNext w:val="0"/>
        <w:keepLines w:val="0"/>
        <w:framePr w:w="4680" w:h="490" w:wrap="none" w:vAnchor="text" w:hAnchor="page" w:x="1933" w:y="4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Průměrná teplota otopné vody v příměru v zimě: 80°C</w:t>
      </w:r>
    </w:p>
    <w:p>
      <w:pPr>
        <w:pStyle w:val="Style12"/>
        <w:keepNext w:val="0"/>
        <w:keepLines w:val="0"/>
        <w:framePr w:w="3298" w:h="1046" w:wrap="none" w:vAnchor="text" w:hAnchor="page" w:x="7069" w:y="227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color w:val="EE6859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FAKTURACE Q1 Měřič tepla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Elektřinu dodává odběratel</w:t>
      </w:r>
    </w:p>
    <w:p>
      <w:pPr>
        <w:pStyle w:val="Style12"/>
        <w:keepNext w:val="0"/>
        <w:keepLines w:val="0"/>
        <w:framePr w:w="3298" w:h="1046" w:wrap="none" w:vAnchor="text" w:hAnchor="page" w:x="7069" w:y="22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Fakturace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GJ (kWh)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dle měření - cena paty objektu</w:t>
      </w:r>
    </w:p>
    <w:p>
      <w:pPr>
        <w:widowControl w:val="0"/>
        <w:spacing w:line="360" w:lineRule="exact"/>
      </w:pPr>
      <w:r>
        <w:drawing>
          <wp:anchor distT="152400" distB="585470" distL="15240" distR="0" simplePos="0" relativeHeight="62914692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165100</wp:posOffset>
            </wp:positionV>
            <wp:extent cx="3035935" cy="22186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035935" cy="2218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99160" distB="0" distL="0" distR="304800" simplePos="0" relativeHeight="62914693" behindDoc="1" locked="0" layoutInCell="1" allowOverlap="1">
            <wp:simplePos x="0" y="0"/>
            <wp:positionH relativeFrom="page">
              <wp:posOffset>4259580</wp:posOffset>
            </wp:positionH>
            <wp:positionV relativeFrom="paragraph">
              <wp:posOffset>1042670</wp:posOffset>
            </wp:positionV>
            <wp:extent cx="2018030" cy="134112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18030" cy="1341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right="1198" w:bottom="4557" w:left="105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right="0" w:bottom="455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Chebu dne </w:t>
      </w:r>
      <w:r>
        <w:rPr>
          <w:color w:val="363E99"/>
          <w:spacing w:val="0"/>
          <w:w w:val="100"/>
          <w:position w:val="0"/>
          <w:shd w:val="clear" w:color="auto" w:fill="auto"/>
          <w:lang w:val="cs-CZ" w:eastAsia="cs-CZ" w:bidi="cs-CZ"/>
        </w:rPr>
        <w:t>•'*»£-©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right="3214" w:bottom="4557" w:left="1136" w:header="0" w:footer="3" w:gutter="0"/>
          <w:cols w:num="2" w:space="720" w:equalWidth="0">
            <w:col w:w="2400" w:space="2410"/>
            <w:col w:w="274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 Chebu dne </w:t>
      </w:r>
      <w:r>
        <w:rPr>
          <w:color w:val="363E99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Y- </w:t>
      </w:r>
      <w:r>
        <w:rPr>
          <w:rFonts w:ascii="Times New Roman" w:eastAsia="Times New Roman" w:hAnsi="Times New Roman" w:cs="Times New Roman"/>
          <w:i/>
          <w:iCs/>
          <w:color w:val="363E99"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>'W'LV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right="0" w:bottom="111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706120</wp:posOffset>
            </wp:positionH>
            <wp:positionV relativeFrom="paragraph">
              <wp:posOffset>12700</wp:posOffset>
            </wp:positionV>
            <wp:extent cx="2633345" cy="1286510"/>
            <wp:wrapTight wrapText="right">
              <wp:wrapPolygon>
                <wp:start x="0" y="0"/>
                <wp:lineTo x="21600" y="0"/>
                <wp:lineTo x="21600" y="18734"/>
                <wp:lineTo x="16700" y="18734"/>
                <wp:lineTo x="16700" y="21600"/>
                <wp:lineTo x="9975" y="21600"/>
                <wp:lineTo x="9975" y="18734"/>
                <wp:lineTo x="9875" y="18734"/>
                <wp:lineTo x="9875" y="16533"/>
                <wp:lineTo x="5600" y="16533"/>
                <wp:lineTo x="5600" y="13922"/>
                <wp:lineTo x="0" y="13922"/>
                <wp:lineTo x="0" y="0"/>
              </wp:wrapPolygon>
            </wp:wrapTight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63334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795655</wp:posOffset>
                </wp:positionV>
                <wp:extent cx="1210310" cy="33210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0310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TEREA Cheb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56.800000000000004pt;margin-top:62.649999999999999pt;width:95.299999999999997pt;height:26.150000000000002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TEREA Cheb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792480</wp:posOffset>
                </wp:positionV>
                <wp:extent cx="2947670" cy="37211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767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Odběratel: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Galerie výtvarného umění v Chebu </w:t>
                            </w:r>
                            <w:r>
                              <w:rPr>
                                <w:color w:val="18C0E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&gt; 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3.pt;margin-top:62.399999999999999pt;width:232.09999999999999pt;height:29.30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Galerie výtvarného umění v Chebu </w:t>
                      </w:r>
                      <w:r>
                        <w:rPr>
                          <w:color w:val="18C0E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&gt; 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eb s.r.o.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33" w:lineRule="auto"/>
        <w:ind w:left="-20" w:right="0" w:firstLine="0"/>
        <w:jc w:val="center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TEREA Cheb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Steffen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Thomas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lna Martin Čem*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Zagermann</w:t>
      </w:r>
      <w:bookmarkEnd w:id="22"/>
    </w:p>
    <w:p>
      <w:pPr>
        <w:pStyle w:val="Style24"/>
        <w:keepNext w:val="0"/>
        <w:keepLines w:val="0"/>
        <w:widowControl w:val="0"/>
        <w:shd w:val="clear" w:color="auto" w:fill="auto"/>
        <w:tabs>
          <w:tab w:pos="2470" w:val="left"/>
        </w:tabs>
        <w:bidi w:val="0"/>
        <w:spacing w:before="0" w:after="0" w:line="269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right="5840" w:bottom="1119" w:left="1059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JEDNATEL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Omezení a přerušení dodávky tepla a TV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tepelné energie má právo přerušit nebo omezit dodávku tepelné energie v nezbytném rozsahu a na nezbytně nutnou dobu v těchto případech: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bezprostředním ohrožení zdraví nebo majetku osob a při likvidaci těchto stavů,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stavech nouze nebo činnostech bezprostředně zamezujících jejich vzniku,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provádění plánovaných stavebních úprav, oprav, údržbových a revizních prací a při připojování nového odběrného místa, pokud jsou oznámeny nejméně 15 dní předem,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provádění nezbytných provozních manipulací na dobu 4 hodin, e) při havarijním přerušení či omezení nezbytných provozních dodávek teplonosné látky nebo paliv a energií poskytovaných jinými dodavateli tepelné energie,</w:t>
      </w:r>
    </w:p>
    <w:p>
      <w:pPr>
        <w:pStyle w:val="Style2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nedodržení povinností odběratele podle § 77 odst. 4, zákona č. 458/2000 Sb.,</w:t>
      </w:r>
    </w:p>
    <w:p>
      <w:pPr>
        <w:pStyle w:val="Style2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vzniku a odstraňování havárií a poruch na zařízeních pro rozvod a výrobu tepelné energie na dobu nezbytně nutnou,</w:t>
      </w:r>
    </w:p>
    <w:p>
      <w:pPr>
        <w:pStyle w:val="Style2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jestliže odběratel tepelné energie používá zařízení, která ohrožují život, zdraví nebo majetek osob nebo ovlivňují kvalitu dodávek v neprospěch dalších odběratelů tepelné energie,</w:t>
      </w:r>
    </w:p>
    <w:p>
      <w:pPr>
        <w:pStyle w:val="Style2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67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neoprávněném odběru.</w:t>
      </w:r>
    </w:p>
    <w:p>
      <w:pPr>
        <w:pStyle w:val="Style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5" w:val="left"/>
        </w:tabs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Měření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0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oprávněn a povinen dodávku tepelné energie měřit, vyhodnocovat a účtovat podle skutečných parametrů teplonosné látky a údajů vlastního měřícího zařízení, které na svůj náklad osadí, zapojí, udržuje a pravidelně ověřuje správnost měření v souladu se zvláštním právním předpisem (zákon o metrologii č. 505/1990 Sb., v platném znění). Odběratel tepelné energie má právo na ověření správnosti odečtu naměřených hodnot dle zákona o metrologii.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0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Vznikla-li pochybnost o správnosti údajů měření nebo byla-li zjištěna závada na měřicím zařízení, je dodavatel tepelné energie povinen na základě písemné žádosti zákazníka do 30 dnů ověřit správnost měření a v případě zjištěné závady měřicí zařízení vyměnit. Zákazník je povinen poskytnout k výměně měřicího zařízení nezbytnou součinnost. Je-li zjištěna závada měřicího zařízení, hradí náklady spojené s jeho přezkoušením a výměnou dodavatel tepelné energie. Není-li závada zjištěna, hradí tyto náklady zákazník.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0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Jakýkoli zásah do měřicího zařízení bez souhlasu dodavatele tepelné energie se zakazuje.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4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tepelné energie má právo měřicí zařízení osadit a zajistit proti neoprávněné manipulaci a provádět pravidelné odečty naměřených hodnot, odběratel tepelné energie je povinen to umožnit. Zjistí-li odběratel tepelné energie porušení měřicího zařízení nebo jeho zajištění, je povinen to neprodleně oznámit dodavateli tepelné energie.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0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poruchy měřidla se stanovuje množství spotřebovaného tepla dle průměrných denních teplot naměřených meteorologickým ústavem, tzv. Gradenovou metodou denostupně.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0" w:val="left"/>
        </w:tabs>
        <w:bidi w:val="0"/>
        <w:spacing w:before="0" w:after="10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Měření množství tepla pro dodávku TV a dodané množství TV provádí dodavatel na vstupu do zařízení pro ohřev teplé vody svým fakturačním měřidlem a fakturačním vodoměrem dodavatele pitné vody. V případě poruch fakturačního měřidla tepla, spotřeba tepla pro ohřev TV, bude zjištěna a fakturována výpočtem, jako průměr spotřeby tepla na ohřev vody, za předcházející tří měsíce.</w:t>
      </w:r>
    </w:p>
    <w:p>
      <w:pPr>
        <w:pStyle w:val="Style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Účtování a placení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ve smlouvě dohodnuto jinak, je zúčtovacím obdobím dodávky tepla kalendářní měsíc.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za teplo bude prováděna ve dvou dokladech. První splátka na základě zálohového dokladu ve výši 80% předpokládaného odběru (vztaženo ke skutečné spotřebě daného měsíce roku předcházejícího) do 5. dne daného měsíce, se splatností 10 dnů. Doúčtování bude provedeno do 10. dne následujícího měsíce a to na základě skutečné spotřeby. V prvním roce odběru bude záloha stanovena ve výši 80% předpokládané plánované spotřeby.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Odběratel se zavazuje k úhradě finanční částky, dané daňovým dokladem /fakturou/ na č. účtu, uvedeného na dokladu, který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odešle po provedeném odečtu spotřeby tepla k vytápění a jiné spotřebě za daný měsíc.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ve smlouvě dohodnuto jinak, je zúčtovacím obdobím dodávky teplé vody kalendářní rok.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za teplou vodu bude prováděna měsíčně zálohově, na základě předpokládaného odběru (vztaženo k1/12 skutečné spotřeby předcházejícího roku) do 5. dne daného měsíce se splatností 10 dnů. Doúčtování bude provedeno do 14 dnů po skončení kalendářního roku a to na základě právní legislativy (vyhl. č. 405/2015 Sb. o způsobu dělení nákladů za dodávku tepelné energie při společném měření odebraného množství tepelné energie).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hradí spotřebu tepla k ohřevu teplé vody finanční částkou, uvedenou na daňovém dokladu (faktuře) bankovním převodem, na číslo bankovního účtu a pod stanoveným variabilním symbolem, uvedených na dokladu, který dodavatel odešle po provedeném odečtu spotřeby tepla k ohřevu teplé vody.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Reklamovanou fakturu dodavatel přezkoumá a výsledek oznámí odběrateli do 30 dnů ode dne, kdy reklamaci obdržel. V případě oprávněné reklamace, způsob vyrovnání rozdílu již zaplacené a po reklamaci stanovené částky, bude písemně dohodnut v rámci reklamačního řízení.</w:t>
      </w:r>
    </w:p>
    <w:p>
      <w:pPr>
        <w:pStyle w:val="Style2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65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není povinen poskytnout standardní platební podmínky odběratelům, kteří mají nesplacené závazky vůči dodavateli.</w:t>
      </w:r>
    </w:p>
    <w:p>
      <w:pPr>
        <w:pStyle w:val="Style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Technická ujednání</w:t>
      </w:r>
    </w:p>
    <w:p>
      <w:pPr>
        <w:pStyle w:val="Style2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6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povinen:</w:t>
      </w:r>
    </w:p>
    <w:p>
      <w:pPr>
        <w:pStyle w:val="Style2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informovat odběratele o poruchách na svém zařízení, jež mohou mít vliv na předmět plnění a o předpokládaném čase jejich odstranění.</w:t>
      </w:r>
    </w:p>
    <w:p>
      <w:pPr>
        <w:pStyle w:val="Style2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nejméně 14 kalendářních dnů předem oznámit dobu přerušení dodávek TV pro nezbytnou údržbu zařízení. Přerušení dodávky nesmí být delší než 14 kalendářních dnů.</w:t>
      </w:r>
    </w:p>
    <w:p>
      <w:pPr>
        <w:pStyle w:val="Style2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 je povinen:</w:t>
      </w:r>
    </w:p>
    <w:p>
      <w:pPr>
        <w:pStyle w:val="Style2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informovat dodavatele o poruchách na svém odběrném tepelném zařízení, jež mohou mít vliv na zařízení dodavatele a o způsobu a čase jejich odstranění.</w:t>
      </w:r>
    </w:p>
    <w:p>
      <w:pPr>
        <w:pStyle w:val="Style2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6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informovat dodavatele o změnách na svém odběrném tepelném zařízení, jež mohou mít vliv na zařízení a dodávky dodavatele a tyto změny provést odbornou firmou.</w:t>
      </w:r>
    </w:p>
    <w:p>
      <w:pPr>
        <w:pStyle w:val="Style2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Závěrečná ustanovení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6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účely styku s dodavatelem odběratel jmenovitě určuje pověřeného zástupce. Pověřený zástupce je v případě nedosažitelnosti povinen zajistit za sebe náhradu.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Podmínkou pro uzavření smlouvy na dodávku tepla pro vytápění a k dalšímu využití a TV, je dohoda ve všech bodech smluvního ujednání.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převodu majetku, ke kterému se vztahuje odběrné místo, a který souvisí s předmětem smlouvy na dodávku tepla a TV na třetí osobu, je původní vlastník jako odběratel povinen upozornit v kupní smlouvě kupujícího na smluvní závazek o odběru a dodávce tepla pro vytápění a k jinému využití a TV tedy, že trvá závazek odběru a tepla a TV a je třeba uzavřít s nynějším dodavatelem tepla a TV buď novou smlouvu na dodávku tepla a TV nebo dodatek, ve kterém se zněmí titul odběratele.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dojde k zániku smlouvy před ukončením účtovacího období, bude konečné vyúčtování skutečné dodávky provedeno do 3 měsíců po skončení zúčtovacího období.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Odchylky od Podmínek připojení a dodávek tepla TEREA Cheb s.r.o., sjednají obě smluvní strany ve zvláštním ujednání kupní smlouvy na dodávku tepla a TV.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Tyto podmínky připojení a dodávek tepla TEREA Cheb s.r.o. č. 01/2019 nabývají účinnosti dnem vydání.</w:t>
      </w:r>
    </w:p>
    <w:p>
      <w:pPr>
        <w:pStyle w:val="Style2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4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oprávněn tyto podmínky jednostranně měnit pouze a výhradně v závislosti na změnách obecně závazných právních předpisů a souvisejících výkladů.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Den platnosti a účinnosti vydání: 01.11.2019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TEREA Cheb s.r.o.</w:t>
      </w:r>
    </w:p>
    <w:sectPr>
      <w:footnotePr>
        <w:pos w:val="pageBottom"/>
        <w:numFmt w:val="decimal"/>
        <w:numRestart w:val="continuous"/>
      </w:footnotePr>
      <w:pgSz w:w="11900" w:h="16840"/>
      <w:pgMar w:top="1146" w:right="193" w:bottom="1146" w:left="236" w:header="718" w:footer="718" w:gutter="0"/>
      <w:cols w:num="2" w:space="269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9"/>
      <w:numFmt w:val="decimal"/>
      <w:lvlText w:val="%1."/>
    </w:lvl>
    <w:lvl w:ilvl="1">
      <w:start w:val="4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5"/>
      <w:numFmt w:val="decimal"/>
      <w:lvlText w:val="§ %1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6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Nadpis #3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18C0E3"/>
      <w:sz w:val="19"/>
      <w:szCs w:val="19"/>
      <w:u w:val="none"/>
    </w:rPr>
  </w:style>
  <w:style w:type="character" w:customStyle="1" w:styleId="CharStyle25">
    <w:name w:val="Základní text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before="360" w:after="5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5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after="240"/>
      <w:ind w:left="680" w:hanging="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8C0E3"/>
      <w:sz w:val="19"/>
      <w:szCs w:val="19"/>
      <w:u w:val="none"/>
    </w:rPr>
  </w:style>
  <w:style w:type="paragraph" w:customStyle="1" w:styleId="Style24">
    <w:name w:val="Základní text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