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D847" w14:textId="77777777" w:rsidR="00645141" w:rsidRDefault="00215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DODATEK Č. 2</w:t>
      </w:r>
    </w:p>
    <w:p w14:paraId="68EDCAC5" w14:textId="77777777" w:rsidR="00645141" w:rsidRDefault="002159D3">
      <w:pPr>
        <w:spacing w:before="60" w:after="60"/>
        <w:ind w:left="284" w:hanging="284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KE SMLOUVĚ O POSKYTNUTÍ SLUŽBY č. HSAA-14829-10/2019</w:t>
      </w:r>
    </w:p>
    <w:p w14:paraId="0588E380" w14:textId="77777777" w:rsidR="00645141" w:rsidRDefault="00645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C699B" w14:textId="77777777" w:rsidR="00645141" w:rsidRDefault="002159D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uzavřené </w:t>
      </w:r>
      <w:r>
        <w:rPr>
          <w:rFonts w:ascii="Times New Roman" w:hAnsi="Times New Roman" w:cs="Times New Roman"/>
          <w:bCs/>
          <w:sz w:val="24"/>
          <w:szCs w:val="24"/>
        </w:rPr>
        <w:t>dle § 1746 zákona č. 89/1989 Sb., občanský zákoník, ve znění pozdějších předpisů („</w:t>
      </w:r>
      <w:r>
        <w:rPr>
          <w:rFonts w:ascii="Times New Roman" w:hAnsi="Times New Roman" w:cs="Times New Roman"/>
          <w:b/>
          <w:bCs/>
          <w:sz w:val="24"/>
          <w:szCs w:val="24"/>
        </w:rPr>
        <w:t>občanský zákoník</w:t>
      </w:r>
      <w:r>
        <w:rPr>
          <w:rFonts w:ascii="Times New Roman" w:hAnsi="Times New Roman" w:cs="Times New Roman"/>
          <w:bCs/>
          <w:sz w:val="24"/>
          <w:szCs w:val="24"/>
        </w:rPr>
        <w:t>“)</w:t>
      </w:r>
    </w:p>
    <w:p w14:paraId="78BC63C7" w14:textId="77777777" w:rsidR="00645141" w:rsidRDefault="002159D3">
      <w:pPr>
        <w:jc w:val="center"/>
      </w:pPr>
      <w:r>
        <w:rPr>
          <w:rFonts w:ascii="Times New Roman" w:hAnsi="Times New Roman" w:cs="Times New Roman"/>
          <w:sz w:val="24"/>
          <w:szCs w:val="24"/>
        </w:rPr>
        <w:t>(„</w:t>
      </w:r>
      <w:r>
        <w:rPr>
          <w:rFonts w:ascii="Times New Roman" w:hAnsi="Times New Roman" w:cs="Times New Roman"/>
          <w:b/>
          <w:sz w:val="24"/>
          <w:szCs w:val="24"/>
        </w:rPr>
        <w:t>Dodatek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6E4CCEE3" w14:textId="77777777" w:rsidR="00645141" w:rsidRDefault="00645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9D593" w14:textId="77777777" w:rsidR="00645141" w:rsidRDefault="0021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</w:t>
      </w:r>
    </w:p>
    <w:p w14:paraId="75732CA9" w14:textId="77777777" w:rsidR="00645141" w:rsidRDefault="002159D3">
      <w:pPr>
        <w:widowControl w:val="0"/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zh-CN" w:bidi="en-US"/>
        </w:rPr>
        <w:t xml:space="preserve">Česká republika – Hasičský </w:t>
      </w:r>
      <w:r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zh-CN" w:bidi="en-US"/>
        </w:rPr>
        <w:t xml:space="preserve">záchranný sbor hlavního města Prahy </w:t>
      </w:r>
    </w:p>
    <w:p w14:paraId="5E853B71" w14:textId="77777777" w:rsidR="00645141" w:rsidRDefault="002159D3">
      <w:pPr>
        <w:widowControl w:val="0"/>
        <w:tabs>
          <w:tab w:val="left" w:pos="1773"/>
        </w:tabs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 xml:space="preserve">Sídlo: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>Sokolská 62, 121 24 Praha 2</w:t>
      </w:r>
    </w:p>
    <w:p w14:paraId="38463531" w14:textId="77777777" w:rsidR="00645141" w:rsidRDefault="002159D3">
      <w:pPr>
        <w:widowControl w:val="0"/>
        <w:tabs>
          <w:tab w:val="left" w:pos="177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IČO: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>70886288</w:t>
      </w:r>
    </w:p>
    <w:p w14:paraId="78737C27" w14:textId="77777777" w:rsidR="00645141" w:rsidRDefault="002159D3">
      <w:pPr>
        <w:widowControl w:val="0"/>
        <w:tabs>
          <w:tab w:val="left" w:pos="1773"/>
        </w:tabs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 xml:space="preserve">DIČ: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>není plátcem DPH</w:t>
      </w:r>
    </w:p>
    <w:p w14:paraId="016EDED4" w14:textId="77777777" w:rsidR="00645141" w:rsidRDefault="002159D3">
      <w:pPr>
        <w:widowControl w:val="0"/>
        <w:tabs>
          <w:tab w:val="left" w:pos="1773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Bankovní spojení: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>Česká národní banka, Na Příkopě 864/28, Praha 1</w:t>
      </w:r>
    </w:p>
    <w:p w14:paraId="15672BD5" w14:textId="77777777" w:rsidR="00645141" w:rsidRDefault="002159D3">
      <w:pPr>
        <w:widowControl w:val="0"/>
        <w:tabs>
          <w:tab w:val="left" w:pos="1773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Číslo účtu: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>8107881/0710</w:t>
      </w:r>
    </w:p>
    <w:p w14:paraId="3209426D" w14:textId="77777777" w:rsidR="00645141" w:rsidRDefault="002159D3">
      <w:pPr>
        <w:widowControl w:val="0"/>
        <w:tabs>
          <w:tab w:val="left" w:pos="2340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Datová schránka: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bookmarkStart w:id="0" w:name="RANGE!A1%25252525252525252525253AE92"/>
      <w:bookmarkEnd w:id="0"/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 xml:space="preserve">jm9aa6j </w:t>
      </w:r>
    </w:p>
    <w:p w14:paraId="28462FD8" w14:textId="77777777" w:rsidR="00645141" w:rsidRDefault="002159D3">
      <w:pPr>
        <w:widowControl w:val="0"/>
        <w:tabs>
          <w:tab w:val="left" w:pos="1773"/>
        </w:tabs>
        <w:spacing w:after="0" w:line="240" w:lineRule="auto"/>
        <w:ind w:left="2891" w:hanging="2891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Zastoupená: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 xml:space="preserve">plk. Ing. Luďkem Prudilem, ředitelem Hasičského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>záchranného sboru hlavního města Prahy</w:t>
      </w:r>
    </w:p>
    <w:p w14:paraId="27A6444E" w14:textId="73D73F59" w:rsidR="00645141" w:rsidRDefault="002159D3">
      <w:pPr>
        <w:widowControl w:val="0"/>
        <w:tabs>
          <w:tab w:val="left" w:pos="1773"/>
        </w:tabs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Kontaktní osoba pro ekonomické záležitosti: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 xml:space="preserve">plk. Ing. Vít Valenta, náměstek pro ekonomiku, </w:t>
      </w:r>
    </w:p>
    <w:p w14:paraId="30972377" w14:textId="39C95C3A" w:rsidR="00645141" w:rsidRDefault="002159D3">
      <w:pPr>
        <w:widowControl w:val="0"/>
        <w:tabs>
          <w:tab w:val="left" w:pos="1773"/>
        </w:tabs>
        <w:spacing w:after="0" w:line="240" w:lineRule="auto"/>
        <w:ind w:left="4950" w:hanging="4950"/>
        <w:jc w:val="both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Kontaktní oso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ba pro technické záležitosti:</w:t>
      </w:r>
      <w:r>
        <w:rPr>
          <w:rFonts w:eastAsia="Segoe UI" w:cs="Tahoma"/>
          <w:color w:val="000000"/>
          <w:kern w:val="3"/>
          <w:szCs w:val="24"/>
          <w:lang w:val="en-US" w:eastAsia="zh-CN" w:bidi="en-US"/>
        </w:rPr>
        <w:tab/>
      </w:r>
      <w:r>
        <w:rPr>
          <w:rFonts w:eastAsia="Segoe UI" w:cs="Tahoma"/>
          <w:color w:val="000000"/>
          <w:kern w:val="3"/>
          <w:szCs w:val="24"/>
          <w:lang w:val="en-US"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mjr. Ing. Pavel Kvarda,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</w:p>
    <w:p w14:paraId="31385420" w14:textId="77777777" w:rsidR="00645141" w:rsidRDefault="002159D3">
      <w:pPr>
        <w:widowControl w:val="0"/>
        <w:tabs>
          <w:tab w:val="left" w:pos="1773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 xml:space="preserve"> (dále jen „objednatel“)</w:t>
      </w:r>
    </w:p>
    <w:p w14:paraId="5900212F" w14:textId="77777777" w:rsidR="00645141" w:rsidRDefault="00645141">
      <w:pPr>
        <w:widowControl w:val="0"/>
        <w:tabs>
          <w:tab w:val="left" w:pos="177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</w:pPr>
    </w:p>
    <w:p w14:paraId="7505EA31" w14:textId="77777777" w:rsidR="00645141" w:rsidRDefault="002159D3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a</w:t>
      </w:r>
    </w:p>
    <w:p w14:paraId="7EF64159" w14:textId="77777777" w:rsidR="00645141" w:rsidRDefault="00645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</w:pPr>
    </w:p>
    <w:p w14:paraId="4835F4BC" w14:textId="77777777" w:rsidR="00645141" w:rsidRDefault="002159D3">
      <w:pPr>
        <w:widowControl w:val="0"/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zh-CN" w:bidi="en-US"/>
        </w:rPr>
        <w:t>DYNATECH s.r.o.</w:t>
      </w:r>
    </w:p>
    <w:p w14:paraId="58FA9E72" w14:textId="77777777" w:rsidR="00645141" w:rsidRDefault="002159D3">
      <w:pPr>
        <w:widowControl w:val="0"/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Sídlo: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>Londýnské náměstí 853/1, Brno 639 00</w:t>
      </w:r>
    </w:p>
    <w:p w14:paraId="219D6690" w14:textId="77777777" w:rsidR="00645141" w:rsidRDefault="002159D3">
      <w:pPr>
        <w:widowControl w:val="0"/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Kontaktní adresa: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 xml:space="preserve">Londýnské náměstí 853/1, Brno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639 00</w:t>
      </w:r>
    </w:p>
    <w:p w14:paraId="2E74726A" w14:textId="77777777" w:rsidR="00645141" w:rsidRDefault="002159D3">
      <w:pPr>
        <w:widowControl w:val="0"/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IČO: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>25501003</w:t>
      </w:r>
    </w:p>
    <w:p w14:paraId="445606A7" w14:textId="77777777" w:rsidR="00645141" w:rsidRDefault="002159D3">
      <w:pPr>
        <w:widowControl w:val="0"/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DIČ: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>CZ25501003</w:t>
      </w:r>
    </w:p>
    <w:p w14:paraId="334A0CB6" w14:textId="77777777" w:rsidR="00645141" w:rsidRDefault="002159D3">
      <w:pPr>
        <w:widowControl w:val="0"/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 xml:space="preserve">Jejímž jménem jedná: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>Mgr. Miloslav Kvapil – jednatel společnosti</w:t>
      </w:r>
    </w:p>
    <w:p w14:paraId="3AD66601" w14:textId="77777777" w:rsidR="00645141" w:rsidRDefault="002159D3">
      <w:pPr>
        <w:widowControl w:val="0"/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Bankovní spojení: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3"/>
          <w:szCs w:val="23"/>
          <w:lang w:eastAsia="zh-CN" w:bidi="en-US"/>
        </w:rPr>
        <w:t>KB Brno</w:t>
      </w:r>
    </w:p>
    <w:p w14:paraId="4E13FD91" w14:textId="77777777" w:rsidR="00645141" w:rsidRDefault="002159D3">
      <w:pPr>
        <w:widowControl w:val="0"/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Číslo účtu: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>19-9090420287/0100</w:t>
      </w:r>
    </w:p>
    <w:p w14:paraId="6FF38F45" w14:textId="77777777" w:rsidR="00645141" w:rsidRDefault="002159D3">
      <w:pPr>
        <w:widowControl w:val="0"/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 xml:space="preserve">Kontaktní osoba: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>Mgr. Miloslav Kvapil</w:t>
      </w:r>
    </w:p>
    <w:p w14:paraId="6DCC43F9" w14:textId="2E8289B6" w:rsidR="00645141" w:rsidRDefault="002159D3">
      <w:pPr>
        <w:widowControl w:val="0"/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 xml:space="preserve">E-mail: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</w:p>
    <w:p w14:paraId="505895AD" w14:textId="60E9D7FE" w:rsidR="00645141" w:rsidRDefault="002159D3">
      <w:pPr>
        <w:widowControl w:val="0"/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Telefon: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</w:r>
    </w:p>
    <w:p w14:paraId="7172EF2D" w14:textId="77777777" w:rsidR="00645141" w:rsidRDefault="002159D3">
      <w:pPr>
        <w:widowControl w:val="0"/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zapsaná v rejstříku vedeném v Brně, oddíl C, vložka 28196</w:t>
      </w:r>
    </w:p>
    <w:p w14:paraId="614E8FAD" w14:textId="77777777" w:rsidR="00645141" w:rsidRDefault="002159D3">
      <w:pPr>
        <w:shd w:val="clear" w:color="auto" w:fill="FFFFFF"/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(dále jen „poskytovatel“)</w:t>
      </w:r>
    </w:p>
    <w:p w14:paraId="1DEAC348" w14:textId="77777777" w:rsidR="00645141" w:rsidRDefault="0064514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52560E" w14:textId="77777777" w:rsidR="00645141" w:rsidRDefault="002159D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(společně jako „Smluvní strany“)</w:t>
      </w:r>
    </w:p>
    <w:p w14:paraId="3BBC3A11" w14:textId="77777777" w:rsidR="00645141" w:rsidRDefault="0064514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0C75FE" w14:textId="0610130E" w:rsidR="00362D96" w:rsidRDefault="00362D96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4D552F00" w14:textId="77777777" w:rsidR="00645141" w:rsidRDefault="0064514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F8F23C" w14:textId="77777777" w:rsidR="00645141" w:rsidRDefault="002159D3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Článek 1</w:t>
      </w:r>
    </w:p>
    <w:p w14:paraId="0471BC78" w14:textId="77777777" w:rsidR="00645141" w:rsidRDefault="002159D3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Úvodní ustanovení</w:t>
      </w:r>
    </w:p>
    <w:p w14:paraId="1A5804D0" w14:textId="77777777" w:rsidR="00645141" w:rsidRDefault="00645141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DBD6266" w14:textId="77777777" w:rsidR="00645141" w:rsidRDefault="002159D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Smluvní strany mezi sebou uzavřely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 účinností od 28. 11. 2020 smlouvu o poskytnutí služby č. HSAA – 14829/2019, jejímž předmětem je poskytování služeb v rámci digitalizace výkonu řídící kontroly (dále jen „Smlouva“).</w:t>
      </w:r>
    </w:p>
    <w:p w14:paraId="2574BDCB" w14:textId="77777777" w:rsidR="00645141" w:rsidRDefault="002159D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Smluvní strany konstatují, že za účelem změny doby plnění se dohodly shod</w:t>
      </w:r>
      <w:r>
        <w:rPr>
          <w:rFonts w:ascii="Times New Roman" w:hAnsi="Times New Roman" w:cs="Times New Roman"/>
          <w:sz w:val="24"/>
          <w:szCs w:val="24"/>
        </w:rPr>
        <w:t>ně na znění tohoto Dodatku ke Smlouvě, jak je uvedeno níže.</w:t>
      </w:r>
    </w:p>
    <w:p w14:paraId="0AA1ED51" w14:textId="77777777" w:rsidR="00645141" w:rsidRDefault="00645141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19E45E" w14:textId="77777777" w:rsidR="00645141" w:rsidRDefault="002159D3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Článek 3</w:t>
      </w:r>
    </w:p>
    <w:p w14:paraId="595A9681" w14:textId="77777777" w:rsidR="00645141" w:rsidRDefault="002159D3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Místo a doba plnění</w:t>
      </w:r>
    </w:p>
    <w:p w14:paraId="034CC117" w14:textId="77777777" w:rsidR="00645141" w:rsidRDefault="00645141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982F5A" w14:textId="77777777" w:rsidR="00645141" w:rsidRDefault="002159D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4217114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Znění čl. II odst. 4 Smlouvy se nahrazuje následujícím zněním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135D58AE" w14:textId="77777777" w:rsidR="00645141" w:rsidRDefault="00645141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1FD28A" w14:textId="77777777" w:rsidR="00645141" w:rsidRDefault="002159D3">
      <w:pPr>
        <w:widowControl w:val="0"/>
        <w:spacing w:after="240" w:line="240" w:lineRule="auto"/>
        <w:ind w:left="426"/>
        <w:jc w:val="both"/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„4. Doba udržitelnosti služby je stanovena na dobu 48 měsíců.</w:t>
      </w:r>
      <w:r>
        <w:rPr>
          <w:rFonts w:ascii="Times New Roman" w:eastAsia="Times New Roman" w:hAnsi="Times New Roman" w:cs="Times New Roman"/>
          <w:color w:val="00000A"/>
          <w:sz w:val="24"/>
        </w:rPr>
        <w:t>“</w:t>
      </w:r>
    </w:p>
    <w:p w14:paraId="02DCF558" w14:textId="77777777" w:rsidR="00645141" w:rsidRDefault="0064514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BCD229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45141" w14:paraId="2205A899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5AA4" w14:textId="77777777" w:rsidR="00645141" w:rsidRDefault="002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Objednatel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3E24" w14:textId="77777777" w:rsidR="00645141" w:rsidRDefault="002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Poskytovatel</w:t>
            </w:r>
          </w:p>
        </w:tc>
      </w:tr>
      <w:tr w:rsidR="00645141" w14:paraId="75243F8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ADED" w14:textId="53684AA8" w:rsidR="00645141" w:rsidRDefault="002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Praze dne: </w:t>
            </w:r>
            <w:r w:rsidR="00362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21. 4. 2021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4DB6" w14:textId="0F89BDA7" w:rsidR="00645141" w:rsidRDefault="002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 Praze dne: </w:t>
            </w:r>
            <w:r w:rsidR="00362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21. 4. 2021</w:t>
            </w:r>
          </w:p>
        </w:tc>
      </w:tr>
      <w:tr w:rsidR="00645141" w14:paraId="1032771F" w14:textId="7777777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9E3A" w14:textId="77777777" w:rsidR="00645141" w:rsidRDefault="0064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10CBBF" w14:textId="77777777" w:rsidR="00645141" w:rsidRDefault="0064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652C76" w14:textId="77777777" w:rsidR="00645141" w:rsidRDefault="002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8F0C" w14:textId="77777777" w:rsidR="00645141" w:rsidRDefault="0064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3E79394" w14:textId="77777777" w:rsidR="00645141" w:rsidRDefault="0064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1574E6" w14:textId="77777777" w:rsidR="00645141" w:rsidRDefault="002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……………………………………………..</w:t>
            </w:r>
          </w:p>
        </w:tc>
      </w:tr>
      <w:tr w:rsidR="00645141" w14:paraId="5E3682EC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9263" w14:textId="77777777" w:rsidR="00645141" w:rsidRDefault="002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plk. Ing. Luděk Prudil</w:t>
            </w:r>
          </w:p>
          <w:p w14:paraId="45CCCDA9" w14:textId="77777777" w:rsidR="00645141" w:rsidRDefault="002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ředitel HZS hl. m. Prahy</w:t>
            </w:r>
          </w:p>
          <w:p w14:paraId="5CFAA33C" w14:textId="77777777" w:rsidR="00645141" w:rsidRDefault="002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vrchní rada 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22A5" w14:textId="77777777" w:rsidR="00645141" w:rsidRDefault="002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Mgr. Miloslav Kvapil</w:t>
            </w:r>
          </w:p>
          <w:p w14:paraId="5B1ED25B" w14:textId="77777777" w:rsidR="00645141" w:rsidRDefault="002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DYNATECH s.r.o. </w:t>
            </w:r>
          </w:p>
          <w:p w14:paraId="4878D2A9" w14:textId="77777777" w:rsidR="00645141" w:rsidRDefault="002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jednatel společnosti</w:t>
            </w:r>
          </w:p>
        </w:tc>
      </w:tr>
    </w:tbl>
    <w:p w14:paraId="6C49764B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4BFDED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594F7A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44AE81E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B796D8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22D567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61B0B3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C4AC86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1B874B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221068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DC162F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4BEFF3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41262D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627193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ABFD87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29F7E3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17A31F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D9A638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CA7089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4C0878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EDAF20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6415B3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A13AEA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5DD00A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02EFD7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DF75FB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BDD8D9" w14:textId="77777777" w:rsidR="00645141" w:rsidRDefault="0021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PŘÍLOHA DODATKU </w:t>
      </w:r>
    </w:p>
    <w:p w14:paraId="773505A6" w14:textId="77777777" w:rsidR="00645141" w:rsidRDefault="0064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26A538" w14:textId="77777777" w:rsidR="00645141" w:rsidRDefault="0021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Aktualizované znění smlouvy o poskytnutí služby č. HSAA – 14829-10/2019.</w:t>
      </w:r>
    </w:p>
    <w:p w14:paraId="0D9D2F30" w14:textId="77777777" w:rsidR="00645141" w:rsidRDefault="00645141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6227EFBF" w14:textId="77777777" w:rsidR="00645141" w:rsidRDefault="002159D3">
      <w:pPr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>Článek I.</w:t>
      </w:r>
    </w:p>
    <w:p w14:paraId="31254BC7" w14:textId="77777777" w:rsidR="00645141" w:rsidRDefault="002159D3">
      <w:pPr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Smluvní strany</w:t>
      </w:r>
    </w:p>
    <w:p w14:paraId="7ED8DF84" w14:textId="77777777" w:rsidR="00645141" w:rsidRDefault="00645141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103BD11" w14:textId="77777777" w:rsidR="00645141" w:rsidRDefault="002159D3">
      <w:pPr>
        <w:ind w:left="567" w:hanging="567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Česká republika – Hasičský záchranný sbor hlavního města Prahy </w:t>
      </w:r>
    </w:p>
    <w:p w14:paraId="67792797" w14:textId="77777777" w:rsidR="00645141" w:rsidRDefault="002159D3">
      <w:pPr>
        <w:tabs>
          <w:tab w:val="left" w:pos="1773"/>
        </w:tabs>
        <w:spacing w:after="0"/>
        <w:ind w:left="567" w:hanging="567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Sídlo: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Sokolská 62, 121 24 Praha 2</w:t>
      </w:r>
    </w:p>
    <w:p w14:paraId="2DF0B3B5" w14:textId="77777777" w:rsidR="00645141" w:rsidRDefault="002159D3">
      <w:pPr>
        <w:tabs>
          <w:tab w:val="left" w:pos="1773"/>
        </w:tabs>
        <w:spacing w:after="0"/>
        <w:ind w:left="567" w:hanging="567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IČO: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70886288</w:t>
      </w:r>
    </w:p>
    <w:p w14:paraId="062AF728" w14:textId="77777777" w:rsidR="00645141" w:rsidRDefault="002159D3">
      <w:pPr>
        <w:tabs>
          <w:tab w:val="left" w:pos="1773"/>
        </w:tabs>
        <w:spacing w:after="0"/>
        <w:ind w:left="567" w:hanging="567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DIČ: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>není plátcem DPH</w:t>
      </w:r>
    </w:p>
    <w:p w14:paraId="39586930" w14:textId="77777777" w:rsidR="00645141" w:rsidRDefault="002159D3">
      <w:pPr>
        <w:tabs>
          <w:tab w:val="left" w:pos="1773"/>
        </w:tabs>
        <w:spacing w:after="0"/>
        <w:ind w:left="567" w:hanging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Bankovní spojení: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Česká národní banka, Na Příkopě 864/28, Praha 1</w:t>
      </w:r>
    </w:p>
    <w:p w14:paraId="0FC81DFF" w14:textId="77777777" w:rsidR="00645141" w:rsidRDefault="002159D3">
      <w:pPr>
        <w:tabs>
          <w:tab w:val="left" w:pos="1773"/>
        </w:tabs>
        <w:spacing w:after="0"/>
        <w:ind w:left="567" w:hanging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Číslo účtu: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8107881/0710</w:t>
      </w:r>
    </w:p>
    <w:p w14:paraId="0B338506" w14:textId="77777777" w:rsidR="00645141" w:rsidRDefault="002159D3">
      <w:pPr>
        <w:tabs>
          <w:tab w:val="left" w:pos="2340"/>
        </w:tabs>
        <w:spacing w:after="0"/>
        <w:ind w:left="567" w:hanging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Datová schránka: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Style w:val="Siln"/>
          <w:rFonts w:ascii="Times New Roman" w:eastAsia="Times New Roman" w:hAnsi="Times New Roman" w:cs="Times New Roman"/>
          <w:b w:val="0"/>
          <w:bCs w:val="0"/>
          <w:color w:val="00000A"/>
          <w:sz w:val="24"/>
        </w:rPr>
        <w:t>jm9aa6j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282F24C" w14:textId="77777777" w:rsidR="00645141" w:rsidRDefault="002159D3">
      <w:pPr>
        <w:tabs>
          <w:tab w:val="left" w:pos="1773"/>
        </w:tabs>
        <w:spacing w:after="0"/>
        <w:ind w:left="3540" w:hanging="3540"/>
      </w:pPr>
      <w:r>
        <w:rPr>
          <w:rFonts w:ascii="Times New Roman" w:eastAsia="Times New Roman" w:hAnsi="Times New Roman" w:cs="Times New Roman"/>
          <w:color w:val="00000A"/>
          <w:sz w:val="24"/>
        </w:rPr>
        <w:t>Zastoupená: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brig. gen. Ing. Romanem Hlinovským, ředitelem Hasičského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záchranného sboru hlavního města </w:t>
      </w:r>
      <w:r>
        <w:rPr>
          <w:rFonts w:ascii="Times New Roman" w:eastAsia="Times New Roman" w:hAnsi="Times New Roman" w:cs="Times New Roman"/>
          <w:color w:val="00000A"/>
          <w:sz w:val="24"/>
        </w:rPr>
        <w:t>Prahy</w:t>
      </w:r>
    </w:p>
    <w:p w14:paraId="04963384" w14:textId="323D6624" w:rsidR="00645141" w:rsidRDefault="002159D3">
      <w:pPr>
        <w:widowControl w:val="0"/>
        <w:tabs>
          <w:tab w:val="left" w:pos="1773"/>
        </w:tabs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Kontaktní osoba pro ekonomické záležitosti: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ab/>
        <w:t xml:space="preserve">plk. Ing. Vít Valenta, náměstek pro ekonomiku, </w:t>
      </w:r>
    </w:p>
    <w:p w14:paraId="114303A2" w14:textId="78844EF0" w:rsidR="00645141" w:rsidRDefault="002159D3">
      <w:pPr>
        <w:tabs>
          <w:tab w:val="left" w:pos="1773"/>
        </w:tabs>
        <w:spacing w:after="0"/>
        <w:ind w:left="4950" w:hanging="4950"/>
        <w:jc w:val="both"/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Kontaktní osoba pro technické záležitosti:</w:t>
      </w:r>
      <w:r>
        <w:rPr>
          <w:rFonts w:eastAsia="Segoe UI" w:cs="Tahoma"/>
          <w:color w:val="000000"/>
          <w:kern w:val="3"/>
          <w:szCs w:val="24"/>
          <w:lang w:val="en-US" w:eastAsia="zh-CN" w:bidi="en-US"/>
        </w:rPr>
        <w:tab/>
      </w:r>
      <w:r>
        <w:rPr>
          <w:rFonts w:eastAsia="Segoe UI" w:cs="Tahoma"/>
          <w:color w:val="000000"/>
          <w:kern w:val="3"/>
          <w:szCs w:val="24"/>
          <w:lang w:val="en-US" w:eastAsia="zh-CN"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en-US"/>
        </w:rPr>
        <w:t>mjr. Ing. Pavel Kvarda,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</w:p>
    <w:p w14:paraId="52EF0590" w14:textId="77777777" w:rsidR="00645141" w:rsidRDefault="002159D3">
      <w:pPr>
        <w:tabs>
          <w:tab w:val="left" w:pos="1773"/>
        </w:tabs>
        <w:spacing w:after="0"/>
        <w:ind w:left="567" w:hanging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(dále jen „objednatel“)</w:t>
      </w:r>
    </w:p>
    <w:p w14:paraId="36B5497E" w14:textId="77777777" w:rsidR="00645141" w:rsidRDefault="00645141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63D13AFE" w14:textId="77777777" w:rsidR="00645141" w:rsidRDefault="002159D3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</w:t>
      </w:r>
    </w:p>
    <w:p w14:paraId="6CD10267" w14:textId="77777777" w:rsidR="00645141" w:rsidRDefault="00645141">
      <w:pPr>
        <w:spacing w:after="0"/>
        <w:jc w:val="both"/>
      </w:pPr>
    </w:p>
    <w:p w14:paraId="29562B58" w14:textId="77777777" w:rsidR="00645141" w:rsidRDefault="002159D3">
      <w:pPr>
        <w:ind w:left="567" w:hanging="567"/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</w:rPr>
        <w:t>DYNATECH s.r.o.</w:t>
      </w:r>
    </w:p>
    <w:p w14:paraId="69C9A79B" w14:textId="77777777" w:rsidR="00645141" w:rsidRDefault="002159D3">
      <w:pPr>
        <w:spacing w:after="0"/>
        <w:ind w:left="567" w:hanging="567"/>
      </w:pPr>
      <w:r>
        <w:rPr>
          <w:rFonts w:ascii="Times New Roman" w:eastAsia="Times New Roman" w:hAnsi="Times New Roman" w:cs="Times New Roman"/>
          <w:color w:val="00000A"/>
          <w:sz w:val="24"/>
        </w:rPr>
        <w:t>Sídlo: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Londýnské náměstí 853/1, Brno 639 00</w:t>
      </w:r>
    </w:p>
    <w:p w14:paraId="782FE0F0" w14:textId="77777777" w:rsidR="00645141" w:rsidRDefault="002159D3">
      <w:pPr>
        <w:spacing w:after="0"/>
        <w:ind w:left="567" w:hanging="567"/>
      </w:pPr>
      <w:r>
        <w:rPr>
          <w:rFonts w:ascii="Times New Roman" w:eastAsia="Times New Roman" w:hAnsi="Times New Roman" w:cs="Times New Roman"/>
          <w:color w:val="00000A"/>
          <w:sz w:val="24"/>
        </w:rPr>
        <w:t>Kontaktní adresa: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Londýnské náměstí 853/1, Brno 639 00</w:t>
      </w:r>
    </w:p>
    <w:p w14:paraId="5FD54C26" w14:textId="77777777" w:rsidR="00645141" w:rsidRDefault="002159D3">
      <w:pPr>
        <w:spacing w:after="0"/>
        <w:ind w:left="567" w:hanging="567"/>
      </w:pPr>
      <w:r>
        <w:rPr>
          <w:rFonts w:ascii="Times New Roman" w:eastAsia="Times New Roman" w:hAnsi="Times New Roman" w:cs="Times New Roman"/>
          <w:color w:val="00000A"/>
          <w:sz w:val="24"/>
        </w:rPr>
        <w:t>IČO: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25501003</w:t>
      </w:r>
    </w:p>
    <w:p w14:paraId="14D73C7A" w14:textId="77777777" w:rsidR="00645141" w:rsidRDefault="002159D3">
      <w:pPr>
        <w:spacing w:after="0"/>
        <w:ind w:left="567" w:hanging="567"/>
      </w:pPr>
      <w:r>
        <w:rPr>
          <w:rFonts w:ascii="Times New Roman" w:eastAsia="Times New Roman" w:hAnsi="Times New Roman" w:cs="Times New Roman"/>
          <w:color w:val="00000A"/>
          <w:sz w:val="24"/>
        </w:rPr>
        <w:t>DIČ: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CZ25501003</w:t>
      </w:r>
    </w:p>
    <w:p w14:paraId="2037D2AA" w14:textId="77777777" w:rsidR="00645141" w:rsidRDefault="002159D3">
      <w:pPr>
        <w:spacing w:after="0"/>
        <w:ind w:left="567" w:hanging="567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Jejímž jménem jedná: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Mgr. </w:t>
      </w:r>
      <w:r>
        <w:rPr>
          <w:rFonts w:ascii="Times New Roman" w:eastAsia="Times New Roman" w:hAnsi="Times New Roman" w:cs="Times New Roman"/>
          <w:color w:val="00000A"/>
          <w:sz w:val="24"/>
        </w:rPr>
        <w:t>Miloslav Kvapil – jednatel společnosti</w:t>
      </w:r>
    </w:p>
    <w:p w14:paraId="18997C08" w14:textId="77777777" w:rsidR="00645141" w:rsidRDefault="002159D3">
      <w:pPr>
        <w:spacing w:after="0"/>
        <w:ind w:left="567" w:hanging="567"/>
      </w:pPr>
      <w:r>
        <w:rPr>
          <w:rFonts w:ascii="Times New Roman" w:eastAsia="Times New Roman" w:hAnsi="Times New Roman" w:cs="Times New Roman"/>
          <w:color w:val="00000A"/>
          <w:sz w:val="24"/>
        </w:rPr>
        <w:t>Bankovní spojení: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KB Brno</w:t>
      </w:r>
    </w:p>
    <w:p w14:paraId="53380231" w14:textId="77777777" w:rsidR="00645141" w:rsidRDefault="002159D3">
      <w:pPr>
        <w:spacing w:after="0"/>
        <w:ind w:left="567" w:hanging="567"/>
      </w:pPr>
      <w:r>
        <w:rPr>
          <w:rFonts w:ascii="Times New Roman" w:eastAsia="Times New Roman" w:hAnsi="Times New Roman" w:cs="Times New Roman"/>
          <w:color w:val="00000A"/>
          <w:sz w:val="24"/>
        </w:rPr>
        <w:t>Číslo účtu: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19-9090420287/0100</w:t>
      </w:r>
    </w:p>
    <w:p w14:paraId="26B8EFFD" w14:textId="77777777" w:rsidR="00645141" w:rsidRDefault="002159D3">
      <w:pPr>
        <w:spacing w:after="0"/>
        <w:ind w:left="567" w:hanging="567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Kontaktní osoba: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Mgr. Miloslav Kvapil</w:t>
      </w:r>
    </w:p>
    <w:p w14:paraId="1FDB7CC0" w14:textId="06D5418E" w:rsidR="00645141" w:rsidRDefault="002159D3">
      <w:pPr>
        <w:spacing w:after="0"/>
        <w:ind w:left="567" w:hanging="567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E-mail: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</w:p>
    <w:p w14:paraId="424DA24C" w14:textId="3E409B82" w:rsidR="00645141" w:rsidRDefault="002159D3">
      <w:pPr>
        <w:spacing w:after="0"/>
        <w:ind w:left="567" w:hanging="567"/>
      </w:pPr>
      <w:r>
        <w:rPr>
          <w:rFonts w:ascii="Times New Roman" w:eastAsia="Times New Roman" w:hAnsi="Times New Roman" w:cs="Times New Roman"/>
          <w:color w:val="00000A"/>
          <w:sz w:val="24"/>
        </w:rPr>
        <w:t>Telefon: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</w:p>
    <w:p w14:paraId="37582191" w14:textId="77777777" w:rsidR="00645141" w:rsidRDefault="002159D3">
      <w:pPr>
        <w:spacing w:after="0"/>
        <w:ind w:left="567" w:hanging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zapsaná v rejstříku vedeném v Brně, oddíl C, vložka 28</w:t>
      </w:r>
      <w:r>
        <w:rPr>
          <w:rFonts w:ascii="Times New Roman" w:eastAsia="Times New Roman" w:hAnsi="Times New Roman" w:cs="Times New Roman"/>
          <w:color w:val="00000A"/>
          <w:sz w:val="24"/>
        </w:rPr>
        <w:t>196</w:t>
      </w:r>
    </w:p>
    <w:p w14:paraId="4B0C76FD" w14:textId="77777777" w:rsidR="00645141" w:rsidRDefault="002159D3">
      <w:pPr>
        <w:spacing w:after="0"/>
        <w:ind w:left="567" w:hanging="567"/>
      </w:pPr>
      <w:r>
        <w:rPr>
          <w:rFonts w:ascii="Times New Roman" w:eastAsia="Times New Roman" w:hAnsi="Times New Roman" w:cs="Times New Roman"/>
          <w:color w:val="00000A"/>
          <w:sz w:val="24"/>
        </w:rPr>
        <w:t>(dále jen „poskytovatel“)</w:t>
      </w:r>
    </w:p>
    <w:p w14:paraId="383DB468" w14:textId="4F9AA989" w:rsidR="00362D96" w:rsidRDefault="00362D96">
      <w:pPr>
        <w:suppressAutoHyphens w:val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br w:type="page"/>
      </w:r>
    </w:p>
    <w:p w14:paraId="323ED439" w14:textId="77777777" w:rsidR="00645141" w:rsidRDefault="002159D3">
      <w:pPr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Článek II.</w:t>
      </w:r>
    </w:p>
    <w:p w14:paraId="2F604B66" w14:textId="77777777" w:rsidR="00645141" w:rsidRDefault="002159D3">
      <w:pPr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Předmět smlouvy</w:t>
      </w:r>
    </w:p>
    <w:p w14:paraId="1C3966D7" w14:textId="77777777" w:rsidR="00645141" w:rsidRDefault="002159D3">
      <w:pPr>
        <w:widowControl w:val="0"/>
        <w:numPr>
          <w:ilvl w:val="0"/>
          <w:numId w:val="3"/>
        </w:numPr>
        <w:spacing w:after="240" w:line="240" w:lineRule="auto"/>
        <w:ind w:left="284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Předmětem této smlouvy je závazek poskytovatele poskytnout službu formou hostovaného užívacího práva k softwaru Croseus provozovaném na hardwaru HZS hl. m. Prahy a poskytnutí dalších souvisejících s</w:t>
      </w:r>
      <w:r>
        <w:rPr>
          <w:rFonts w:ascii="Times New Roman" w:eastAsia="Times New Roman" w:hAnsi="Times New Roman" w:cs="Times New Roman"/>
          <w:color w:val="00000A"/>
          <w:sz w:val="24"/>
        </w:rPr>
        <w:t>lužeb v rámci digitalizace výkonu řídící kontroly (dále jen „služba“) dle technické specifikace uvedené v příloze č. 1, jež je nedílnou součástí této smlouvy. Touto smlouvou se poskytovatel zavazuje poskytnout službu za podmínek v ní sjednaných ve prospěch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objednatele.</w:t>
      </w:r>
    </w:p>
    <w:p w14:paraId="612B1753" w14:textId="77777777" w:rsidR="00645141" w:rsidRDefault="002159D3">
      <w:pPr>
        <w:widowControl w:val="0"/>
        <w:numPr>
          <w:ilvl w:val="0"/>
          <w:numId w:val="3"/>
        </w:numPr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Podkladem pro uzavření této smlouvy je nabídka poskytovatele ze dne 23.11.2019, která byla na základě zadávacího řízení zveřejněného pod číslem jednacím HSAA-14829/2019 a systémovým číslem v Národním elektronickém nástroji (NEN): </w:t>
      </w:r>
      <w:r>
        <w:rPr>
          <w:rFonts w:ascii="Times New Roman" w:eastAsia="Times New Roman" w:hAnsi="Times New Roman" w:cs="Times New Roman"/>
          <w:color w:val="00000A"/>
          <w:sz w:val="24"/>
        </w:rPr>
        <w:t>N006/19/V00032878 vybrána jako nejvhodnější.</w:t>
      </w:r>
    </w:p>
    <w:p w14:paraId="4D2AC775" w14:textId="77777777" w:rsidR="00645141" w:rsidRDefault="00645141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7D32BA74" w14:textId="77777777" w:rsidR="00645141" w:rsidRDefault="00645141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1E27E403" w14:textId="77777777" w:rsidR="00645141" w:rsidRDefault="002159D3">
      <w:pPr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>Článek III.</w:t>
      </w:r>
    </w:p>
    <w:p w14:paraId="7B6301E8" w14:textId="77777777" w:rsidR="00645141" w:rsidRDefault="002159D3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Místo a doba plnění</w:t>
      </w:r>
    </w:p>
    <w:p w14:paraId="204D11AD" w14:textId="77777777" w:rsidR="00645141" w:rsidRDefault="002159D3">
      <w:pPr>
        <w:widowControl w:val="0"/>
        <w:numPr>
          <w:ilvl w:val="0"/>
          <w:numId w:val="4"/>
        </w:numPr>
        <w:tabs>
          <w:tab w:val="left" w:pos="315"/>
          <w:tab w:val="left" w:pos="720"/>
        </w:tabs>
        <w:spacing w:after="24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  <w:t>Místem plnění je sídlo objednatele – hasičská stanice č. 1, Sokolská 62, 121 24 Praha 2.</w:t>
      </w:r>
    </w:p>
    <w:p w14:paraId="47ABDF02" w14:textId="77777777" w:rsidR="00645141" w:rsidRDefault="002159D3">
      <w:pPr>
        <w:widowControl w:val="0"/>
        <w:numPr>
          <w:ilvl w:val="0"/>
          <w:numId w:val="4"/>
        </w:numPr>
        <w:tabs>
          <w:tab w:val="left" w:pos="315"/>
          <w:tab w:val="left" w:pos="720"/>
        </w:tabs>
        <w:spacing w:after="24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  <w:t xml:space="preserve">Plnění předmětu smlouvy bude zahájeno neprodleně po nabytí účinnosti smlouvy. </w:t>
      </w:r>
      <w:r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  <w:t>Termíny dokončení jednotlivých klíčových aktivit dle technické specifikace uvedené v příloze č. 1 smlouvy budou:</w:t>
      </w:r>
    </w:p>
    <w:p w14:paraId="27971C4E" w14:textId="77777777" w:rsidR="00645141" w:rsidRDefault="002159D3">
      <w:pPr>
        <w:spacing w:after="240"/>
        <w:ind w:left="720"/>
        <w:jc w:val="both"/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  <w:t xml:space="preserve">a) služba uvedená v bodě č. 1 přílohy (jednorázové poskytnutí služby) bude dokončena a předána do užívání nejpozději do 16. 12. 2019. Součástí </w:t>
      </w:r>
      <w:r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  <w:t>implementační fáze bude příprava rutinního provozu.</w:t>
      </w:r>
    </w:p>
    <w:p w14:paraId="6B25A83C" w14:textId="77777777" w:rsidR="00645141" w:rsidRDefault="002159D3">
      <w:pPr>
        <w:spacing w:after="240"/>
        <w:ind w:left="720"/>
        <w:jc w:val="both"/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  <w:t>b) služba uvedená v bodě č. 2 přílohy (SW řešení s požadovanými kontrolními mechanismy) bude dokončena a předána do užívání nejpozději do 31. 3. 2020. Součástí této fáze bude předání do rutinního provozu.</w:t>
      </w:r>
    </w:p>
    <w:p w14:paraId="1EB40614" w14:textId="77777777" w:rsidR="00645141" w:rsidRDefault="002159D3">
      <w:pPr>
        <w:widowControl w:val="0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  <w:t xml:space="preserve">Po protokolárním předání služby do rutinního (produktivního) provozu budou služby dle bodu č. 2, 3 a 4 přílohy č. 1 poskytovány za úplatu dle čl. IV této smlouvy po celou dobu udržitelnosti služby. </w:t>
      </w:r>
    </w:p>
    <w:p w14:paraId="7B59DF8A" w14:textId="77777777" w:rsidR="00645141" w:rsidRDefault="002159D3">
      <w:pPr>
        <w:widowControl w:val="0"/>
        <w:numPr>
          <w:ilvl w:val="0"/>
          <w:numId w:val="5"/>
        </w:numPr>
        <w:spacing w:after="24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iCs/>
          <w:color w:val="00000A"/>
          <w:sz w:val="24"/>
        </w:rPr>
        <w:t>Doba udržitelnosti služby je stanovena na dobu 48 měsíců</w:t>
      </w:r>
      <w:r>
        <w:rPr>
          <w:rFonts w:ascii="Times New Roman" w:eastAsia="Times New Roman" w:hAnsi="Times New Roman" w:cs="Times New Roman"/>
          <w:iCs/>
          <w:color w:val="00000A"/>
          <w:sz w:val="24"/>
        </w:rPr>
        <w:t>.“</w:t>
      </w:r>
      <w:r>
        <w:rPr>
          <w:rFonts w:ascii="Times New Roman" w:eastAsia="Times New Roman" w:hAnsi="Times New Roman" w:cs="Times New Roman"/>
          <w:bCs/>
          <w:iCs/>
          <w:color w:val="00000A"/>
          <w:sz w:val="24"/>
          <w:shd w:val="clear" w:color="auto" w:fill="FFFFFF"/>
        </w:rPr>
        <w:t xml:space="preserve"> </w:t>
      </w:r>
    </w:p>
    <w:p w14:paraId="41E1ACC4" w14:textId="77777777" w:rsidR="00645141" w:rsidRDefault="00645141">
      <w:pPr>
        <w:pageBreakBefore/>
        <w:rPr>
          <w:rFonts w:ascii="Times New Roman" w:eastAsia="Times New Roman" w:hAnsi="Times New Roman" w:cs="Times New Roman"/>
          <w:color w:val="00000A"/>
          <w:sz w:val="24"/>
        </w:rPr>
      </w:pPr>
    </w:p>
    <w:p w14:paraId="09ADA9F5" w14:textId="77777777" w:rsidR="00645141" w:rsidRDefault="00645141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665DCBCE" w14:textId="77777777" w:rsidR="00645141" w:rsidRDefault="002159D3">
      <w:pPr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>Článek IV.</w:t>
      </w:r>
    </w:p>
    <w:p w14:paraId="376099B1" w14:textId="77777777" w:rsidR="00645141" w:rsidRDefault="002159D3">
      <w:pPr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Cena za poskytnutí služby a ostatní podmínky smlouvy</w:t>
      </w:r>
    </w:p>
    <w:p w14:paraId="0FF4FECF" w14:textId="77777777" w:rsidR="00645141" w:rsidRDefault="002159D3">
      <w:pPr>
        <w:widowControl w:val="0"/>
        <w:numPr>
          <w:ilvl w:val="0"/>
          <w:numId w:val="6"/>
        </w:numPr>
        <w:tabs>
          <w:tab w:val="left" w:pos="375"/>
        </w:tabs>
        <w:spacing w:after="240" w:line="240" w:lineRule="auto"/>
        <w:ind w:left="426" w:hanging="720"/>
        <w:jc w:val="both"/>
      </w:pPr>
      <w:r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  <w:t xml:space="preserve">Smluvní strany se dohodly, že celková cena za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poskytnutí </w:t>
      </w:r>
      <w:r>
        <w:rPr>
          <w:rFonts w:ascii="Times New Roman" w:eastAsia="Times New Roman" w:hAnsi="Times New Roman" w:cs="Times New Roman"/>
          <w:color w:val="00000A"/>
          <w:sz w:val="24"/>
        </w:rPr>
        <w:t>služby je</w:t>
      </w:r>
      <w:r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  <w:t xml:space="preserve"> stanovena ve výši 730.000,- Kč bez DPH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(slovy: sedm set třicet tisíc korun českých) jako cena nejvýše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>přípustná, tj. 883.300,- Kč s DPH (slovy: osm set osmdesát tři tisíc tři sta korun českých), při sazbě DPH ve výši 21 %, přičemž sazba DPH bude v případě její změny stanovena v souladu s platnými právními předpisy.  DPH 21 % činí částku 153.300,-  Kč.</w:t>
      </w:r>
    </w:p>
    <w:p w14:paraId="44E00711" w14:textId="77777777" w:rsidR="00645141" w:rsidRDefault="002159D3">
      <w:pPr>
        <w:widowControl w:val="0"/>
        <w:numPr>
          <w:ilvl w:val="0"/>
          <w:numId w:val="6"/>
        </w:numPr>
        <w:tabs>
          <w:tab w:val="left" w:pos="345"/>
          <w:tab w:val="left" w:pos="720"/>
        </w:tabs>
        <w:spacing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Posk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ytovatel se zavazuje poskytnout objednateli jednorázové poskytnutí služby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dle bodu 1 přílohy č. 1 ve výši 200.000,- Kč bez DPH (slovy: dvě stě tisíc korun českých), tj. 242.000,- Kč s DPH (slovy: dvě stě čtyřicet dva tisíc tři sta šedesát korun českých)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a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objednatel se zavazuje k zaplacení ceny za její provedení.</w:t>
      </w:r>
    </w:p>
    <w:p w14:paraId="617BF609" w14:textId="77777777" w:rsidR="00645141" w:rsidRDefault="002159D3">
      <w:pPr>
        <w:widowControl w:val="0"/>
        <w:numPr>
          <w:ilvl w:val="0"/>
          <w:numId w:val="6"/>
        </w:numPr>
        <w:tabs>
          <w:tab w:val="left" w:pos="345"/>
          <w:tab w:val="left" w:pos="720"/>
        </w:tabs>
        <w:spacing w:before="240"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Poskytovatel se zavazuje poskytnout objednateli užívací právo k softwarovému řešení kontrolních mechanismů dle bodu 2 přílohy č. 1 a provozní podporu řešení dle bodu 3 přílohy č. 1 v celkové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výši 22.083,- Kč bez DPH (slovy: dvacet dva tisíc osmdesát tři korun českých), tj. 26.720 Kč, - s DPH (slovy: dvacet šest tisíc sedm set dvacet korun českých) za kalendářní měsíc a objednatel se zavazuje k zaplacení ceny za její provedení.</w:t>
      </w:r>
    </w:p>
    <w:p w14:paraId="6B9A8F75" w14:textId="77777777" w:rsidR="00645141" w:rsidRDefault="002159D3">
      <w:pPr>
        <w:widowControl w:val="0"/>
        <w:numPr>
          <w:ilvl w:val="0"/>
          <w:numId w:val="6"/>
        </w:numPr>
        <w:tabs>
          <w:tab w:val="left" w:pos="345"/>
          <w:tab w:val="left" w:pos="720"/>
        </w:tabs>
        <w:spacing w:before="240"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Poskytovatel se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zavazuje poskytnout objednateli služby nad rámec provozní podpory řešení dle bodu 4 přílohy č. 1 ve výši 1.500,- Kč bez DPH/hod. (slovy: jeden tisíc pět set korun českých), tj. 1.815,- Kč s DPH/hod. (slovy: jeden tisíc osm set patnáct korun českých) za kaž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dou započatou hodinu a objednatel se zavazuje k zaplacení ceny za její provedení.</w:t>
      </w:r>
    </w:p>
    <w:p w14:paraId="237E73B1" w14:textId="77777777" w:rsidR="00645141" w:rsidRDefault="002159D3">
      <w:pPr>
        <w:widowControl w:val="0"/>
        <w:numPr>
          <w:ilvl w:val="0"/>
          <w:numId w:val="6"/>
        </w:numPr>
        <w:shd w:val="clear" w:color="auto" w:fill="FFFFFF"/>
        <w:spacing w:before="120"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Cena bude zaplacena na základě faktury vystavené poskytovatelem po poskytnutí služby poskytovatelem. Faktura (daňový doklad) vystavená poskytovatelem musí obsahovat náležitos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ti dle zákona o DPH, § 435 občanského zákoníku, evidenční číslo smlouvy odběratele,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</w:rPr>
        <w:t>systémové číslo z Národního elektronického nástroje (NEN)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a dále vyčíslení zvlášť ceny bez DPH, zvlášť  DPH a celkovou cenu včetně DPH. </w:t>
      </w:r>
    </w:p>
    <w:p w14:paraId="45290E43" w14:textId="77777777" w:rsidR="00645141" w:rsidRDefault="002159D3">
      <w:pPr>
        <w:widowControl w:val="0"/>
        <w:numPr>
          <w:ilvl w:val="0"/>
          <w:numId w:val="6"/>
        </w:numPr>
        <w:shd w:val="clear" w:color="auto" w:fill="FFFFFF"/>
        <w:spacing w:before="120"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Smluvní strany se dohodly na lhůtě </w:t>
      </w:r>
      <w:r>
        <w:rPr>
          <w:rFonts w:ascii="Times New Roman" w:eastAsia="Times New Roman" w:hAnsi="Times New Roman" w:cs="Times New Roman"/>
          <w:color w:val="00000A"/>
          <w:sz w:val="24"/>
        </w:rPr>
        <w:t>splatnosti faktury v délce třiceti (30) kalendářních dnů ode dne doručení faktury objednateli na kontaktní adresu objednatele. V případě pochybností se má za to, že dnem doručení se rozumí třetí den ode dne odeslání faktury.</w:t>
      </w:r>
    </w:p>
    <w:p w14:paraId="53150CAF" w14:textId="77777777" w:rsidR="00645141" w:rsidRDefault="002159D3">
      <w:pPr>
        <w:widowControl w:val="0"/>
        <w:numPr>
          <w:ilvl w:val="0"/>
          <w:numId w:val="6"/>
        </w:numPr>
        <w:shd w:val="clear" w:color="auto" w:fill="FFFFFF"/>
        <w:spacing w:before="120"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Cena se považuje za uhrazenou o</w:t>
      </w:r>
      <w:r>
        <w:rPr>
          <w:rFonts w:ascii="Times New Roman" w:eastAsia="Times New Roman" w:hAnsi="Times New Roman" w:cs="Times New Roman"/>
          <w:color w:val="00000A"/>
          <w:sz w:val="24"/>
        </w:rPr>
        <w:t>kamžikem odepsání fakturované ceny z bankovního účtu objednatele. Pokud objednatel uplatní nárok na odstranění vady ve lhůtě splatnosti faktury, není objednatel povinen až do odstranění vady uhradit cenu služby. Okamžikem odstranění vady začne běžet nová l</w:t>
      </w:r>
      <w:r>
        <w:rPr>
          <w:rFonts w:ascii="Times New Roman" w:eastAsia="Times New Roman" w:hAnsi="Times New Roman" w:cs="Times New Roman"/>
          <w:color w:val="00000A"/>
          <w:sz w:val="24"/>
        </w:rPr>
        <w:t>hůta splatnosti faktury v délce třiceti (30) kalendářních dnů.</w:t>
      </w:r>
    </w:p>
    <w:p w14:paraId="69948870" w14:textId="77777777" w:rsidR="00645141" w:rsidRDefault="002159D3">
      <w:pPr>
        <w:widowControl w:val="0"/>
        <w:numPr>
          <w:ilvl w:val="0"/>
          <w:numId w:val="6"/>
        </w:numPr>
        <w:shd w:val="clear" w:color="auto" w:fill="FFFFFF"/>
        <w:spacing w:before="120"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Objednatel nebude hradit poskytovateli jakékoliv zálohy na poskytované služby nebo její části.</w:t>
      </w:r>
    </w:p>
    <w:p w14:paraId="02431BFD" w14:textId="77777777" w:rsidR="00645141" w:rsidRDefault="002159D3">
      <w:pPr>
        <w:widowControl w:val="0"/>
        <w:numPr>
          <w:ilvl w:val="0"/>
          <w:numId w:val="6"/>
        </w:numPr>
        <w:shd w:val="clear" w:color="auto" w:fill="FFFFFF"/>
        <w:spacing w:before="120"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Objednatel je oprávněn před uplynutím lhůty splatnosti faktury vrátit bez zaplacení fakturu, která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neobsahuje náležitosti stanovené touto smlouvou nebo budou-li tyto údaje uvedeny chybně. Poskytovatel je povinen podle povahy nesprávnosti fakturu opravit nebo nově vyhotovit. V takovém případě není objednatel v prodlení se zaplacením ceny. Okamžikem doru</w:t>
      </w:r>
      <w:r>
        <w:rPr>
          <w:rFonts w:ascii="Times New Roman" w:eastAsia="Times New Roman" w:hAnsi="Times New Roman" w:cs="Times New Roman"/>
          <w:color w:val="00000A"/>
          <w:sz w:val="24"/>
        </w:rPr>
        <w:t>čení náležitě doplněné či opravené faktury začne běžet nová lhůta splatnosti faktury v délce třiceti (30) kalendářních dnů.</w:t>
      </w:r>
    </w:p>
    <w:p w14:paraId="63957094" w14:textId="77777777" w:rsidR="00645141" w:rsidRDefault="002159D3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Faktura předložená v prosinci musí být doručena objednateli nejpozději do 15. dne tohoto měsíce. Při doručení po tomto termínu nelze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fakturu proplatit v daném roce a splatnost bude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stanovena na 90 kalendářních dnů. V tomto případě se objednateli nedostává do prodlení a není povinen hradit smluvní ani zákonný úrok z prodlení ani strpět jiné právní dopady této skutečnosti. Poskytovatel b</w:t>
      </w:r>
      <w:r>
        <w:rPr>
          <w:rFonts w:ascii="Times New Roman" w:eastAsia="Times New Roman" w:hAnsi="Times New Roman" w:cs="Times New Roman"/>
          <w:color w:val="00000A"/>
          <w:sz w:val="24"/>
        </w:rPr>
        <w:t>ere na vědomí, že ze strany objednatele nelze proplatit faktury v období od druhé poloviny prosince do konce první poloviny března.</w:t>
      </w:r>
    </w:p>
    <w:p w14:paraId="770CDC65" w14:textId="77777777" w:rsidR="00645141" w:rsidRDefault="00645141">
      <w:pPr>
        <w:shd w:val="clear" w:color="auto" w:fill="FFFFFF"/>
        <w:tabs>
          <w:tab w:val="left" w:pos="567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436FFE7C" w14:textId="77777777" w:rsidR="00645141" w:rsidRDefault="002159D3">
      <w:pPr>
        <w:pStyle w:val="Bezmezer1"/>
        <w:jc w:val="center"/>
      </w:pPr>
      <w:r>
        <w:rPr>
          <w:rFonts w:eastAsia="Times New Roman"/>
          <w:sz w:val="24"/>
          <w:szCs w:val="24"/>
          <w:lang w:eastAsia="en-US" w:bidi="en-US"/>
        </w:rPr>
        <w:t>Článek V.</w:t>
      </w:r>
    </w:p>
    <w:p w14:paraId="3A82B530" w14:textId="77777777" w:rsidR="00645141" w:rsidRDefault="002159D3">
      <w:pPr>
        <w:pStyle w:val="Bezmezer1"/>
        <w:jc w:val="center"/>
      </w:pPr>
      <w:r>
        <w:rPr>
          <w:rFonts w:eastAsia="Times New Roman"/>
          <w:b/>
          <w:bCs/>
          <w:sz w:val="24"/>
          <w:szCs w:val="24"/>
          <w:lang w:eastAsia="en-US" w:bidi="en-US"/>
        </w:rPr>
        <w:t>Práva a povinnosti objednatele</w:t>
      </w:r>
    </w:p>
    <w:p w14:paraId="436DB99F" w14:textId="77777777" w:rsidR="00645141" w:rsidRDefault="002159D3">
      <w:pPr>
        <w:numPr>
          <w:ilvl w:val="0"/>
          <w:numId w:val="7"/>
        </w:numPr>
        <w:spacing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Objednatel se zavazuje zajistit poskytovateli potřebnou součinnost při </w:t>
      </w:r>
      <w:r>
        <w:rPr>
          <w:rFonts w:ascii="Times New Roman" w:eastAsia="Times New Roman" w:hAnsi="Times New Roman" w:cs="Times New Roman"/>
          <w:color w:val="00000A"/>
          <w:sz w:val="24"/>
        </w:rPr>
        <w:t>plnění závazků poskytovatele tak, aby nebyl ohrožen termín či lhůta plnění poskytovatele, zejména je povinen zajistit poskytovateli přístup do dotčených prostor instalace v pracovní době včetně vjezdu do areálu nebo parkování před ním.  Dále se zavazuje po</w:t>
      </w:r>
      <w:r>
        <w:rPr>
          <w:rFonts w:ascii="Times New Roman" w:eastAsia="Times New Roman" w:hAnsi="Times New Roman" w:cs="Times New Roman"/>
          <w:color w:val="00000A"/>
          <w:sz w:val="24"/>
        </w:rPr>
        <w:t>skytovateli zajistit veškeré informace o technických okolnostech a skutečnostech, které mohou mít vliv na řádný průběh poskytnutí služby.</w:t>
      </w:r>
    </w:p>
    <w:p w14:paraId="6376D1AA" w14:textId="77777777" w:rsidR="00645141" w:rsidRDefault="00645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60565CD8" w14:textId="77777777" w:rsidR="00645141" w:rsidRDefault="00645141">
      <w:pPr>
        <w:spacing w:after="0" w:line="240" w:lineRule="auto"/>
        <w:jc w:val="both"/>
      </w:pPr>
    </w:p>
    <w:p w14:paraId="6C34AE7F" w14:textId="77777777" w:rsidR="00645141" w:rsidRDefault="00645141">
      <w:pPr>
        <w:ind w:left="340"/>
        <w:jc w:val="both"/>
      </w:pPr>
    </w:p>
    <w:p w14:paraId="3C172AC9" w14:textId="77777777" w:rsidR="00645141" w:rsidRDefault="002159D3">
      <w:pPr>
        <w:pStyle w:val="Bezmezer1"/>
        <w:jc w:val="center"/>
      </w:pPr>
      <w:r>
        <w:rPr>
          <w:rFonts w:eastAsia="Times New Roman"/>
          <w:sz w:val="24"/>
          <w:szCs w:val="24"/>
          <w:lang w:eastAsia="en-US" w:bidi="en-US"/>
        </w:rPr>
        <w:t>Článek VI.</w:t>
      </w:r>
    </w:p>
    <w:p w14:paraId="5FD1232E" w14:textId="77777777" w:rsidR="00645141" w:rsidRDefault="002159D3">
      <w:pPr>
        <w:pStyle w:val="Bezmezer1"/>
        <w:widowControl w:val="0"/>
        <w:tabs>
          <w:tab w:val="left" w:pos="630"/>
          <w:tab w:val="left" w:pos="993"/>
        </w:tabs>
        <w:jc w:val="center"/>
      </w:pPr>
      <w:r>
        <w:rPr>
          <w:rFonts w:eastAsia="Times New Roman"/>
          <w:b/>
          <w:bCs/>
          <w:sz w:val="24"/>
          <w:szCs w:val="24"/>
          <w:lang w:eastAsia="en-US" w:bidi="en-US"/>
        </w:rPr>
        <w:t>Práva a povinnosti poskytovatele</w:t>
      </w:r>
    </w:p>
    <w:p w14:paraId="753F8475" w14:textId="77777777" w:rsidR="00645141" w:rsidRDefault="002159D3">
      <w:pPr>
        <w:pStyle w:val="Bezmezer1"/>
        <w:widowControl w:val="0"/>
        <w:numPr>
          <w:ilvl w:val="1"/>
          <w:numId w:val="7"/>
        </w:numPr>
        <w:spacing w:before="120"/>
        <w:ind w:left="284" w:hanging="284"/>
        <w:jc w:val="both"/>
      </w:pPr>
      <w:r>
        <w:rPr>
          <w:rFonts w:eastAsia="Times New Roman"/>
          <w:sz w:val="24"/>
          <w:szCs w:val="24"/>
          <w:lang w:eastAsia="en-US" w:bidi="en-US"/>
        </w:rPr>
        <w:t xml:space="preserve">Poskytovatel je povinen zabezpečit bez vad řádné </w:t>
      </w:r>
      <w:r>
        <w:rPr>
          <w:rStyle w:val="Standardnpsmoodstavce1"/>
          <w:rFonts w:eastAsia="Times New Roman"/>
          <w:sz w:val="24"/>
          <w:szCs w:val="24"/>
          <w:lang w:eastAsia="en-US" w:bidi="en-US"/>
        </w:rPr>
        <w:t xml:space="preserve">pravidelné a </w:t>
      </w:r>
      <w:r>
        <w:rPr>
          <w:rStyle w:val="Standardnpsmoodstavce1"/>
          <w:rFonts w:eastAsia="Times New Roman"/>
          <w:sz w:val="24"/>
          <w:szCs w:val="24"/>
          <w:lang w:eastAsia="en-US" w:bidi="en-US"/>
        </w:rPr>
        <w:t>nepřerušované poskytnutí služby.</w:t>
      </w:r>
    </w:p>
    <w:p w14:paraId="20C97A29" w14:textId="77777777" w:rsidR="00645141" w:rsidRDefault="002159D3">
      <w:pPr>
        <w:pStyle w:val="Bezmezer1"/>
        <w:widowControl w:val="0"/>
        <w:numPr>
          <w:ilvl w:val="1"/>
          <w:numId w:val="7"/>
        </w:numPr>
        <w:spacing w:before="120"/>
        <w:ind w:left="284" w:hanging="284"/>
        <w:jc w:val="both"/>
      </w:pPr>
      <w:r>
        <w:rPr>
          <w:rStyle w:val="Standardnpsmoodstavce1"/>
          <w:rFonts w:eastAsia="Times New Roman"/>
          <w:sz w:val="24"/>
          <w:szCs w:val="24"/>
          <w:lang w:eastAsia="en-US" w:bidi="en-US"/>
        </w:rPr>
        <w:t>Poskytovatel je povinen poskytnout služby v souladu s obecně závaznými právními předpisy a v souladu se zájmy objednatele.</w:t>
      </w:r>
    </w:p>
    <w:p w14:paraId="6C6041E5" w14:textId="77777777" w:rsidR="00645141" w:rsidRDefault="002159D3">
      <w:pPr>
        <w:pStyle w:val="Bezmezer1"/>
        <w:widowControl w:val="0"/>
        <w:numPr>
          <w:ilvl w:val="1"/>
          <w:numId w:val="7"/>
        </w:numPr>
        <w:spacing w:before="120"/>
        <w:ind w:left="284" w:hanging="284"/>
        <w:jc w:val="both"/>
      </w:pPr>
      <w:r>
        <w:rPr>
          <w:rStyle w:val="Standardnpsmoodstavce1"/>
          <w:rFonts w:eastAsia="Times New Roman"/>
          <w:sz w:val="24"/>
          <w:szCs w:val="24"/>
          <w:lang w:eastAsia="en-US" w:bidi="en-US"/>
        </w:rPr>
        <w:t>Poskytovatel se zavazuje, že veškeré programové produkty (počítačové programy) poskytnuté v rámci pl</w:t>
      </w:r>
      <w:r>
        <w:rPr>
          <w:rStyle w:val="Standardnpsmoodstavce1"/>
          <w:rFonts w:eastAsia="Times New Roman"/>
          <w:sz w:val="24"/>
          <w:szCs w:val="24"/>
          <w:lang w:eastAsia="en-US" w:bidi="en-US"/>
        </w:rPr>
        <w:t>nění této smlouvy jsou, v souladu s příslušnými ustanoveními občanského zákoníku a zákonem č. 121/2000 Sb., o právu autorském, o právech souvisejících s právem autorským a o změně některých zákonů, ve znění pozdějších předpisů, autorskoprávně bez závad a o</w:t>
      </w:r>
      <w:r>
        <w:rPr>
          <w:rStyle w:val="Standardnpsmoodstavce1"/>
          <w:rFonts w:eastAsia="Times New Roman"/>
          <w:sz w:val="24"/>
          <w:szCs w:val="24"/>
          <w:lang w:eastAsia="en-US" w:bidi="en-US"/>
        </w:rPr>
        <w:t>bjednatel se v této souvislosti stává oprávněným uživatelem jejich rozmnoženin a vlastníkem záznamových materiálů, na kterých jsou tyto rozmnoženiny umístěny.</w:t>
      </w:r>
    </w:p>
    <w:p w14:paraId="43CCE793" w14:textId="77777777" w:rsidR="00645141" w:rsidRDefault="002159D3">
      <w:pPr>
        <w:pStyle w:val="Bezmezer1"/>
        <w:widowControl w:val="0"/>
        <w:numPr>
          <w:ilvl w:val="1"/>
          <w:numId w:val="7"/>
        </w:numPr>
        <w:spacing w:before="120"/>
        <w:ind w:left="284" w:hanging="284"/>
        <w:jc w:val="both"/>
      </w:pPr>
      <w:r>
        <w:rPr>
          <w:rStyle w:val="Standardnpsmoodstavce1"/>
          <w:rFonts w:eastAsia="Times New Roman"/>
          <w:sz w:val="24"/>
          <w:szCs w:val="24"/>
          <w:lang w:eastAsia="en-US" w:bidi="en-US"/>
        </w:rPr>
        <w:t>Veškerý software poskytnutý v rámci plnění této smlouvy musí být možné instalovat a provozovat na</w:t>
      </w:r>
      <w:r>
        <w:rPr>
          <w:rStyle w:val="Standardnpsmoodstavce1"/>
          <w:rFonts w:eastAsia="Times New Roman"/>
          <w:sz w:val="24"/>
          <w:szCs w:val="24"/>
          <w:lang w:eastAsia="en-US" w:bidi="en-US"/>
        </w:rPr>
        <w:t xml:space="preserve"> operačních systémech ve verzi, která bude podporovaná a aktualizovaná výrobcem, a to minimálně po dobu účinnosti této smlouvy.</w:t>
      </w:r>
    </w:p>
    <w:p w14:paraId="26DCD622" w14:textId="77777777" w:rsidR="00645141" w:rsidRDefault="002159D3">
      <w:pPr>
        <w:pStyle w:val="Bezmezer1"/>
        <w:widowControl w:val="0"/>
        <w:numPr>
          <w:ilvl w:val="1"/>
          <w:numId w:val="7"/>
        </w:numPr>
        <w:spacing w:before="120"/>
        <w:ind w:left="284" w:hanging="284"/>
        <w:jc w:val="both"/>
      </w:pPr>
      <w:r>
        <w:rPr>
          <w:rStyle w:val="Standardnpsmoodstavce1"/>
          <w:rFonts w:eastAsia="Times New Roman"/>
          <w:sz w:val="24"/>
          <w:szCs w:val="24"/>
          <w:lang w:eastAsia="en-US" w:bidi="en-US"/>
        </w:rPr>
        <w:t xml:space="preserve">U softwaru, jehož autorem je poskytovatel, bude předán doklad, který bude opravňovat objednatele tento software legálně užívat. </w:t>
      </w:r>
      <w:r>
        <w:rPr>
          <w:rStyle w:val="Standardnpsmoodstavce1"/>
          <w:rFonts w:eastAsia="Times New Roman"/>
          <w:sz w:val="24"/>
          <w:szCs w:val="24"/>
          <w:lang w:eastAsia="en-US" w:bidi="en-US"/>
        </w:rPr>
        <w:t xml:space="preserve">U softwaru, jehož autorem není </w:t>
      </w:r>
      <w:r>
        <w:rPr>
          <w:rFonts w:eastAsia="Times New Roman"/>
          <w:color w:val="00000A"/>
          <w:sz w:val="24"/>
        </w:rPr>
        <w:t>poskytovatel</w:t>
      </w:r>
      <w:r>
        <w:rPr>
          <w:rStyle w:val="Standardnpsmoodstavce1"/>
          <w:rFonts w:eastAsia="Times New Roman"/>
          <w:sz w:val="24"/>
          <w:szCs w:val="24"/>
          <w:lang w:eastAsia="en-US" w:bidi="en-US"/>
        </w:rPr>
        <w:t>, bude uveden a jednoznačně vymezen na daňovém dokladu.</w:t>
      </w:r>
    </w:p>
    <w:p w14:paraId="010FA721" w14:textId="77777777" w:rsidR="00645141" w:rsidRDefault="00645141">
      <w:pPr>
        <w:tabs>
          <w:tab w:val="left" w:pos="567"/>
        </w:tabs>
        <w:spacing w:before="1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508B491F" w14:textId="77777777" w:rsidR="00645141" w:rsidRDefault="002159D3">
      <w:pPr>
        <w:pStyle w:val="Bezmezer1"/>
        <w:jc w:val="center"/>
      </w:pPr>
      <w:r>
        <w:rPr>
          <w:rFonts w:eastAsia="Times New Roman"/>
          <w:sz w:val="24"/>
          <w:szCs w:val="24"/>
          <w:lang w:eastAsia="en-US" w:bidi="en-US"/>
        </w:rPr>
        <w:t>Článek VII.</w:t>
      </w:r>
    </w:p>
    <w:p w14:paraId="0A810395" w14:textId="77777777" w:rsidR="00645141" w:rsidRDefault="002159D3">
      <w:pPr>
        <w:pStyle w:val="Bezmezer1"/>
        <w:jc w:val="center"/>
      </w:pPr>
      <w:r>
        <w:rPr>
          <w:rFonts w:eastAsia="Times New Roman"/>
          <w:b/>
          <w:bCs/>
          <w:sz w:val="24"/>
          <w:szCs w:val="24"/>
          <w:lang w:eastAsia="en-US" w:bidi="en-US"/>
        </w:rPr>
        <w:t>Povinnost mlčenlivosti</w:t>
      </w:r>
    </w:p>
    <w:p w14:paraId="1273177D" w14:textId="77777777" w:rsidR="00645141" w:rsidRDefault="002159D3">
      <w:pPr>
        <w:spacing w:before="120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Poskytovatel se zavazuje zachovávat ve vztahu ke třetím osobám mlčenlivost o informacích, které při plnění této smlouv</w:t>
      </w:r>
      <w:r>
        <w:rPr>
          <w:rFonts w:ascii="Times New Roman" w:eastAsia="Times New Roman" w:hAnsi="Times New Roman" w:cs="Times New Roman"/>
          <w:color w:val="00000A"/>
          <w:sz w:val="24"/>
        </w:rPr>
        <w:t>y získá od objednatele nebo o objednateli či jeho zaměstnancích a spolupracovnících a nesmí je zpřístupnit bez písemného souhlasu objednatele žádné třetí osobě ani je použít v rozporu s účelem této smlouvy, ledaže se jedná</w:t>
      </w:r>
    </w:p>
    <w:p w14:paraId="6458DE44" w14:textId="77777777" w:rsidR="00645141" w:rsidRDefault="002159D3">
      <w:pPr>
        <w:widowControl w:val="0"/>
        <w:numPr>
          <w:ilvl w:val="0"/>
          <w:numId w:val="8"/>
        </w:numPr>
        <w:tabs>
          <w:tab w:val="left" w:pos="0"/>
        </w:tabs>
        <w:spacing w:before="120" w:after="0" w:line="240" w:lineRule="auto"/>
        <w:ind w:left="851" w:hanging="142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o informace, které jsou veřejně p</w:t>
      </w:r>
      <w:r>
        <w:rPr>
          <w:rFonts w:ascii="Times New Roman" w:eastAsia="Times New Roman" w:hAnsi="Times New Roman" w:cs="Times New Roman"/>
          <w:color w:val="00000A"/>
          <w:sz w:val="24"/>
        </w:rPr>
        <w:t>řístupné, nebo</w:t>
      </w:r>
    </w:p>
    <w:p w14:paraId="4053B7F6" w14:textId="77777777" w:rsidR="00645141" w:rsidRDefault="002159D3">
      <w:pPr>
        <w:widowControl w:val="0"/>
        <w:numPr>
          <w:ilvl w:val="0"/>
          <w:numId w:val="8"/>
        </w:numPr>
        <w:tabs>
          <w:tab w:val="left" w:pos="0"/>
        </w:tabs>
        <w:spacing w:before="120" w:after="0" w:line="240" w:lineRule="auto"/>
        <w:ind w:left="851" w:hanging="142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 případ, kdy je zpřístupnění informace vyžadováno zákonem nebo závazným rozhodnutím oprávněného orgánu. </w:t>
      </w:r>
    </w:p>
    <w:p w14:paraId="66C5295D" w14:textId="77777777" w:rsidR="00645141" w:rsidRDefault="002159D3">
      <w:pPr>
        <w:spacing w:before="120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Poskytovatel je povinen zavázat povinností mlčenlivosti dle odst. 1 tohoto článku všechny osoby, které se budou podílet na </w:t>
      </w:r>
      <w:r>
        <w:rPr>
          <w:rFonts w:ascii="Times New Roman" w:eastAsia="Times New Roman" w:hAnsi="Times New Roman" w:cs="Times New Roman"/>
          <w:color w:val="00000A"/>
          <w:sz w:val="24"/>
        </w:rPr>
        <w:t>poskytnutí služby objednateli na základě této smlouvy.</w:t>
      </w:r>
    </w:p>
    <w:p w14:paraId="34D0BC30" w14:textId="77777777" w:rsidR="00645141" w:rsidRDefault="002159D3">
      <w:pPr>
        <w:spacing w:before="120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3.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Za porušení povinnosti mlčenlivosti osobami, které se budou podílet na poskytnutí služby dle této smlouvy, odpovídá poskytovatel, jako by povinnost porušil sám.</w:t>
      </w:r>
    </w:p>
    <w:p w14:paraId="46D04A64" w14:textId="77777777" w:rsidR="00645141" w:rsidRDefault="002159D3">
      <w:pPr>
        <w:spacing w:before="120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4.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Povinnost mlčenlivosti  trvá  i  p</w:t>
      </w:r>
      <w:r>
        <w:rPr>
          <w:rFonts w:ascii="Times New Roman" w:eastAsia="Times New Roman" w:hAnsi="Times New Roman" w:cs="Times New Roman"/>
          <w:color w:val="00000A"/>
          <w:sz w:val="24"/>
        </w:rPr>
        <w:t>o  skončení účinnosti  této  smlouvy. </w:t>
      </w:r>
    </w:p>
    <w:p w14:paraId="3FC2A6B6" w14:textId="77777777" w:rsidR="00645141" w:rsidRDefault="002159D3">
      <w:pPr>
        <w:spacing w:before="120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5.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bookmarkStart w:id="2" w:name="_Ref68584919"/>
      <w:r>
        <w:rPr>
          <w:rFonts w:ascii="Times New Roman" w:eastAsia="Times New Roman" w:hAnsi="Times New Roman" w:cs="Times New Roman"/>
          <w:color w:val="00000A"/>
          <w:sz w:val="24"/>
        </w:rPr>
        <w:t>Veškerá komunikace mezi smluvními stranami bude probíhat prostřednictvím osob oprávněných jednat jménem smluvních stran, kontaktních osob, p</w:t>
      </w:r>
      <w:bookmarkStart w:id="3" w:name="_Ref68335997"/>
      <w:r>
        <w:rPr>
          <w:rFonts w:ascii="Times New Roman" w:eastAsia="Times New Roman" w:hAnsi="Times New Roman" w:cs="Times New Roman"/>
          <w:color w:val="00000A"/>
          <w:sz w:val="24"/>
        </w:rPr>
        <w:t>opř. jimi pověřených pracovníků.</w:t>
      </w:r>
      <w:bookmarkEnd w:id="2"/>
      <w:bookmarkEnd w:id="3"/>
    </w:p>
    <w:p w14:paraId="2982596D" w14:textId="77777777" w:rsidR="00645141" w:rsidRDefault="00645141">
      <w:pPr>
        <w:spacing w:before="1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8AD851D" w14:textId="77777777" w:rsidR="00645141" w:rsidRDefault="002159D3">
      <w:pPr>
        <w:pStyle w:val="Bezmezer1"/>
        <w:jc w:val="center"/>
      </w:pPr>
      <w:r>
        <w:rPr>
          <w:rFonts w:eastAsia="Times New Roman"/>
          <w:sz w:val="24"/>
          <w:szCs w:val="24"/>
          <w:lang w:eastAsia="en-US" w:bidi="en-US"/>
        </w:rPr>
        <w:t>Článek VIII.</w:t>
      </w:r>
    </w:p>
    <w:p w14:paraId="03D86D33" w14:textId="77777777" w:rsidR="00645141" w:rsidRDefault="002159D3">
      <w:pPr>
        <w:pStyle w:val="Bezmezer1"/>
        <w:jc w:val="center"/>
      </w:pPr>
      <w:r>
        <w:rPr>
          <w:rFonts w:eastAsia="Times New Roman"/>
          <w:b/>
          <w:bCs/>
          <w:sz w:val="24"/>
          <w:szCs w:val="24"/>
          <w:lang w:eastAsia="en-US" w:bidi="en-US"/>
        </w:rPr>
        <w:t>Smluvní pokuty a odstoupení</w:t>
      </w:r>
      <w:r>
        <w:rPr>
          <w:rFonts w:eastAsia="Times New Roman"/>
          <w:b/>
          <w:bCs/>
          <w:sz w:val="24"/>
          <w:szCs w:val="24"/>
          <w:lang w:eastAsia="en-US" w:bidi="en-US"/>
        </w:rPr>
        <w:t xml:space="preserve"> od smlouvy</w:t>
      </w:r>
    </w:p>
    <w:p w14:paraId="20E1F1D4" w14:textId="77777777" w:rsidR="00645141" w:rsidRDefault="002159D3">
      <w:pPr>
        <w:widowControl w:val="0"/>
        <w:numPr>
          <w:ilvl w:val="0"/>
          <w:numId w:val="9"/>
        </w:numPr>
        <w:shd w:val="clear" w:color="auto" w:fill="FFFFFF"/>
        <w:spacing w:after="12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V případě nedodržení podmínek poskytnutí služby podle čl. III. této smlouvy ze strany poskytovatele, v případě nepřevzetí služby ze strany objednatele z důvodů vad nebo v případě prodlení poskytovatele s odstraněním vad je poskytovatel povinen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uhradit objednateli smluvní pokutu ve výši 0,5 % z celkové ceny díla včetně DPH za každý, byť i započatý kalendářní den prodlení. </w:t>
      </w:r>
    </w:p>
    <w:p w14:paraId="1707239E" w14:textId="77777777" w:rsidR="00645141" w:rsidRDefault="002159D3">
      <w:pPr>
        <w:widowControl w:val="0"/>
        <w:numPr>
          <w:ilvl w:val="0"/>
          <w:numId w:val="9"/>
        </w:numPr>
        <w:shd w:val="clear" w:color="auto" w:fill="FFFFFF"/>
        <w:spacing w:after="12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Jestliže poskytovatel poruší jakoukoli povinnost podle čl. VI. a VII. této smlouvy, zavazuje se poskytovatel uhradit objednat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eli smluvní pokutu ve výši 50 000 Kč (slovy: padesát tisíc korun českých) za každé jednotlivé porušení povinnosti. </w:t>
      </w:r>
    </w:p>
    <w:p w14:paraId="07EE1076" w14:textId="77777777" w:rsidR="00645141" w:rsidRDefault="002159D3">
      <w:pPr>
        <w:widowControl w:val="0"/>
        <w:numPr>
          <w:ilvl w:val="0"/>
          <w:numId w:val="9"/>
        </w:numPr>
        <w:shd w:val="clear" w:color="auto" w:fill="FFFFFF"/>
        <w:spacing w:after="12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Objednatel je povinen zaplatit poskytovateli za prodlení s úhradou faktury po sjednané lhůtě splatnosti zákonný úrok z prodlení za každý, by</w:t>
      </w:r>
      <w:r>
        <w:rPr>
          <w:rFonts w:ascii="Times New Roman" w:eastAsia="Times New Roman" w:hAnsi="Times New Roman" w:cs="Times New Roman"/>
          <w:color w:val="00000A"/>
          <w:sz w:val="24"/>
        </w:rPr>
        <w:t>ť i započatý, den prodlení.</w:t>
      </w:r>
    </w:p>
    <w:p w14:paraId="52FA2AD9" w14:textId="77777777" w:rsidR="00645141" w:rsidRDefault="002159D3">
      <w:pPr>
        <w:widowControl w:val="0"/>
        <w:numPr>
          <w:ilvl w:val="0"/>
          <w:numId w:val="9"/>
        </w:numPr>
        <w:shd w:val="clear" w:color="auto" w:fill="FFFFFF"/>
        <w:spacing w:after="120" w:line="240" w:lineRule="auto"/>
        <w:ind w:left="340" w:hanging="34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Smluvní pokuta a úrok z prodlení jsou splatné do čtrnácti (14) kalendářních dnů ode dne jejich uplatnění. </w:t>
      </w:r>
    </w:p>
    <w:p w14:paraId="624AB892" w14:textId="77777777" w:rsidR="00645141" w:rsidRDefault="002159D3">
      <w:pPr>
        <w:widowControl w:val="0"/>
        <w:numPr>
          <w:ilvl w:val="0"/>
          <w:numId w:val="9"/>
        </w:numPr>
        <w:shd w:val="clear" w:color="auto" w:fill="FFFFFF"/>
        <w:spacing w:after="120" w:line="240" w:lineRule="auto"/>
        <w:ind w:left="340" w:hanging="340"/>
      </w:pPr>
      <w:r>
        <w:rPr>
          <w:rFonts w:ascii="Times New Roman" w:eastAsia="Times New Roman" w:hAnsi="Times New Roman" w:cs="Times New Roman"/>
          <w:color w:val="00000A"/>
          <w:sz w:val="24"/>
        </w:rPr>
        <w:t>Zaplacením smluvní pokuty a úroku z prodlení není dotčen nárok smluvních stran na náhradu škody nebo odškodnění v plném r</w:t>
      </w:r>
      <w:r>
        <w:rPr>
          <w:rFonts w:ascii="Times New Roman" w:eastAsia="Times New Roman" w:hAnsi="Times New Roman" w:cs="Times New Roman"/>
          <w:color w:val="00000A"/>
          <w:sz w:val="24"/>
        </w:rPr>
        <w:t>ozsahu ani povinnost poskytovatele řádně poskytnout službu.</w:t>
      </w:r>
    </w:p>
    <w:p w14:paraId="6797AEE6" w14:textId="77777777" w:rsidR="00645141" w:rsidRDefault="002159D3">
      <w:pPr>
        <w:widowControl w:val="0"/>
        <w:numPr>
          <w:ilvl w:val="0"/>
          <w:numId w:val="9"/>
        </w:numPr>
        <w:shd w:val="clear" w:color="auto" w:fill="FFFFFF"/>
        <w:spacing w:after="120" w:line="240" w:lineRule="auto"/>
        <w:ind w:left="340" w:hanging="340"/>
      </w:pPr>
      <w:r>
        <w:rPr>
          <w:rFonts w:ascii="Times New Roman" w:eastAsia="Times New Roman" w:hAnsi="Times New Roman" w:cs="Times New Roman"/>
          <w:color w:val="00000A"/>
          <w:sz w:val="24"/>
        </w:rPr>
        <w:t>Za podstatné porušení této smlouvy poskytovatelem, které zakládá právo objednatele na odstoupení od této smlouvy, se považuje zejména</w:t>
      </w:r>
    </w:p>
    <w:p w14:paraId="411DA30B" w14:textId="77777777" w:rsidR="00645141" w:rsidRDefault="002159D3">
      <w:pPr>
        <w:widowControl w:val="0"/>
        <w:numPr>
          <w:ilvl w:val="2"/>
          <w:numId w:val="10"/>
        </w:numPr>
        <w:tabs>
          <w:tab w:val="left" w:pos="0"/>
          <w:tab w:val="left" w:pos="540"/>
        </w:tabs>
        <w:spacing w:before="120" w:after="0" w:line="240" w:lineRule="auto"/>
        <w:ind w:left="1020" w:hanging="454"/>
      </w:pPr>
      <w:r>
        <w:rPr>
          <w:rFonts w:ascii="Times New Roman" w:eastAsia="Times New Roman" w:hAnsi="Times New Roman" w:cs="Times New Roman"/>
          <w:color w:val="00000A"/>
          <w:sz w:val="24"/>
        </w:rPr>
        <w:t>prodlení poskytovatele s poskytnutím služby o více než sedm (7</w:t>
      </w:r>
      <w:r>
        <w:rPr>
          <w:rFonts w:ascii="Times New Roman" w:eastAsia="Times New Roman" w:hAnsi="Times New Roman" w:cs="Times New Roman"/>
          <w:color w:val="00000A"/>
          <w:sz w:val="24"/>
        </w:rPr>
        <w:t>) kalendářních dnů;</w:t>
      </w:r>
    </w:p>
    <w:p w14:paraId="2904AFA5" w14:textId="77777777" w:rsidR="00645141" w:rsidRDefault="002159D3">
      <w:pPr>
        <w:widowControl w:val="0"/>
        <w:numPr>
          <w:ilvl w:val="2"/>
          <w:numId w:val="10"/>
        </w:numPr>
        <w:tabs>
          <w:tab w:val="left" w:pos="0"/>
          <w:tab w:val="left" w:pos="540"/>
        </w:tabs>
        <w:spacing w:before="120" w:after="0" w:line="240" w:lineRule="auto"/>
        <w:ind w:left="992" w:hanging="425"/>
      </w:pPr>
      <w:r>
        <w:rPr>
          <w:rFonts w:ascii="Times New Roman" w:eastAsia="Times New Roman" w:hAnsi="Times New Roman" w:cs="Times New Roman"/>
          <w:color w:val="00000A"/>
          <w:sz w:val="24"/>
        </w:rPr>
        <w:t>porušení jakékoli povinnosti poskytovatele podle čl. V a VI. této smlouvy;</w:t>
      </w:r>
    </w:p>
    <w:p w14:paraId="33D30DD5" w14:textId="77777777" w:rsidR="00645141" w:rsidRDefault="002159D3">
      <w:pPr>
        <w:widowControl w:val="0"/>
        <w:numPr>
          <w:ilvl w:val="2"/>
          <w:numId w:val="10"/>
        </w:numPr>
        <w:tabs>
          <w:tab w:val="left" w:pos="0"/>
          <w:tab w:val="left" w:pos="993"/>
        </w:tabs>
        <w:spacing w:before="120" w:after="0" w:line="240" w:lineRule="auto"/>
        <w:ind w:left="1077" w:hanging="510"/>
      </w:pPr>
      <w:r>
        <w:rPr>
          <w:rFonts w:ascii="Times New Roman" w:eastAsia="Times New Roman" w:hAnsi="Times New Roman" w:cs="Times New Roman"/>
          <w:color w:val="00000A"/>
          <w:sz w:val="24"/>
        </w:rPr>
        <w:t>postup poskytovatele při poskytnutí služby v rozporu s pokyny objednatele;</w:t>
      </w:r>
    </w:p>
    <w:p w14:paraId="42C66365" w14:textId="77777777" w:rsidR="00645141" w:rsidRDefault="002159D3">
      <w:pPr>
        <w:widowControl w:val="0"/>
        <w:numPr>
          <w:ilvl w:val="2"/>
          <w:numId w:val="10"/>
        </w:numPr>
        <w:tabs>
          <w:tab w:val="left" w:pos="0"/>
          <w:tab w:val="left" w:pos="993"/>
        </w:tabs>
        <w:spacing w:before="120" w:after="240" w:line="240" w:lineRule="auto"/>
        <w:ind w:left="992" w:hanging="42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nedodání předmětu plnění v požadovaném množství, jakosti a provedení dle této </w:t>
      </w:r>
      <w:r>
        <w:rPr>
          <w:rFonts w:ascii="Times New Roman" w:eastAsia="Times New Roman" w:hAnsi="Times New Roman" w:cs="Times New Roman"/>
          <w:color w:val="00000A"/>
          <w:sz w:val="24"/>
        </w:rPr>
        <w:t>smlouvy.</w:t>
      </w:r>
    </w:p>
    <w:p w14:paraId="4FDFEA50" w14:textId="77777777" w:rsidR="00645141" w:rsidRDefault="002159D3">
      <w:pPr>
        <w:widowControl w:val="0"/>
        <w:numPr>
          <w:ilvl w:val="0"/>
          <w:numId w:val="9"/>
        </w:numPr>
        <w:shd w:val="clear" w:color="auto" w:fill="FFFFFF"/>
        <w:spacing w:after="120" w:line="240" w:lineRule="auto"/>
        <w:ind w:left="340" w:hanging="340"/>
      </w:pPr>
      <w:r>
        <w:rPr>
          <w:rFonts w:ascii="Times New Roman" w:eastAsia="Times New Roman" w:hAnsi="Times New Roman" w:cs="Times New Roman"/>
          <w:color w:val="00000A"/>
          <w:sz w:val="24"/>
        </w:rPr>
        <w:t>Objednatel je dále oprávněn od této smlouvy odstoupit v případě, že</w:t>
      </w:r>
    </w:p>
    <w:p w14:paraId="5C2CE9FC" w14:textId="77777777" w:rsidR="00645141" w:rsidRDefault="002159D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after="120" w:line="240" w:lineRule="auto"/>
        <w:ind w:left="1020" w:hanging="170"/>
      </w:pPr>
      <w:r>
        <w:rPr>
          <w:rFonts w:ascii="Times New Roman" w:eastAsia="Times New Roman" w:hAnsi="Times New Roman" w:cs="Times New Roman"/>
          <w:color w:val="00000A"/>
          <w:sz w:val="24"/>
        </w:rPr>
        <w:t>vůči majetku poskytovatele probíhá insolvenční řízení, v němž bylo vydáno rozhodnutí o úpadku, pokud to právní předpisy umožňují;</w:t>
      </w:r>
    </w:p>
    <w:p w14:paraId="42194A1B" w14:textId="77777777" w:rsidR="00645141" w:rsidRDefault="002159D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after="120" w:line="240" w:lineRule="auto"/>
        <w:ind w:left="993" w:hanging="142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insolvenční návrh na poskytovatele byl </w:t>
      </w:r>
      <w:r>
        <w:rPr>
          <w:rFonts w:ascii="Times New Roman" w:eastAsia="Times New Roman" w:hAnsi="Times New Roman" w:cs="Times New Roman"/>
          <w:color w:val="00000A"/>
          <w:sz w:val="24"/>
        </w:rPr>
        <w:t>zamítnut proto, že majetek poskytovatele nepostačuje k úhradě nákladů insolvenčního řízení;</w:t>
      </w:r>
    </w:p>
    <w:p w14:paraId="5F3CB451" w14:textId="77777777" w:rsidR="00645141" w:rsidRDefault="002159D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60"/>
        </w:tabs>
        <w:spacing w:after="120" w:line="240" w:lineRule="auto"/>
        <w:ind w:left="1020" w:hanging="170"/>
      </w:pPr>
      <w:r>
        <w:rPr>
          <w:rFonts w:ascii="Times New Roman" w:eastAsia="Times New Roman" w:hAnsi="Times New Roman" w:cs="Times New Roman"/>
          <w:color w:val="00000A"/>
          <w:sz w:val="24"/>
        </w:rPr>
        <w:t>poskytovatel vstoupí do likvidace.</w:t>
      </w:r>
    </w:p>
    <w:p w14:paraId="36DE5E58" w14:textId="77777777" w:rsidR="00645141" w:rsidRDefault="002159D3">
      <w:pPr>
        <w:widowControl w:val="0"/>
        <w:numPr>
          <w:ilvl w:val="0"/>
          <w:numId w:val="9"/>
        </w:numPr>
        <w:shd w:val="clear" w:color="auto" w:fill="FFFFFF"/>
        <w:spacing w:after="12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Poskytovatel je oprávněn od smlouvy odstoupit v případě, že objednatel bude v prodlení s úhradou svých peněžitých závazků </w:t>
      </w:r>
      <w:r>
        <w:rPr>
          <w:rFonts w:ascii="Times New Roman" w:eastAsia="Times New Roman" w:hAnsi="Times New Roman" w:cs="Times New Roman"/>
          <w:color w:val="00000A"/>
          <w:sz w:val="24"/>
        </w:rPr>
        <w:t>vyplývajících z této smlouvy po dobu delší než šedesát (60) kalendářních dní.</w:t>
      </w:r>
    </w:p>
    <w:p w14:paraId="0BD6246C" w14:textId="77777777" w:rsidR="00645141" w:rsidRDefault="002159D3">
      <w:pPr>
        <w:numPr>
          <w:ilvl w:val="0"/>
          <w:numId w:val="9"/>
        </w:numPr>
        <w:spacing w:before="120"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Objednatel je oprávněn vypovědět tuto smlouvu kdykoliv s třicetidenní (30) výpovědní lhůtou, která počíná běžet prvním dnem následujícím po doručení výpovědi. V takovém případě j</w:t>
      </w:r>
      <w:r>
        <w:rPr>
          <w:rFonts w:ascii="Times New Roman" w:eastAsia="Times New Roman" w:hAnsi="Times New Roman" w:cs="Times New Roman"/>
          <w:color w:val="00000A"/>
          <w:sz w:val="24"/>
        </w:rPr>
        <w:t>e poskytovatel povinen učinit již jen takové úkony, bez nichž by mohly být zájmy objednávajícího vážně ohroženy.</w:t>
      </w:r>
    </w:p>
    <w:p w14:paraId="313FFD88" w14:textId="77777777" w:rsidR="00645141" w:rsidRDefault="002159D3">
      <w:pPr>
        <w:widowControl w:val="0"/>
        <w:numPr>
          <w:ilvl w:val="0"/>
          <w:numId w:val="9"/>
        </w:numPr>
        <w:shd w:val="clear" w:color="auto" w:fill="FFFFFF"/>
        <w:spacing w:before="120" w:after="0" w:line="240" w:lineRule="auto"/>
        <w:ind w:left="340" w:hanging="340"/>
      </w:pPr>
      <w:r>
        <w:rPr>
          <w:rFonts w:ascii="Times New Roman" w:eastAsia="Times New Roman" w:hAnsi="Times New Roman" w:cs="Times New Roman"/>
          <w:color w:val="00000A"/>
          <w:sz w:val="24"/>
        </w:rPr>
        <w:t>Účinky každého odstoupení od smlouvy nastávají okamžikem doručení písemného projevu vůle odstoupit od této smlouvy druhé smluvní straně. Odstou</w:t>
      </w:r>
      <w:r>
        <w:rPr>
          <w:rFonts w:ascii="Times New Roman" w:eastAsia="Times New Roman" w:hAnsi="Times New Roman" w:cs="Times New Roman"/>
          <w:color w:val="00000A"/>
          <w:sz w:val="24"/>
        </w:rPr>
        <w:t>pení od smlouvy se nedotýká zejména nároku na náhradu škody, smluvní pokuty a povinnosti mlčenlivosti.</w:t>
      </w:r>
    </w:p>
    <w:p w14:paraId="7EEE0A04" w14:textId="77777777" w:rsidR="00645141" w:rsidRDefault="00645141">
      <w:pPr>
        <w:shd w:val="clear" w:color="auto" w:fill="FFFFFF"/>
        <w:tabs>
          <w:tab w:val="left" w:pos="567"/>
        </w:tabs>
        <w:spacing w:before="120"/>
        <w:rPr>
          <w:rFonts w:ascii="Times New Roman" w:eastAsia="Times New Roman" w:hAnsi="Times New Roman" w:cs="Times New Roman"/>
          <w:color w:val="00000A"/>
          <w:sz w:val="24"/>
        </w:rPr>
      </w:pPr>
    </w:p>
    <w:p w14:paraId="0D0343D3" w14:textId="77777777" w:rsidR="00645141" w:rsidRDefault="002159D3">
      <w:pPr>
        <w:pStyle w:val="Bezmezer1"/>
        <w:jc w:val="center"/>
      </w:pPr>
      <w:r>
        <w:rPr>
          <w:rFonts w:eastAsia="Times New Roman"/>
          <w:sz w:val="24"/>
          <w:szCs w:val="24"/>
          <w:lang w:eastAsia="en-US" w:bidi="en-US"/>
        </w:rPr>
        <w:t>Článek IX.</w:t>
      </w:r>
    </w:p>
    <w:p w14:paraId="514DBF9B" w14:textId="77777777" w:rsidR="00645141" w:rsidRDefault="002159D3">
      <w:pPr>
        <w:pStyle w:val="Bezmezer1"/>
        <w:jc w:val="center"/>
      </w:pPr>
      <w:r>
        <w:rPr>
          <w:rFonts w:eastAsia="Times New Roman"/>
          <w:b/>
          <w:bCs/>
          <w:sz w:val="24"/>
          <w:szCs w:val="24"/>
          <w:lang w:eastAsia="en-US" w:bidi="en-US"/>
        </w:rPr>
        <w:t>Záruční podmínky</w:t>
      </w:r>
    </w:p>
    <w:p w14:paraId="2EBC81DD" w14:textId="77777777" w:rsidR="00645141" w:rsidRDefault="002159D3">
      <w:pPr>
        <w:widowControl w:val="0"/>
        <w:numPr>
          <w:ilvl w:val="0"/>
          <w:numId w:val="12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Poskytovatel</w:t>
      </w:r>
      <w:r>
        <w:rPr>
          <w:rStyle w:val="Standardnpsmoodstavce1"/>
          <w:rFonts w:ascii="Times New Roman" w:eastAsia="Times New Roman" w:hAnsi="Times New Roman" w:cs="Times New Roman"/>
          <w:color w:val="00000A"/>
          <w:sz w:val="24"/>
        </w:rPr>
        <w:t xml:space="preserve"> poskytuje objednateli záruku v délce trvání 2 let. Předmět plnění dle této smlouvy bude ke dni předání a převze</w:t>
      </w:r>
      <w:r>
        <w:rPr>
          <w:rStyle w:val="Standardnpsmoodstavce1"/>
          <w:rFonts w:ascii="Times New Roman" w:eastAsia="Times New Roman" w:hAnsi="Times New Roman" w:cs="Times New Roman"/>
          <w:color w:val="00000A"/>
          <w:sz w:val="24"/>
        </w:rPr>
        <w:t>tí objednatelem způsobilý k řádnému užití a bude mít vlastnosti stanovené touto smlouvou.</w:t>
      </w:r>
    </w:p>
    <w:p w14:paraId="10CECBFC" w14:textId="77777777" w:rsidR="00645141" w:rsidRDefault="002159D3">
      <w:pPr>
        <w:widowControl w:val="0"/>
        <w:numPr>
          <w:ilvl w:val="0"/>
          <w:numId w:val="12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Poskytovatelem</w:t>
      </w:r>
      <w:r>
        <w:rPr>
          <w:rStyle w:val="Standardnpsmoodstavce1"/>
          <w:rFonts w:ascii="Times New Roman" w:eastAsia="Times New Roman" w:hAnsi="Times New Roman" w:cs="Times New Roman"/>
          <w:color w:val="00000A"/>
          <w:sz w:val="24"/>
        </w:rPr>
        <w:t xml:space="preserve"> poskytovaná záruka se vztahuje na kompletní funkčnost služby, jakož i na její vlastnosti požadované objednatelem.</w:t>
      </w:r>
    </w:p>
    <w:p w14:paraId="68744E13" w14:textId="77777777" w:rsidR="00645141" w:rsidRDefault="002159D3">
      <w:pPr>
        <w:widowControl w:val="0"/>
        <w:numPr>
          <w:ilvl w:val="0"/>
          <w:numId w:val="12"/>
        </w:numPr>
        <w:spacing w:before="120" w:after="0" w:line="240" w:lineRule="auto"/>
        <w:jc w:val="both"/>
      </w:pPr>
      <w:r>
        <w:rPr>
          <w:rStyle w:val="Standardnpsmoodstavce1"/>
          <w:rFonts w:ascii="Times New Roman" w:eastAsia="Times New Roman" w:hAnsi="Times New Roman" w:cs="Times New Roman"/>
          <w:color w:val="00000A"/>
          <w:sz w:val="24"/>
        </w:rPr>
        <w:t>Záruční doba začíná běžet ode dne pře</w:t>
      </w:r>
      <w:r>
        <w:rPr>
          <w:rStyle w:val="Standardnpsmoodstavce1"/>
          <w:rFonts w:ascii="Times New Roman" w:eastAsia="Times New Roman" w:hAnsi="Times New Roman" w:cs="Times New Roman"/>
          <w:color w:val="00000A"/>
          <w:sz w:val="24"/>
        </w:rPr>
        <w:t>vzetí služby objednatelem dle čl. 3 odst. 3 smlouvy. Záruční doba se prodlužuje o dobu, po kterou mělo plnění vadu bránící řádnému užívání služby objednatelem, nebo po kterou byla služba mimo provoz z důvodu vady, na kterou se vztahuje záruka.</w:t>
      </w:r>
    </w:p>
    <w:p w14:paraId="50E40C56" w14:textId="77777777" w:rsidR="00645141" w:rsidRDefault="002159D3">
      <w:pPr>
        <w:widowControl w:val="0"/>
        <w:numPr>
          <w:ilvl w:val="0"/>
          <w:numId w:val="12"/>
        </w:numPr>
        <w:spacing w:before="120" w:after="0" w:line="240" w:lineRule="auto"/>
        <w:jc w:val="both"/>
      </w:pPr>
      <w:r>
        <w:rPr>
          <w:rStyle w:val="Standardnpsmoodstavce1"/>
          <w:rFonts w:ascii="Times New Roman" w:eastAsia="Times New Roman" w:hAnsi="Times New Roman" w:cs="Times New Roman"/>
          <w:color w:val="00000A"/>
          <w:sz w:val="24"/>
        </w:rPr>
        <w:t xml:space="preserve"> Pokud objed</w:t>
      </w:r>
      <w:r>
        <w:rPr>
          <w:rStyle w:val="Standardnpsmoodstavce1"/>
          <w:rFonts w:ascii="Times New Roman" w:eastAsia="Times New Roman" w:hAnsi="Times New Roman" w:cs="Times New Roman"/>
          <w:color w:val="00000A"/>
          <w:sz w:val="24"/>
        </w:rPr>
        <w:t>natel uplatní nárok na odstranění vady, zavazuje se poskytovatel tuto vadu odstranit neprodleně nebo ve lhůtě stanovené objednatelem, v souladu s řádným plněním poskytované služby i jejímu účelu.</w:t>
      </w:r>
    </w:p>
    <w:p w14:paraId="57BA2C7D" w14:textId="77777777" w:rsidR="00645141" w:rsidRDefault="002159D3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Vadou plnění se pro účely této smlouvy rozumí rozpor </w:t>
      </w:r>
      <w:r>
        <w:rPr>
          <w:rFonts w:ascii="Times New Roman" w:eastAsia="Times New Roman" w:hAnsi="Times New Roman" w:cs="Times New Roman"/>
          <w:color w:val="00000A"/>
          <w:sz w:val="24"/>
        </w:rPr>
        <w:t>mezi sjednanými podmínkami provedení služby, jejími parametry a skutečným stavem služby.</w:t>
      </w:r>
    </w:p>
    <w:p w14:paraId="1C498ACF" w14:textId="77777777" w:rsidR="00645141" w:rsidRDefault="002159D3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Objednatel má vůči poskytovateli tato práva z odpovědnosti za vady:</w:t>
      </w:r>
    </w:p>
    <w:p w14:paraId="4C5EE10B" w14:textId="77777777" w:rsidR="00645141" w:rsidRDefault="002159D3">
      <w:pPr>
        <w:spacing w:before="120"/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a) právo na bezplatné odstranění reklamovaných vad, a to bez odkladu po oznámení vady objednatelem,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nejpozději ve lhůtě 15 dnů od oznámení vady objednatelem,</w:t>
      </w:r>
    </w:p>
    <w:p w14:paraId="6EEC4586" w14:textId="77777777" w:rsidR="00645141" w:rsidRDefault="002159D3">
      <w:pPr>
        <w:spacing w:before="120"/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b) právo na poskytnutí přiměřené slevy z ceny odpovídající rozsahu reklamovaných vad či nedodělků,</w:t>
      </w:r>
    </w:p>
    <w:p w14:paraId="79342069" w14:textId="77777777" w:rsidR="00645141" w:rsidRDefault="002159D3">
      <w:pPr>
        <w:spacing w:before="120"/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c) právo na odstoupení od smlouvy, kdy vady či nedodělky jsou takového charakteru, že podstatně zt</w:t>
      </w:r>
      <w:r>
        <w:rPr>
          <w:rFonts w:ascii="Times New Roman" w:eastAsia="Times New Roman" w:hAnsi="Times New Roman" w:cs="Times New Roman"/>
          <w:color w:val="00000A"/>
          <w:sz w:val="24"/>
        </w:rPr>
        <w:t>ěžují či dokonce brání v užívání díla,</w:t>
      </w:r>
    </w:p>
    <w:p w14:paraId="5FCC4A5D" w14:textId="77777777" w:rsidR="00645141" w:rsidRDefault="002159D3">
      <w:pPr>
        <w:spacing w:before="120"/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d) právo na zaplacení nákladů na odstranění vad v případě, kdy si objednatel vadu či nedodělek odstraní sám nebo použije třetí osoby k jejich odstranění.</w:t>
      </w:r>
    </w:p>
    <w:p w14:paraId="3B4DB31E" w14:textId="77777777" w:rsidR="00645141" w:rsidRDefault="002159D3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Uplatněním nároků z odpovědnosti za vady není dotčeno právo na </w:t>
      </w:r>
      <w:r>
        <w:rPr>
          <w:rFonts w:ascii="Times New Roman" w:eastAsia="Times New Roman" w:hAnsi="Times New Roman" w:cs="Times New Roman"/>
          <w:color w:val="00000A"/>
          <w:sz w:val="24"/>
        </w:rPr>
        <w:t>náhradu škody.</w:t>
      </w:r>
    </w:p>
    <w:p w14:paraId="2EDD5DDE" w14:textId="77777777" w:rsidR="00645141" w:rsidRDefault="002159D3">
      <w:pPr>
        <w:widowControl w:val="0"/>
        <w:numPr>
          <w:ilvl w:val="0"/>
          <w:numId w:val="12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Reklamace vad musí být provedena písemně. Poskytovatel je povinen v případě prodlení s vyřízením reklamace zaplatit poskytovateli smluvní pokutu ve výši 0,2 %, z celkové ceny služby včetně DPH za každý, byť i započatý kalendářní den prodlení</w:t>
      </w:r>
      <w:r>
        <w:rPr>
          <w:rFonts w:ascii="Times New Roman" w:eastAsia="Times New Roman" w:hAnsi="Times New Roman" w:cs="Times New Roman"/>
          <w:color w:val="00000A"/>
          <w:sz w:val="24"/>
        </w:rPr>
        <w:t>. Sjednanou smluvní pokutu je povinen zaplatit do čtrnácti (14) kalendářních dnů ode dne jejího uplatnění.</w:t>
      </w:r>
    </w:p>
    <w:p w14:paraId="7D66CA90" w14:textId="5C1A4141" w:rsidR="00645141" w:rsidRPr="00362D96" w:rsidRDefault="002159D3">
      <w:pPr>
        <w:widowControl w:val="0"/>
        <w:numPr>
          <w:ilvl w:val="0"/>
          <w:numId w:val="12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Reklamace jsou ze strany objednatele řešeny pověřeným pracovníkem oddělení informačních systémů (ODIS).</w:t>
      </w:r>
    </w:p>
    <w:p w14:paraId="76463CB1" w14:textId="7F934995" w:rsidR="00362D96" w:rsidRDefault="00362D96" w:rsidP="00362D9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507ADFED" w14:textId="77777777" w:rsidR="00362D96" w:rsidRDefault="00362D96" w:rsidP="00362D96">
      <w:pPr>
        <w:widowControl w:val="0"/>
        <w:spacing w:before="120" w:after="0" w:line="240" w:lineRule="auto"/>
        <w:jc w:val="both"/>
      </w:pPr>
    </w:p>
    <w:p w14:paraId="6B75EA00" w14:textId="77777777" w:rsidR="00645141" w:rsidRDefault="00645141">
      <w:pPr>
        <w:pStyle w:val="Bezmezer1"/>
        <w:jc w:val="both"/>
        <w:rPr>
          <w:rFonts w:eastAsia="Times New Roman"/>
          <w:sz w:val="24"/>
          <w:szCs w:val="24"/>
          <w:shd w:val="clear" w:color="auto" w:fill="FFFF00"/>
          <w:lang w:eastAsia="en-US" w:bidi="en-US"/>
        </w:rPr>
      </w:pPr>
    </w:p>
    <w:p w14:paraId="259EED39" w14:textId="77777777" w:rsidR="00645141" w:rsidRDefault="002159D3">
      <w:pPr>
        <w:pStyle w:val="Bezmezer1"/>
        <w:jc w:val="center"/>
      </w:pPr>
      <w:r>
        <w:rPr>
          <w:rFonts w:eastAsia="Times New Roman"/>
          <w:sz w:val="24"/>
          <w:szCs w:val="24"/>
          <w:lang w:eastAsia="en-US" w:bidi="en-US"/>
        </w:rPr>
        <w:lastRenderedPageBreak/>
        <w:t>Článek X.</w:t>
      </w:r>
    </w:p>
    <w:p w14:paraId="5CFF7AD9" w14:textId="77777777" w:rsidR="00645141" w:rsidRDefault="002159D3">
      <w:pPr>
        <w:pStyle w:val="Bezmezer1"/>
        <w:jc w:val="center"/>
      </w:pPr>
      <w:r>
        <w:rPr>
          <w:rFonts w:eastAsia="Times New Roman"/>
          <w:b/>
          <w:bCs/>
          <w:sz w:val="24"/>
          <w:szCs w:val="24"/>
          <w:lang w:eastAsia="en-US" w:bidi="en-US"/>
        </w:rPr>
        <w:t>Ostatní ujednání</w:t>
      </w:r>
    </w:p>
    <w:p w14:paraId="5018BA30" w14:textId="77777777" w:rsidR="00645141" w:rsidRDefault="002159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pacing w:before="120"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Smluvní strany js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ou povinny bez zbytečného odkladu oznámit druhé smluvní straně změnu údajů v záhlaví smlouvy. </w:t>
      </w:r>
    </w:p>
    <w:p w14:paraId="5FAB97BB" w14:textId="77777777" w:rsidR="00645141" w:rsidRDefault="002159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pacing w:before="120"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Poskytovatel není bez předchozího písemného souhlasu objednatele oprávněn postoupit práva a povinnosti z této smlouvy na třetí osobu.</w:t>
      </w:r>
    </w:p>
    <w:p w14:paraId="54E8C809" w14:textId="77777777" w:rsidR="00645141" w:rsidRDefault="002159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pacing w:before="120"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Poskytovatel je </w:t>
      </w:r>
      <w:r>
        <w:rPr>
          <w:rFonts w:ascii="Times New Roman" w:eastAsia="Times New Roman" w:hAnsi="Times New Roman" w:cs="Times New Roman"/>
          <w:color w:val="00000A"/>
          <w:sz w:val="24"/>
        </w:rPr>
        <w:t>povinen dokumenty související s poskytnutím služby dle této smlouvy uchovávat nejméně po dobu deseti (10) let od konce účetního období, ve kterém došlo k zaplacení služby popř. k poslednímu zdanitelnému plnění dle této smlouvy, a to zejména pro účely kontr</w:t>
      </w:r>
      <w:r>
        <w:rPr>
          <w:rFonts w:ascii="Times New Roman" w:eastAsia="Times New Roman" w:hAnsi="Times New Roman" w:cs="Times New Roman"/>
          <w:color w:val="00000A"/>
          <w:sz w:val="24"/>
        </w:rPr>
        <w:t>oly oprávněnými kontrolními orgány.</w:t>
      </w:r>
    </w:p>
    <w:p w14:paraId="014ED8B7" w14:textId="77777777" w:rsidR="00645141" w:rsidRDefault="002159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pacing w:before="120"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Poskytovatel je povinen upozornit objednatele písemně na existující či hrozící střet zájmů bezodkladně poté, co střet zájmů vznikne nebo vyjde najevo, pokud poskytovatel i při vynaložení veškeré odborné péče nemohl střet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zájmů zjistit před uzavřením této smlouvy.</w:t>
      </w:r>
    </w:p>
    <w:p w14:paraId="48DC96FB" w14:textId="77777777" w:rsidR="00645141" w:rsidRDefault="002159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pacing w:before="120" w:after="0" w:line="240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Poskytovatel bez jakýchkoliv výhrad souhlasí se zveřejněním své identifikace a dalších údajů uvedených ve smlouvě včetně ceny.</w:t>
      </w:r>
    </w:p>
    <w:p w14:paraId="5199055B" w14:textId="77777777" w:rsidR="00645141" w:rsidRDefault="00645141">
      <w:pPr>
        <w:widowControl w:val="0"/>
        <w:shd w:val="clear" w:color="auto" w:fill="FFFFFF"/>
        <w:spacing w:before="120" w:after="0" w:line="240" w:lineRule="auto"/>
        <w:jc w:val="both"/>
      </w:pPr>
    </w:p>
    <w:p w14:paraId="766F681F" w14:textId="77777777" w:rsidR="00645141" w:rsidRDefault="00645141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2AFA54F7" w14:textId="77777777" w:rsidR="00645141" w:rsidRDefault="002159D3">
      <w:pPr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>Článek XI.</w:t>
      </w:r>
    </w:p>
    <w:p w14:paraId="609A4A31" w14:textId="77777777" w:rsidR="00645141" w:rsidRDefault="002159D3">
      <w:pPr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Závěrečná ustanovení</w:t>
      </w:r>
    </w:p>
    <w:p w14:paraId="1A1D1810" w14:textId="77777777" w:rsidR="00645141" w:rsidRDefault="002159D3">
      <w:pPr>
        <w:widowControl w:val="0"/>
        <w:numPr>
          <w:ilvl w:val="0"/>
          <w:numId w:val="14"/>
        </w:numPr>
        <w:spacing w:after="12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Kontaktní osoby smluvních stran uvedené v čl. I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jsou oprávněny k poskytování součinnosti dle této smlouvy, nejsou však jakkoli oprávněny či zmocněny ke sjednávání změn nebo rozsahu této smlouvy.</w:t>
      </w:r>
    </w:p>
    <w:p w14:paraId="6930E49E" w14:textId="77777777" w:rsidR="00645141" w:rsidRDefault="002159D3">
      <w:pPr>
        <w:widowControl w:val="0"/>
        <w:numPr>
          <w:ilvl w:val="0"/>
          <w:numId w:val="14"/>
        </w:numPr>
        <w:spacing w:after="12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Veškerá korespondence mezi smluvními stranami, včetně jejich prohlášení, je ve vztahu k této smlouvě irelevan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tní, není-li ve smlouvě stanoveno jinak.</w:t>
      </w:r>
    </w:p>
    <w:p w14:paraId="13BF7431" w14:textId="77777777" w:rsidR="00645141" w:rsidRDefault="002159D3">
      <w:pPr>
        <w:widowControl w:val="0"/>
        <w:numPr>
          <w:ilvl w:val="0"/>
          <w:numId w:val="14"/>
        </w:numPr>
        <w:spacing w:after="12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Smluvní strany jsou srozuměny, že tato smlouva podléhá povinnosti uveřejnění dle zákona č. 340/2015 Sb., o zvláštních podmínkách účinnosti některých smluv, uveřejňování těchto smluv a o registru smluv, ve znění pozd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ějších předpisů (dále jen „zákon o registru smluv“). Tuto smlouvu dle zákona o registru smluv uveřejní Česká republika – Hasičský záchranný sbor hlavního města Prahy, a to do třiceti (30) dnů od uzavření smlouvy.</w:t>
      </w:r>
    </w:p>
    <w:p w14:paraId="32D939C5" w14:textId="77777777" w:rsidR="00645141" w:rsidRDefault="002159D3">
      <w:pPr>
        <w:widowControl w:val="0"/>
        <w:numPr>
          <w:ilvl w:val="0"/>
          <w:numId w:val="14"/>
        </w:numPr>
        <w:spacing w:after="12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Smlouva nabývá platnosti dnem jejího podpis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u oběma smluvními stranami a dle § 6 odst. 1 zákona o registru smluv nabývá účinnosti nejdříve dnem uveřejnění v registru smluv.</w:t>
      </w:r>
    </w:p>
    <w:p w14:paraId="5289F65C" w14:textId="77777777" w:rsidR="00645141" w:rsidRDefault="002159D3">
      <w:pPr>
        <w:widowControl w:val="0"/>
        <w:numPr>
          <w:ilvl w:val="0"/>
          <w:numId w:val="14"/>
        </w:numPr>
        <w:spacing w:after="12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Smluvní strany se dohodly, že tato smlouva a právní vztahy jí založené se řídí podle zákona č. 89/2012 Sb., občanského zákoníku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. </w:t>
      </w:r>
    </w:p>
    <w:p w14:paraId="11BCFF51" w14:textId="77777777" w:rsidR="00645141" w:rsidRDefault="002159D3">
      <w:pPr>
        <w:widowControl w:val="0"/>
        <w:numPr>
          <w:ilvl w:val="0"/>
          <w:numId w:val="14"/>
        </w:numPr>
        <w:spacing w:after="12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Smlouva může být měněna a doplňována pouze formou písemných vzestupně číslovaných dodatků podepsaných oprávněnými zástupci obou smluvních stran, pokud není touto smlouvou sjednáno jinak.  </w:t>
      </w:r>
    </w:p>
    <w:p w14:paraId="1A9B7C60" w14:textId="77777777" w:rsidR="00645141" w:rsidRDefault="002159D3">
      <w:pPr>
        <w:widowControl w:val="0"/>
        <w:numPr>
          <w:ilvl w:val="0"/>
          <w:numId w:val="14"/>
        </w:numPr>
        <w:spacing w:after="12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Smluvní strany se dohodly, že případný spor, který vznikne z tét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o smlouvy nebo v souvislosti s ní bude rozhodován výlučně podle českého práva obecnými soudy v České republice. </w:t>
      </w:r>
    </w:p>
    <w:p w14:paraId="59FF4052" w14:textId="77777777" w:rsidR="00645141" w:rsidRDefault="002159D3">
      <w:pPr>
        <w:widowControl w:val="0"/>
        <w:numPr>
          <w:ilvl w:val="0"/>
          <w:numId w:val="14"/>
        </w:numPr>
        <w:spacing w:after="12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Strany si nepřejí, aby nad rámec výslovných ustanovení této smlouvy byla jakákoliv práva a povinnosti dovozovány z dosavadní či budoucí praxe z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avedené mezi stranami či zvyklostí zachovávaných obecně či v odvětví týkajícím se předmětu plnění této smlouvy. Vedle shora uvedeného si strany potvrzují, že si nejsou vědomy žádných dosud mezi nimi zavedených obchodních zvyklostí či praxe. </w:t>
      </w:r>
    </w:p>
    <w:p w14:paraId="305374A3" w14:textId="77777777" w:rsidR="00645141" w:rsidRDefault="002159D3">
      <w:pPr>
        <w:widowControl w:val="0"/>
        <w:numPr>
          <w:ilvl w:val="0"/>
          <w:numId w:val="14"/>
        </w:numPr>
        <w:spacing w:after="12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Strany si sděl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ily všechny skutkové a právní okolnosti, o nichž k datu podpisu této smlouvy věděly nebo vědět musely, a které jsou relevantní ve vztahu k uzavření této smlouvy.</w:t>
      </w:r>
    </w:p>
    <w:p w14:paraId="0CAE6BCE" w14:textId="77777777" w:rsidR="00645141" w:rsidRDefault="002159D3">
      <w:pPr>
        <w:widowControl w:val="0"/>
        <w:numPr>
          <w:ilvl w:val="0"/>
          <w:numId w:val="14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Smluvní strany uzavírají tuto smlouvu v souladu se zákonem č. 110/2019 Sb., o zpracování osobn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ích údajů, a podle Nařízení Evropského parlamentu a Rady (EU) 2016/679 ze dne 27. dubna 2016 o ochraně fyzických osob v souvislosti se zpracováním osobních údajů a o volném pohybu těchto údajů a o zrušení směrnice 95/46/ES (obecné nařízení o ochraně osobní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ch údajů).</w:t>
      </w:r>
    </w:p>
    <w:p w14:paraId="1A6A8878" w14:textId="77777777" w:rsidR="00645141" w:rsidRDefault="002159D3">
      <w:pPr>
        <w:widowControl w:val="0"/>
        <w:numPr>
          <w:ilvl w:val="0"/>
          <w:numId w:val="14"/>
        </w:numPr>
        <w:spacing w:after="12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Tato smlouva je vyhotovena ve třech (3) stejnopisech, z nichž jeden (1) stejnopis obdrží poskytovatel a dva (2) objednatel. </w:t>
      </w:r>
    </w:p>
    <w:p w14:paraId="040213C7" w14:textId="77777777" w:rsidR="00645141" w:rsidRDefault="002159D3">
      <w:pPr>
        <w:widowControl w:val="0"/>
        <w:numPr>
          <w:ilvl w:val="0"/>
          <w:numId w:val="14"/>
        </w:numPr>
        <w:spacing w:after="12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>Nedílnou součástí této smlouvy je příloha:</w:t>
      </w:r>
    </w:p>
    <w:p w14:paraId="5EBD64E6" w14:textId="77777777" w:rsidR="00645141" w:rsidRDefault="002159D3">
      <w:pPr>
        <w:tabs>
          <w:tab w:val="left" w:pos="0"/>
        </w:tabs>
        <w:spacing w:after="120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</w:rPr>
        <w:tab/>
        <w:t>příloha č. 1 – Technická specifikace.</w:t>
      </w:r>
    </w:p>
    <w:p w14:paraId="22D4C0D2" w14:textId="77777777" w:rsidR="00645141" w:rsidRDefault="00645141">
      <w:pPr>
        <w:tabs>
          <w:tab w:val="left" w:pos="4846"/>
        </w:tabs>
        <w:ind w:left="116"/>
        <w:jc w:val="both"/>
        <w:rPr>
          <w:rFonts w:ascii="Times New Roman" w:eastAsia="Times New Roman" w:hAnsi="Times New Roman" w:cs="Times New Roman"/>
          <w:sz w:val="24"/>
        </w:rPr>
      </w:pPr>
    </w:p>
    <w:p w14:paraId="56F5F607" w14:textId="77777777" w:rsidR="00645141" w:rsidRDefault="00645141">
      <w:pPr>
        <w:tabs>
          <w:tab w:val="left" w:pos="4846"/>
        </w:tabs>
        <w:ind w:left="116"/>
        <w:jc w:val="both"/>
        <w:rPr>
          <w:rFonts w:ascii="Times New Roman" w:eastAsia="Times New Roman" w:hAnsi="Times New Roman" w:cs="Times New Roman"/>
          <w:sz w:val="24"/>
        </w:rPr>
      </w:pPr>
    </w:p>
    <w:p w14:paraId="6AE508C8" w14:textId="77777777" w:rsidR="00645141" w:rsidRDefault="00645141">
      <w:pPr>
        <w:tabs>
          <w:tab w:val="left" w:pos="4846"/>
        </w:tabs>
        <w:ind w:left="116"/>
        <w:jc w:val="both"/>
        <w:rPr>
          <w:rFonts w:ascii="Times New Roman" w:eastAsia="Times New Roman" w:hAnsi="Times New Roman" w:cs="Times New Roman"/>
          <w:sz w:val="24"/>
        </w:rPr>
      </w:pPr>
    </w:p>
    <w:p w14:paraId="6F8EE234" w14:textId="77777777" w:rsidR="00645141" w:rsidRDefault="00645141">
      <w:pPr>
        <w:tabs>
          <w:tab w:val="left" w:pos="4846"/>
        </w:tabs>
        <w:ind w:left="116"/>
        <w:jc w:val="both"/>
        <w:rPr>
          <w:rFonts w:ascii="Times New Roman" w:eastAsia="Times New Roman" w:hAnsi="Times New Roman" w:cs="Times New Roman"/>
          <w:sz w:val="24"/>
        </w:rPr>
      </w:pPr>
    </w:p>
    <w:p w14:paraId="5788E757" w14:textId="77777777" w:rsidR="00645141" w:rsidRDefault="002159D3">
      <w:pPr>
        <w:tabs>
          <w:tab w:val="left" w:pos="4846"/>
        </w:tabs>
        <w:jc w:val="both"/>
      </w:pPr>
      <w:r>
        <w:rPr>
          <w:rFonts w:ascii="Times New Roman" w:eastAsia="Times New Roman" w:hAnsi="Times New Roman" w:cs="Times New Roman"/>
          <w:sz w:val="24"/>
        </w:rPr>
        <w:t>Za objednatele: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Za </w:t>
      </w:r>
      <w:r>
        <w:rPr>
          <w:rFonts w:ascii="Times New Roman" w:eastAsia="Times New Roman" w:hAnsi="Times New Roman" w:cs="Times New Roman"/>
          <w:sz w:val="24"/>
        </w:rPr>
        <w:t>poskytovatele:</w:t>
      </w:r>
    </w:p>
    <w:p w14:paraId="3A1FD796" w14:textId="77777777" w:rsidR="00645141" w:rsidRDefault="00645141">
      <w:pPr>
        <w:tabs>
          <w:tab w:val="left" w:pos="4846"/>
        </w:tabs>
        <w:ind w:left="116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14:paraId="729E6D4E" w14:textId="77777777" w:rsidR="00645141" w:rsidRDefault="002159D3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Praze dne: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V Brně dne: </w:t>
      </w:r>
    </w:p>
    <w:p w14:paraId="42D4450B" w14:textId="77777777" w:rsidR="00645141" w:rsidRDefault="00645141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sz w:val="24"/>
        </w:rPr>
      </w:pPr>
    </w:p>
    <w:p w14:paraId="64698CA3" w14:textId="77777777" w:rsidR="00645141" w:rsidRDefault="002159D3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40453AA8" w14:textId="77777777" w:rsidR="00645141" w:rsidRDefault="002159D3">
      <w:pPr>
        <w:tabs>
          <w:tab w:val="left" w:pos="4962"/>
        </w:tabs>
        <w:jc w:val="both"/>
      </w:pPr>
      <w:r>
        <w:rPr>
          <w:rFonts w:ascii="Times New Roman" w:eastAsia="Times New Roman" w:hAnsi="Times New Roman" w:cs="Times New Roman"/>
          <w:sz w:val="24"/>
        </w:rPr>
        <w:t>… … … … … … … … … …</w:t>
      </w:r>
      <w:r>
        <w:rPr>
          <w:rFonts w:ascii="Times New Roman" w:eastAsia="Times New Roman" w:hAnsi="Times New Roman" w:cs="Times New Roman"/>
          <w:sz w:val="24"/>
        </w:rPr>
        <w:tab/>
        <w:t xml:space="preserve">… … … … … … … … </w:t>
      </w:r>
    </w:p>
    <w:p w14:paraId="3AE81905" w14:textId="77777777" w:rsidR="00645141" w:rsidRDefault="002159D3">
      <w:pPr>
        <w:tabs>
          <w:tab w:val="left" w:pos="4962"/>
        </w:tabs>
        <w:jc w:val="both"/>
      </w:pPr>
      <w:r>
        <w:rPr>
          <w:rFonts w:ascii="Times New Roman" w:eastAsia="Times New Roman" w:hAnsi="Times New Roman" w:cs="Times New Roman"/>
          <w:sz w:val="24"/>
        </w:rPr>
        <w:t>brig. gen. Ing. Roman Hlinovský</w:t>
      </w:r>
      <w:r>
        <w:rPr>
          <w:rFonts w:ascii="Times New Roman" w:eastAsia="Times New Roman" w:hAnsi="Times New Roman" w:cs="Times New Roman"/>
          <w:sz w:val="24"/>
        </w:rPr>
        <w:tab/>
        <w:t>Mgr. Miloslav Kvapil</w:t>
      </w:r>
    </w:p>
    <w:p w14:paraId="7514B46C" w14:textId="77777777" w:rsidR="00645141" w:rsidRDefault="002159D3">
      <w:pPr>
        <w:tabs>
          <w:tab w:val="left" w:pos="4962"/>
        </w:tabs>
        <w:jc w:val="both"/>
      </w:pPr>
      <w:r>
        <w:rPr>
          <w:rFonts w:ascii="Times New Roman" w:eastAsia="Times New Roman" w:hAnsi="Times New Roman" w:cs="Times New Roman"/>
          <w:sz w:val="24"/>
        </w:rPr>
        <w:t>ředitel HZS hl. m. Prahy</w:t>
      </w:r>
      <w:r>
        <w:rPr>
          <w:rFonts w:ascii="Times New Roman" w:eastAsia="Times New Roman" w:hAnsi="Times New Roman" w:cs="Times New Roman"/>
          <w:sz w:val="24"/>
        </w:rPr>
        <w:tab/>
        <w:t>DYNATECH s.r.o. jednatel společnosti</w:t>
      </w:r>
    </w:p>
    <w:p w14:paraId="365A8ABF" w14:textId="77777777" w:rsidR="00645141" w:rsidRDefault="002159D3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objednatel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poskytovatel</w:t>
      </w:r>
    </w:p>
    <w:p w14:paraId="4A899070" w14:textId="77777777" w:rsidR="00645141" w:rsidRDefault="00645141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1A76E45E" w14:textId="77777777" w:rsidR="00645141" w:rsidRDefault="00645141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5E23AF28" w14:textId="77777777" w:rsidR="00645141" w:rsidRDefault="00645141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1A03768A" w14:textId="77777777" w:rsidR="00645141" w:rsidRDefault="00645141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11E739EB" w14:textId="77777777" w:rsidR="00645141" w:rsidRDefault="00645141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6EA59F2C" w14:textId="77777777" w:rsidR="00645141" w:rsidRDefault="00645141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62D83AAA" w14:textId="77777777" w:rsidR="00645141" w:rsidRDefault="00645141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1C4F8A50" w14:textId="77777777" w:rsidR="00645141" w:rsidRDefault="00645141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3279F0E3" w14:textId="77777777" w:rsidR="00645141" w:rsidRDefault="00645141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B1AF56E" w14:textId="65D8691A" w:rsidR="00645141" w:rsidRDefault="00645141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3A450747" w14:textId="0534F9CD" w:rsidR="009D10BD" w:rsidRDefault="009D10BD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6000E82" w14:textId="77777777" w:rsidR="00645141" w:rsidRDefault="002159D3">
      <w:pPr>
        <w:tabs>
          <w:tab w:val="left" w:pos="4962"/>
        </w:tabs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Příloha č. 1 – Technická specifikace</w:t>
      </w:r>
    </w:p>
    <w:p w14:paraId="4B393FD5" w14:textId="77777777" w:rsidR="00645141" w:rsidRDefault="002159D3">
      <w:pP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Digitalizace výkonu řídící kontroly – technická specifikace předmětu plnění</w:t>
      </w:r>
    </w:p>
    <w:p w14:paraId="6E52A777" w14:textId="77777777" w:rsidR="00645141" w:rsidRDefault="00645141">
      <w:pPr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73EF7F4E" w14:textId="77777777" w:rsidR="00645141" w:rsidRDefault="002159D3">
      <w:pPr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Předmětem jsou služby k zajištění výkonu řídící kontroly dle zákona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č. 320/2001 Sb. o finanční kontrole ve veřejné správě a prováděcí vyhlášk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y č. 416/2004 Sb.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související služby.</w:t>
      </w:r>
    </w:p>
    <w:p w14:paraId="45F3D5F0" w14:textId="77777777" w:rsidR="00645141" w:rsidRDefault="00645141">
      <w:pPr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bookmarkStart w:id="4" w:name="_Hlk25157508"/>
    </w:p>
    <w:p w14:paraId="366322BE" w14:textId="77777777" w:rsidR="00645141" w:rsidRDefault="002159D3">
      <w:pPr>
        <w:pStyle w:val="zkladntext"/>
        <w:spacing w:line="240" w:lineRule="auto"/>
        <w:ind w:left="709" w:hanging="283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1.  Jednorázově poskytnuté služby:</w:t>
      </w:r>
    </w:p>
    <w:p w14:paraId="1438A29A" w14:textId="77777777" w:rsidR="00645141" w:rsidRDefault="002159D3">
      <w:pPr>
        <w:pStyle w:val="zkladntext"/>
        <w:numPr>
          <w:ilvl w:val="0"/>
          <w:numId w:val="15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Před implementační analýza</w:t>
      </w:r>
    </w:p>
    <w:p w14:paraId="5BC29DAC" w14:textId="77777777" w:rsidR="00645141" w:rsidRDefault="002159D3">
      <w:pPr>
        <w:pStyle w:val="zkladntext"/>
        <w:numPr>
          <w:ilvl w:val="0"/>
          <w:numId w:val="15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Implementace řešení do organizace</w:t>
      </w:r>
    </w:p>
    <w:p w14:paraId="5427C45F" w14:textId="77777777" w:rsidR="00645141" w:rsidRDefault="002159D3">
      <w:pPr>
        <w:pStyle w:val="zkladntext"/>
        <w:numPr>
          <w:ilvl w:val="0"/>
          <w:numId w:val="15"/>
        </w:numPr>
        <w:spacing w:line="240" w:lineRule="auto"/>
        <w:jc w:val="left"/>
      </w:pPr>
      <w:r>
        <w:rPr>
          <w:rFonts w:eastAsia="Times New Roman"/>
          <w:color w:val="00000A"/>
          <w:sz w:val="22"/>
          <w:shd w:val="clear" w:color="auto" w:fill="FFFFFF"/>
        </w:rPr>
        <w:t>Příprava prostředí pro potřebu ukládání dat na servery HZS hl. m. Prahy.</w:t>
      </w:r>
    </w:p>
    <w:p w14:paraId="14A55824" w14:textId="77777777" w:rsidR="00645141" w:rsidRDefault="00645141">
      <w:pPr>
        <w:pStyle w:val="zkladntext"/>
        <w:spacing w:line="240" w:lineRule="auto"/>
        <w:ind w:left="720"/>
        <w:jc w:val="left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</w:p>
    <w:p w14:paraId="26331893" w14:textId="77777777" w:rsidR="00645141" w:rsidRDefault="002159D3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Softwarové řešení zajistí tyto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kontrolní mechanismy:</w:t>
      </w:r>
    </w:p>
    <w:p w14:paraId="11427B6C" w14:textId="77777777" w:rsidR="00645141" w:rsidRDefault="002159D3">
      <w:pPr>
        <w:pStyle w:val="zkladntext"/>
        <w:numPr>
          <w:ilvl w:val="0"/>
          <w:numId w:val="16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 xml:space="preserve">Soulad se zákonem 320/2001 Sb. o finanční kontrole ve veřejné správě a vyhláškou </w:t>
      </w: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br/>
      </w: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č. 416/2004 Sb.</w:t>
      </w:r>
    </w:p>
    <w:p w14:paraId="3E85A4AB" w14:textId="77777777" w:rsidR="00645141" w:rsidRDefault="002159D3">
      <w:pPr>
        <w:pStyle w:val="zkladntext"/>
        <w:numPr>
          <w:ilvl w:val="0"/>
          <w:numId w:val="16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Schvalování všech finančních a majetkových operací</w:t>
      </w:r>
    </w:p>
    <w:p w14:paraId="280B0412" w14:textId="77777777" w:rsidR="00645141" w:rsidRDefault="002159D3">
      <w:pPr>
        <w:pStyle w:val="zkladntext"/>
        <w:numPr>
          <w:ilvl w:val="0"/>
          <w:numId w:val="16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Soulad finanční výše před vznikem závazku a po vzniku závazku</w:t>
      </w:r>
    </w:p>
    <w:p w14:paraId="49A7F91C" w14:textId="77777777" w:rsidR="00645141" w:rsidRDefault="002159D3">
      <w:pPr>
        <w:pStyle w:val="zkladntext"/>
        <w:numPr>
          <w:ilvl w:val="0"/>
          <w:numId w:val="16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Soulad finanční výše př</w:t>
      </w: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ed vznikem nároku a po vzniku nároku</w:t>
      </w:r>
    </w:p>
    <w:p w14:paraId="4C0C8774" w14:textId="77777777" w:rsidR="00645141" w:rsidRDefault="002159D3">
      <w:pPr>
        <w:pStyle w:val="zkladntext"/>
        <w:numPr>
          <w:ilvl w:val="0"/>
          <w:numId w:val="16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Soulad časového období a výše čerpání u limitovaných příslibů</w:t>
      </w:r>
    </w:p>
    <w:p w14:paraId="17B556A4" w14:textId="77777777" w:rsidR="00645141" w:rsidRDefault="002159D3">
      <w:pPr>
        <w:pStyle w:val="zkladntext"/>
        <w:numPr>
          <w:ilvl w:val="0"/>
          <w:numId w:val="16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Soulad chronologie výkonu řídící kontroly</w:t>
      </w:r>
    </w:p>
    <w:p w14:paraId="22C9A1D4" w14:textId="77777777" w:rsidR="00645141" w:rsidRDefault="002159D3">
      <w:pPr>
        <w:pStyle w:val="zkladntext"/>
        <w:numPr>
          <w:ilvl w:val="0"/>
          <w:numId w:val="16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Soulad subjektů na operacích řídící kontroly</w:t>
      </w:r>
    </w:p>
    <w:p w14:paraId="2C520A19" w14:textId="77777777" w:rsidR="00645141" w:rsidRDefault="002159D3">
      <w:pPr>
        <w:pStyle w:val="zkladntext"/>
        <w:numPr>
          <w:ilvl w:val="0"/>
          <w:numId w:val="16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Soulad finančního krytí operací řídící kontroly</w:t>
      </w:r>
    </w:p>
    <w:p w14:paraId="625A30E1" w14:textId="77777777" w:rsidR="00645141" w:rsidRDefault="002159D3">
      <w:pPr>
        <w:pStyle w:val="zkladntext"/>
        <w:numPr>
          <w:ilvl w:val="0"/>
          <w:numId w:val="16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 xml:space="preserve">Shoda položek </w:t>
      </w: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věcného plnění, finančního krytí a předkontace s celkovou částkou</w:t>
      </w:r>
    </w:p>
    <w:p w14:paraId="391212BD" w14:textId="77777777" w:rsidR="00645141" w:rsidRDefault="002159D3">
      <w:pPr>
        <w:pStyle w:val="zkladntext"/>
        <w:numPr>
          <w:ilvl w:val="0"/>
          <w:numId w:val="16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Kontrola obsazení rolí uživateli s právem rozhodnutí</w:t>
      </w:r>
    </w:p>
    <w:p w14:paraId="05659ED3" w14:textId="77777777" w:rsidR="00645141" w:rsidRDefault="002159D3">
      <w:pPr>
        <w:pStyle w:val="zkladntext"/>
        <w:numPr>
          <w:ilvl w:val="0"/>
          <w:numId w:val="16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Kontrola připojení dokladu po vzniku závazku/nároku k dokladu před vznikem závazku/nároku</w:t>
      </w:r>
    </w:p>
    <w:p w14:paraId="268AC70A" w14:textId="77777777" w:rsidR="00645141" w:rsidRDefault="002159D3">
      <w:pPr>
        <w:pStyle w:val="zkladntext"/>
        <w:numPr>
          <w:ilvl w:val="0"/>
          <w:numId w:val="16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 xml:space="preserve">Kontrola spolehlivosti plátce DPH a zveřejnění </w:t>
      </w: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jeho účtů</w:t>
      </w:r>
    </w:p>
    <w:p w14:paraId="3502A1ED" w14:textId="77777777" w:rsidR="00645141" w:rsidRDefault="002159D3">
      <w:pPr>
        <w:pStyle w:val="zkladntext"/>
        <w:numPr>
          <w:ilvl w:val="0"/>
          <w:numId w:val="16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Kontrolu přidělování a vykonávání úkolů v procesech dle organizačního nastavení</w:t>
      </w:r>
    </w:p>
    <w:p w14:paraId="410ACC07" w14:textId="77777777" w:rsidR="00645141" w:rsidRDefault="00645141">
      <w:pPr>
        <w:pStyle w:val="zkladntext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</w:p>
    <w:p w14:paraId="5641F498" w14:textId="77777777" w:rsidR="00645141" w:rsidRDefault="002159D3">
      <w:pPr>
        <w:pStyle w:val="zkladntext"/>
        <w:numPr>
          <w:ilvl w:val="0"/>
          <w:numId w:val="10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Provozní podpora řešení</w:t>
      </w:r>
    </w:p>
    <w:p w14:paraId="3B515312" w14:textId="77777777" w:rsidR="00645141" w:rsidRDefault="002159D3">
      <w:pPr>
        <w:pStyle w:val="zkladntext"/>
        <w:numPr>
          <w:ilvl w:val="0"/>
          <w:numId w:val="15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Průběžný monitoring zavedených kontrolních mechanismů</w:t>
      </w:r>
    </w:p>
    <w:p w14:paraId="39ECA9F0" w14:textId="77777777" w:rsidR="00645141" w:rsidRDefault="002159D3">
      <w:pPr>
        <w:pStyle w:val="zkladntext"/>
        <w:numPr>
          <w:ilvl w:val="0"/>
          <w:numId w:val="15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Průběžná legislativní garance a technická údržba řešení</w:t>
      </w:r>
    </w:p>
    <w:p w14:paraId="04D2E2D0" w14:textId="23F93496" w:rsidR="00645141" w:rsidRDefault="002159D3" w:rsidP="00362D96">
      <w:pPr>
        <w:pStyle w:val="zkladntext"/>
        <w:numPr>
          <w:ilvl w:val="0"/>
          <w:numId w:val="15"/>
        </w:numPr>
        <w:spacing w:line="240" w:lineRule="auto"/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Servisní podpora dodaného řešen</w:t>
      </w: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 xml:space="preserve">í v rozsahu 5 hodin měsíčně. </w:t>
      </w:r>
      <w:r w:rsidR="00362D96"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 xml:space="preserve">Nevyčerpané, tzv. „volné“ hodiny se převádí do dalšího období. </w:t>
      </w:r>
    </w:p>
    <w:p w14:paraId="2A6330B1" w14:textId="77777777" w:rsidR="00362D96" w:rsidRPr="00362D96" w:rsidRDefault="00362D96" w:rsidP="00362D96">
      <w:pPr>
        <w:pStyle w:val="zkladntext"/>
        <w:spacing w:line="240" w:lineRule="auto"/>
        <w:ind w:left="720"/>
      </w:pPr>
    </w:p>
    <w:p w14:paraId="29540AF3" w14:textId="77777777" w:rsidR="00645141" w:rsidRDefault="002159D3">
      <w:pPr>
        <w:pStyle w:val="zkladntext"/>
        <w:numPr>
          <w:ilvl w:val="0"/>
          <w:numId w:val="10"/>
        </w:numPr>
        <w:spacing w:line="240" w:lineRule="auto"/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 xml:space="preserve">Služby nad rámce provozní podpory řešení </w:t>
      </w:r>
      <w:r>
        <w:rPr>
          <w:rFonts w:eastAsia="Times New Roman"/>
          <w:color w:val="00000A"/>
          <w:shd w:val="clear" w:color="auto" w:fill="FFFFFF"/>
        </w:rPr>
        <w:t>(</w:t>
      </w: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termín realizace od 1.1.2020</w:t>
      </w:r>
      <w:r>
        <w:rPr>
          <w:rFonts w:eastAsia="Times New Roman"/>
          <w:color w:val="00000A"/>
          <w:shd w:val="clear" w:color="auto" w:fill="FFFFFF"/>
        </w:rPr>
        <w:t>)</w:t>
      </w:r>
    </w:p>
    <w:p w14:paraId="1834C766" w14:textId="77777777" w:rsidR="00645141" w:rsidRDefault="002159D3">
      <w:pPr>
        <w:pStyle w:val="zkladntext"/>
        <w:numPr>
          <w:ilvl w:val="0"/>
          <w:numId w:val="17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Školení uživatelů</w:t>
      </w:r>
    </w:p>
    <w:p w14:paraId="3BD25398" w14:textId="77777777" w:rsidR="00645141" w:rsidRDefault="002159D3">
      <w:pPr>
        <w:pStyle w:val="zkladntext"/>
        <w:numPr>
          <w:ilvl w:val="0"/>
          <w:numId w:val="17"/>
        </w:numPr>
        <w:spacing w:line="240" w:lineRule="auto"/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Metodická podpora</w:t>
      </w:r>
    </w:p>
    <w:p w14:paraId="0EDDC943" w14:textId="77777777" w:rsidR="00645141" w:rsidRDefault="002159D3">
      <w:pPr>
        <w:pStyle w:val="zkladntext"/>
        <w:numPr>
          <w:ilvl w:val="0"/>
          <w:numId w:val="17"/>
        </w:numPr>
        <w:spacing w:line="240" w:lineRule="auto"/>
      </w:pPr>
      <w:r>
        <w:rPr>
          <w:rFonts w:eastAsia="Times New Roman"/>
          <w:color w:val="00000A"/>
          <w:kern w:val="3"/>
          <w:sz w:val="22"/>
          <w:shd w:val="clear" w:color="auto" w:fill="FFFFFF"/>
          <w:lang w:eastAsia="zh-CN" w:bidi="en-US"/>
        </w:rPr>
        <w:t>Úpravy řešení dle požadavků objednatele</w:t>
      </w:r>
      <w:bookmarkEnd w:id="4"/>
    </w:p>
    <w:sectPr w:rsidR="00645141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87C0" w14:textId="77777777" w:rsidR="002159D3" w:rsidRDefault="002159D3">
      <w:pPr>
        <w:spacing w:after="0" w:line="240" w:lineRule="auto"/>
      </w:pPr>
      <w:r>
        <w:separator/>
      </w:r>
    </w:p>
  </w:endnote>
  <w:endnote w:type="continuationSeparator" w:id="0">
    <w:p w14:paraId="5BCAD109" w14:textId="77777777" w:rsidR="002159D3" w:rsidRDefault="0021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2656" w14:textId="77777777" w:rsidR="002159D3" w:rsidRDefault="002159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0EC410" w14:textId="77777777" w:rsidR="002159D3" w:rsidRDefault="0021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F64"/>
    <w:multiLevelType w:val="multilevel"/>
    <w:tmpl w:val="3D14B33A"/>
    <w:lvl w:ilvl="0">
      <w:start w:val="1"/>
      <w:numFmt w:val="lowerLetter"/>
      <w:lvlText w:val="%1)"/>
      <w:lvlJc w:val="right"/>
      <w:pPr>
        <w:ind w:left="1068" w:hanging="360"/>
      </w:pPr>
      <w:rPr>
        <w:rFonts w:ascii="Times New Roman" w:hAnsi="Times New Roman" w:cs="Times New Roman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1E0BB8"/>
    <w:multiLevelType w:val="multilevel"/>
    <w:tmpl w:val="723E2B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lang w:val="cs-CZ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DE7593"/>
    <w:multiLevelType w:val="multilevel"/>
    <w:tmpl w:val="B226D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lang w:val="cs-CZ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31E228F"/>
    <w:multiLevelType w:val="multilevel"/>
    <w:tmpl w:val="F92CCC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D575C6"/>
    <w:multiLevelType w:val="multilevel"/>
    <w:tmpl w:val="E7427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pacing w:val="-10"/>
        <w:sz w:val="24"/>
        <w:szCs w:val="24"/>
        <w:shd w:val="clear" w:color="auto" w:fill="FFFFFF"/>
        <w:lang w:val="cs-CZ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304159F7"/>
    <w:multiLevelType w:val="multilevel"/>
    <w:tmpl w:val="37807C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8D7783"/>
    <w:multiLevelType w:val="multilevel"/>
    <w:tmpl w:val="3E5A4C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9B066AB"/>
    <w:multiLevelType w:val="multilevel"/>
    <w:tmpl w:val="133E96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lang w:val="cs-CZ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AE812B4"/>
    <w:multiLevelType w:val="multilevel"/>
    <w:tmpl w:val="507407B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2007E"/>
    <w:multiLevelType w:val="multilevel"/>
    <w:tmpl w:val="1884F4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lang w:val="cs-CZ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0" w15:restartNumberingAfterBreak="0">
    <w:nsid w:val="49034969"/>
    <w:multiLevelType w:val="multilevel"/>
    <w:tmpl w:val="10608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pacing w:val="-10"/>
        <w:sz w:val="24"/>
        <w:szCs w:val="24"/>
        <w:shd w:val="clear" w:color="auto" w:fill="FFFFFF"/>
        <w:lang w:val="cs-CZ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5BC00E2A"/>
    <w:multiLevelType w:val="multilevel"/>
    <w:tmpl w:val="0296A25C"/>
    <w:lvl w:ilvl="0">
      <w:start w:val="1"/>
      <w:numFmt w:val="lowerLetter"/>
      <w:lvlText w:val="%1)"/>
      <w:lvlJc w:val="right"/>
      <w:pPr>
        <w:ind w:left="1069" w:hanging="360"/>
      </w:pPr>
      <w:rPr>
        <w:rFonts w:ascii="Times New Roman" w:hAnsi="Times New Roman" w:cs="Times New Roman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54D0502"/>
    <w:multiLevelType w:val="multilevel"/>
    <w:tmpl w:val="975C135A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327F5"/>
    <w:multiLevelType w:val="multilevel"/>
    <w:tmpl w:val="4A38D8D6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 w:cs="Times New Roman"/>
        <w:sz w:val="24"/>
        <w:lang w:val="cs-CZ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797341B"/>
    <w:multiLevelType w:val="multilevel"/>
    <w:tmpl w:val="5EE624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lang w:val="cs-CZ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  <w:sz w:val="24"/>
        <w:szCs w:val="24"/>
        <w:lang w:eastAsia="en-US" w:bidi="en-U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94F2C02"/>
    <w:multiLevelType w:val="multilevel"/>
    <w:tmpl w:val="EC24A5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FDF5ACC"/>
    <w:multiLevelType w:val="multilevel"/>
    <w:tmpl w:val="3ED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5141"/>
    <w:rsid w:val="002159D3"/>
    <w:rsid w:val="00362D96"/>
    <w:rsid w:val="00645141"/>
    <w:rsid w:val="009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E565"/>
  <w15:docId w15:val="{FFFF8B73-2D08-495F-A77A-7CFE99AD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widowControl w:val="0"/>
      <w:spacing w:after="0" w:line="240" w:lineRule="auto"/>
    </w:pPr>
    <w:rPr>
      <w:rFonts w:eastAsia="Segoe UI" w:cs="Tahoma"/>
      <w:color w:val="000000"/>
      <w:kern w:val="3"/>
      <w:sz w:val="20"/>
      <w:szCs w:val="20"/>
      <w:lang w:val="en-US" w:eastAsia="zh-CN" w:bidi="en-US"/>
    </w:rPr>
  </w:style>
  <w:style w:type="character" w:customStyle="1" w:styleId="TextkomenteChar">
    <w:name w:val="Text komentáře Char"/>
    <w:basedOn w:val="Standardnpsmoodstavce"/>
    <w:rPr>
      <w:rFonts w:ascii="Calibri" w:eastAsia="Segoe UI" w:hAnsi="Calibri" w:cs="Tahoma"/>
      <w:color w:val="000000"/>
      <w:kern w:val="3"/>
      <w:sz w:val="20"/>
      <w:szCs w:val="20"/>
      <w:lang w:val="en-US" w:eastAsia="zh-CN" w:bidi="en-US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Standardnpsmoodstavce1">
    <w:name w:val="Standardní písmo odstavce1"/>
  </w:style>
  <w:style w:type="character" w:styleId="Siln">
    <w:name w:val="Strong"/>
    <w:rPr>
      <w:b/>
      <w:bCs/>
    </w:rPr>
  </w:style>
  <w:style w:type="paragraph" w:customStyle="1" w:styleId="Bezmezer1">
    <w:name w:val="Bez mezer1"/>
    <w:pPr>
      <w:suppressAutoHyphens/>
      <w:spacing w:after="0" w:line="240" w:lineRule="auto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zkladntext">
    <w:name w:val="základní text"/>
    <w:pPr>
      <w:suppressAutoHyphens/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3174</Words>
  <Characters>18733</Characters>
  <Application>Microsoft Office Word</Application>
  <DocSecurity>0</DocSecurity>
  <Lines>156</Lines>
  <Paragraphs>43</Paragraphs>
  <ScaleCrop>false</ScaleCrop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Moc</dc:creator>
  <dc:description/>
  <cp:lastModifiedBy>Petra Kupská (DYNATECH)</cp:lastModifiedBy>
  <cp:revision>3</cp:revision>
  <dcterms:created xsi:type="dcterms:W3CDTF">2021-04-26T08:30:00Z</dcterms:created>
  <dcterms:modified xsi:type="dcterms:W3CDTF">2021-04-26T08:30:00Z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0x010100A6DCFB3E5CD41D47BAB89863A83BF091</vt:lpwstr>
  </property>
</Properties>
</file>