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8190" w14:textId="01C7874E"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Dodatek č. </w:t>
      </w:r>
      <w:r w:rsidR="00213266">
        <w:rPr>
          <w:rFonts w:ascii="Times New Roman" w:hAnsi="Times New Roman"/>
          <w:sz w:val="36"/>
        </w:rPr>
        <w:t>3</w:t>
      </w:r>
    </w:p>
    <w:p w14:paraId="72885B09" w14:textId="77777777" w:rsidR="00E81C94" w:rsidRPr="003A2361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</w:t>
      </w:r>
      <w:bookmarkStart w:id="0" w:name="_GoBack"/>
      <w:bookmarkEnd w:id="0"/>
      <w:r w:rsidR="003F6D9D" w:rsidRPr="000A0524">
        <w:rPr>
          <w:rFonts w:ascii="Times New Roman" w:hAnsi="Times New Roman"/>
          <w:sz w:val="36"/>
        </w:rPr>
        <w:t>eb</w:t>
      </w:r>
    </w:p>
    <w:p w14:paraId="74194D6B" w14:textId="77777777" w:rsidR="00520613" w:rsidRDefault="00A8795E" w:rsidP="00520613">
      <w:pPr>
        <w:pStyle w:val="doplnuchaze"/>
        <w:rPr>
          <w:rFonts w:ascii="Times New Roman" w:hAnsi="Times New Roman"/>
          <w:b w:val="0"/>
          <w:color w:val="000000"/>
        </w:rPr>
      </w:pPr>
      <w:r w:rsidRPr="000A0524">
        <w:rPr>
          <w:rFonts w:ascii="Times New Roman" w:hAnsi="Times New Roman"/>
          <w:b w:val="0"/>
        </w:rPr>
        <w:t xml:space="preserve">uzavřené dne </w:t>
      </w:r>
      <w:r w:rsidR="00520613" w:rsidRPr="00520613">
        <w:rPr>
          <w:rFonts w:ascii="Times New Roman" w:hAnsi="Times New Roman"/>
          <w:b w:val="0"/>
          <w:color w:val="000000"/>
        </w:rPr>
        <w:t>22. 12. 2016</w:t>
      </w:r>
      <w:r w:rsidR="009A6C6C" w:rsidRPr="000A0524">
        <w:rPr>
          <w:rFonts w:ascii="Times New Roman" w:hAnsi="Times New Roman"/>
          <w:b w:val="0"/>
          <w:color w:val="000000"/>
        </w:rPr>
        <w:t xml:space="preserve"> na základě </w:t>
      </w:r>
      <w:r w:rsidR="00520613" w:rsidRPr="00520613">
        <w:rPr>
          <w:rFonts w:ascii="Times New Roman" w:hAnsi="Times New Roman"/>
          <w:b w:val="0"/>
          <w:color w:val="000000"/>
        </w:rPr>
        <w:t>Rámcové smlouvy na poskytování právních služeb uzavřené dne 21. 5. 2013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Rámcová smlouva</w:t>
      </w:r>
      <w:r w:rsidR="00520613" w:rsidRPr="00520613">
        <w:rPr>
          <w:rFonts w:ascii="Times New Roman" w:hAnsi="Times New Roman"/>
          <w:b w:val="0"/>
          <w:color w:val="000000"/>
        </w:rPr>
        <w:t>“) dle § 89 odst. 6 písm. a) zákona č. 137/2006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veřejných zakázkách</w:t>
      </w:r>
      <w:r w:rsidR="006A7038">
        <w:rPr>
          <w:rFonts w:ascii="Times New Roman" w:hAnsi="Times New Roman"/>
          <w:b w:val="0"/>
          <w:color w:val="000000"/>
        </w:rPr>
        <w:t xml:space="preserve"> (dále jen „</w:t>
      </w:r>
      <w:r w:rsidR="006A7038" w:rsidRPr="006A7038">
        <w:rPr>
          <w:rFonts w:ascii="Times New Roman" w:hAnsi="Times New Roman"/>
          <w:bCs/>
          <w:i/>
          <w:iCs/>
          <w:color w:val="000000"/>
        </w:rPr>
        <w:t>ZVZ</w:t>
      </w:r>
      <w:r w:rsidR="006A7038">
        <w:rPr>
          <w:rFonts w:ascii="Times New Roman" w:hAnsi="Times New Roman"/>
          <w:b w:val="0"/>
          <w:color w:val="000000"/>
        </w:rPr>
        <w:t>“)</w:t>
      </w:r>
      <w:r w:rsidR="00520613" w:rsidRPr="00520613">
        <w:rPr>
          <w:rFonts w:ascii="Times New Roman" w:hAnsi="Times New Roman"/>
          <w:b w:val="0"/>
          <w:color w:val="000000"/>
        </w:rPr>
        <w:t>, ve znění účinném přede dnem nabytí účinnosti zákona č.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134/2016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zadávání veřejných zakázek, ve znění pozdějších předpisů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ZZVZ</w:t>
      </w:r>
      <w:r w:rsidR="00520613" w:rsidRPr="00520613">
        <w:rPr>
          <w:rFonts w:ascii="Times New Roman" w:hAnsi="Times New Roman"/>
          <w:b w:val="0"/>
          <w:color w:val="000000"/>
        </w:rPr>
        <w:t>“)</w:t>
      </w:r>
    </w:p>
    <w:p w14:paraId="09BC0A78" w14:textId="77777777" w:rsidR="00A8795E" w:rsidRPr="00312979" w:rsidRDefault="00520613" w:rsidP="00520613">
      <w:pPr>
        <w:pStyle w:val="doplnuchaze"/>
        <w:rPr>
          <w:rFonts w:ascii="Times New Roman" w:hAnsi="Times New Roman"/>
        </w:rPr>
      </w:pPr>
      <w:r w:rsidRPr="00520613">
        <w:rPr>
          <w:rFonts w:ascii="Times New Roman" w:hAnsi="Times New Roman"/>
          <w:b w:val="0"/>
          <w:color w:val="000000"/>
        </w:rPr>
        <w:t>(dále jen „</w:t>
      </w:r>
      <w:r w:rsidRPr="00520613">
        <w:rPr>
          <w:rFonts w:ascii="Times New Roman" w:hAnsi="Times New Roman"/>
          <w:bCs/>
          <w:i/>
          <w:iCs/>
          <w:color w:val="000000"/>
        </w:rPr>
        <w:t>Dílčí smlouva</w:t>
      </w:r>
      <w:r w:rsidRPr="00520613">
        <w:rPr>
          <w:rFonts w:ascii="Times New Roman" w:hAnsi="Times New Roman"/>
          <w:b w:val="0"/>
          <w:color w:val="000000"/>
        </w:rPr>
        <w:t>“)</w:t>
      </w:r>
    </w:p>
    <w:p w14:paraId="0DEA562B" w14:textId="77777777"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14:paraId="71F8686A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14:paraId="61CA9E92" w14:textId="77777777"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14:paraId="35322ED1" w14:textId="17A55972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veřejných zakázek</w:t>
      </w:r>
      <w:r w:rsidR="00E72FEA">
        <w:rPr>
          <w:rFonts w:ascii="Times New Roman" w:hAnsi="Times New Roman"/>
          <w:sz w:val="22"/>
        </w:rPr>
        <w:t xml:space="preserve"> a právní podpory</w:t>
      </w:r>
    </w:p>
    <w:p w14:paraId="613AD15B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287E6A33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14:paraId="14BCEDB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EC3DE6" w:rsidRPr="000A0524">
        <w:rPr>
          <w:rFonts w:ascii="Times New Roman" w:hAnsi="Times New Roman"/>
          <w:sz w:val="22"/>
        </w:rPr>
        <w:t>2229001</w:t>
      </w:r>
      <w:r w:rsidRPr="000A0524">
        <w:rPr>
          <w:rFonts w:ascii="Times New Roman" w:hAnsi="Times New Roman"/>
          <w:sz w:val="22"/>
        </w:rPr>
        <w:t>/0710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2EF8280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14:paraId="01243DE8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Pr="000A0524">
        <w:rPr>
          <w:rFonts w:ascii="Times New Roman" w:hAnsi="Times New Roman"/>
          <w:b/>
          <w:i/>
          <w:sz w:val="22"/>
        </w:rPr>
        <w:t>Objednatel</w:t>
      </w:r>
      <w:r w:rsidRPr="00520613">
        <w:rPr>
          <w:rFonts w:ascii="Times New Roman" w:hAnsi="Times New Roman"/>
          <w:bCs/>
          <w:iCs/>
          <w:sz w:val="22"/>
        </w:rPr>
        <w:t>”)</w:t>
      </w:r>
    </w:p>
    <w:p w14:paraId="6667AAF2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14:paraId="3215F290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</w:p>
    <w:p w14:paraId="0F074BCB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a</w:t>
      </w:r>
    </w:p>
    <w:p w14:paraId="25F3572E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</w:p>
    <w:p w14:paraId="03644E8A" w14:textId="77777777" w:rsidR="00907973" w:rsidRPr="008B000F" w:rsidRDefault="00520613" w:rsidP="00907973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520613">
        <w:rPr>
          <w:rFonts w:ascii="Times New Roman" w:hAnsi="Times New Roman"/>
          <w:b/>
        </w:rPr>
        <w:t>HAVEL &amp; PARTNERS s.r.o., advokátní kancelář</w:t>
      </w:r>
    </w:p>
    <w:p w14:paraId="3A25BAE8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Florenci 2116/15, Nové Město, 110 00 Praha 1</w:t>
      </w:r>
    </w:p>
    <w:p w14:paraId="548027A7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 xml:space="preserve"> </w:t>
      </w:r>
      <w:r w:rsidR="00520613">
        <w:rPr>
          <w:rFonts w:ascii="Times New Roman" w:hAnsi="Times New Roman"/>
        </w:rPr>
        <w:t>JUDr. Petrem Kadlecem</w:t>
      </w:r>
      <w:r>
        <w:rPr>
          <w:rFonts w:ascii="Times New Roman" w:hAnsi="Times New Roman"/>
        </w:rPr>
        <w:t>, jednatelem</w:t>
      </w:r>
    </w:p>
    <w:p w14:paraId="537E158C" w14:textId="77777777" w:rsidR="00907973" w:rsidRPr="00F06F8C" w:rsidRDefault="00907973" w:rsidP="00907973">
      <w:pPr>
        <w:keepNext/>
        <w:keepLines/>
        <w:tabs>
          <w:tab w:val="left" w:pos="2640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264 54 807</w:t>
      </w:r>
      <w:r>
        <w:rPr>
          <w:rFonts w:ascii="Times New Roman" w:hAnsi="Times New Roman"/>
        </w:rPr>
        <w:tab/>
      </w:r>
    </w:p>
    <w:p w14:paraId="270D7A92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CZ26454807</w:t>
      </w:r>
    </w:p>
    <w:p w14:paraId="4B23FD4B" w14:textId="77777777" w:rsidR="00907973" w:rsidRPr="003D7CD1" w:rsidRDefault="00907973" w:rsidP="00907973">
      <w:pPr>
        <w:keepNext/>
        <w:keepLines/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bankovní spojení: Česká spořitelna, a.s., Praha 1, Rytířská 29, PSČ 113 98</w:t>
      </w:r>
    </w:p>
    <w:p w14:paraId="3EB9004F" w14:textId="77777777" w:rsidR="00907973" w:rsidRPr="003D7CD1" w:rsidRDefault="00907973" w:rsidP="00907973">
      <w:pPr>
        <w:keepNext/>
        <w:keepLines/>
        <w:tabs>
          <w:tab w:val="left" w:pos="284"/>
        </w:tabs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číslo účtu: 0001814372/0800</w:t>
      </w:r>
    </w:p>
    <w:p w14:paraId="5A4DBD46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736319D1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="00907973">
        <w:rPr>
          <w:rFonts w:ascii="Times New Roman" w:hAnsi="Times New Roman"/>
          <w:b/>
          <w:i/>
          <w:sz w:val="22"/>
        </w:rPr>
        <w:t>Poradce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3BE25CA4" w14:textId="77777777"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14:paraId="7608C0D6" w14:textId="77777777"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48DAD9F6" w14:textId="77777777"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společně jen „</w:t>
      </w:r>
      <w:r w:rsidRPr="000A0524">
        <w:rPr>
          <w:rFonts w:ascii="Times New Roman" w:hAnsi="Times New Roman"/>
          <w:b/>
          <w:i/>
          <w:sz w:val="22"/>
        </w:rPr>
        <w:t>Smluvní strany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0EE894E7" w14:textId="77777777"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14:paraId="0BA50FED" w14:textId="273B6E86" w:rsidR="004E0CBE" w:rsidRPr="000A0524" w:rsidRDefault="004E0CBE">
      <w:pPr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2758E5">
        <w:rPr>
          <w:rFonts w:ascii="Times New Roman" w:hAnsi="Times New Roman"/>
          <w:color w:val="000000"/>
          <w:sz w:val="22"/>
        </w:rPr>
        <w:t>3</w:t>
      </w:r>
      <w:r w:rsidR="005D7F1B" w:rsidRPr="000A0524">
        <w:rPr>
          <w:rFonts w:ascii="Times New Roman" w:hAnsi="Times New Roman"/>
          <w:color w:val="000000"/>
          <w:sz w:val="22"/>
        </w:rPr>
        <w:t xml:space="preserve"> </w:t>
      </w:r>
      <w:r w:rsidR="00B418D8" w:rsidRPr="000A0524">
        <w:rPr>
          <w:rFonts w:ascii="Times New Roman" w:hAnsi="Times New Roman"/>
          <w:sz w:val="22"/>
        </w:rPr>
        <w:t>(dále jen „</w:t>
      </w:r>
      <w:r w:rsidR="00B418D8" w:rsidRPr="00520613">
        <w:rPr>
          <w:rFonts w:ascii="Times New Roman" w:hAnsi="Times New Roman"/>
          <w:b/>
          <w:bCs/>
          <w:i/>
          <w:iCs/>
          <w:sz w:val="22"/>
        </w:rPr>
        <w:t>Dodatek</w:t>
      </w:r>
      <w:r w:rsidR="001204E2" w:rsidRPr="00520613">
        <w:rPr>
          <w:rFonts w:ascii="Times New Roman" w:hAnsi="Times New Roman"/>
          <w:b/>
          <w:bCs/>
          <w:i/>
          <w:iCs/>
          <w:sz w:val="22"/>
        </w:rPr>
        <w:t xml:space="preserve"> č. </w:t>
      </w:r>
      <w:r w:rsidR="002758E5">
        <w:rPr>
          <w:rFonts w:ascii="Times New Roman" w:hAnsi="Times New Roman"/>
          <w:b/>
          <w:bCs/>
          <w:i/>
          <w:iCs/>
          <w:sz w:val="22"/>
        </w:rPr>
        <w:t>3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>mlouvu následujícím způsobem:</w:t>
      </w:r>
    </w:p>
    <w:p w14:paraId="5660BECE" w14:textId="77777777" w:rsidR="000242DE" w:rsidRPr="000A0524" w:rsidRDefault="000242DE" w:rsidP="001E520A">
      <w:pPr>
        <w:rPr>
          <w:rFonts w:ascii="Times New Roman" w:eastAsia="Calibri" w:hAnsi="Times New Roman"/>
          <w:sz w:val="22"/>
        </w:rPr>
      </w:pPr>
    </w:p>
    <w:p w14:paraId="5884B828" w14:textId="77777777"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14:paraId="7699AFC5" w14:textId="77777777" w:rsidR="00D81080" w:rsidRPr="000A0524" w:rsidRDefault="000242DE" w:rsidP="003A2361">
      <w:pPr>
        <w:pStyle w:val="RLlneksmlouvy"/>
        <w:numPr>
          <w:ilvl w:val="0"/>
          <w:numId w:val="30"/>
        </w:numPr>
        <w:spacing w:before="0" w:after="0" w:line="240" w:lineRule="auto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14:paraId="00F8FF39" w14:textId="77777777"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14:paraId="6B63DB7C" w14:textId="68D4CE3D" w:rsidR="00992575" w:rsidRPr="000A0524" w:rsidRDefault="002D0106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Plnění dle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9B4460">
        <w:rPr>
          <w:rFonts w:ascii="Times New Roman" w:hAnsi="Times New Roman"/>
        </w:rPr>
        <w:t>, ve znění dodatku č. 2,</w:t>
      </w:r>
      <w:r>
        <w:rPr>
          <w:rFonts w:ascii="Times New Roman" w:hAnsi="Times New Roman"/>
        </w:rPr>
        <w:t xml:space="preserve"> </w:t>
      </w:r>
      <w:r w:rsidR="00551D7E" w:rsidRPr="000A0524">
        <w:rPr>
          <w:rFonts w:ascii="Times New Roman" w:hAnsi="Times New Roman"/>
        </w:rPr>
        <w:t xml:space="preserve">jejímž předmětem </w:t>
      </w:r>
      <w:r w:rsidR="00907973">
        <w:rPr>
          <w:rFonts w:ascii="Times New Roman" w:hAnsi="Times New Roman"/>
        </w:rPr>
        <w:t xml:space="preserve">je </w:t>
      </w:r>
      <w:r w:rsidR="00907973" w:rsidRPr="00661FBE">
        <w:rPr>
          <w:rFonts w:ascii="Times New Roman" w:hAnsi="Times New Roman"/>
          <w:szCs w:val="20"/>
        </w:rPr>
        <w:t>poskytování právních a administrativních služeb</w:t>
      </w:r>
      <w:r w:rsidR="00907973" w:rsidRPr="00FE534F">
        <w:rPr>
          <w:rFonts w:ascii="Times New Roman" w:hAnsi="Times New Roman"/>
          <w:szCs w:val="20"/>
        </w:rPr>
        <w:t xml:space="preserve"> </w:t>
      </w:r>
      <w:r w:rsidR="00907973" w:rsidRPr="00661FBE">
        <w:rPr>
          <w:rFonts w:ascii="Times New Roman" w:hAnsi="Times New Roman"/>
          <w:szCs w:val="20"/>
        </w:rPr>
        <w:t xml:space="preserve">a právního poradenství </w:t>
      </w:r>
      <w:r w:rsidR="00907973">
        <w:rPr>
          <w:rFonts w:ascii="Times New Roman" w:hAnsi="Times New Roman"/>
          <w:szCs w:val="20"/>
        </w:rPr>
        <w:t>v souvislosti se</w:t>
      </w:r>
      <w:r w:rsidR="00A3652D">
        <w:rPr>
          <w:rFonts w:ascii="Times New Roman" w:hAnsi="Times New Roman"/>
          <w:szCs w:val="20"/>
        </w:rPr>
        <w:t> </w:t>
      </w:r>
      <w:r w:rsidR="00907973">
        <w:rPr>
          <w:rFonts w:ascii="Times New Roman" w:hAnsi="Times New Roman"/>
          <w:szCs w:val="20"/>
        </w:rPr>
        <w:t xml:space="preserve">zajištěním </w:t>
      </w:r>
      <w:r w:rsidR="00907973" w:rsidRPr="006D0CEF">
        <w:rPr>
          <w:rFonts w:ascii="Times New Roman" w:hAnsi="Times New Roman"/>
          <w:szCs w:val="20"/>
        </w:rPr>
        <w:t xml:space="preserve">zadávacího </w:t>
      </w:r>
      <w:r w:rsidR="00907973" w:rsidRPr="00C27A1A">
        <w:rPr>
          <w:rFonts w:ascii="Times New Roman" w:hAnsi="Times New Roman"/>
          <w:szCs w:val="22"/>
        </w:rPr>
        <w:t xml:space="preserve">řízení </w:t>
      </w:r>
      <w:r>
        <w:rPr>
          <w:rFonts w:ascii="Times New Roman" w:hAnsi="Times New Roman"/>
          <w:szCs w:val="22"/>
        </w:rPr>
        <w:t xml:space="preserve">na </w:t>
      </w:r>
      <w:r w:rsidR="00907973" w:rsidRPr="00C27A1A">
        <w:rPr>
          <w:rFonts w:ascii="Times New Roman" w:hAnsi="Times New Roman"/>
          <w:szCs w:val="22"/>
        </w:rPr>
        <w:t>veřejn</w:t>
      </w:r>
      <w:r>
        <w:rPr>
          <w:rFonts w:ascii="Times New Roman" w:hAnsi="Times New Roman"/>
          <w:szCs w:val="22"/>
        </w:rPr>
        <w:t>ou</w:t>
      </w:r>
      <w:r w:rsidR="00907973" w:rsidRPr="00C27A1A">
        <w:rPr>
          <w:rFonts w:ascii="Times New Roman" w:hAnsi="Times New Roman"/>
          <w:szCs w:val="22"/>
        </w:rPr>
        <w:t xml:space="preserve"> zakázk</w:t>
      </w:r>
      <w:r>
        <w:rPr>
          <w:rFonts w:ascii="Times New Roman" w:hAnsi="Times New Roman"/>
          <w:szCs w:val="22"/>
        </w:rPr>
        <w:t>u</w:t>
      </w:r>
      <w:r w:rsidR="00907973" w:rsidRPr="00C27A1A">
        <w:rPr>
          <w:rFonts w:ascii="Times New Roman" w:hAnsi="Times New Roman"/>
          <w:szCs w:val="22"/>
        </w:rPr>
        <w:t xml:space="preserve"> „</w:t>
      </w:r>
      <w:r w:rsidR="00520613" w:rsidRPr="00520613">
        <w:rPr>
          <w:rFonts w:ascii="Times New Roman" w:hAnsi="Times New Roman"/>
          <w:i/>
          <w:szCs w:val="22"/>
        </w:rPr>
        <w:t>Zajištění služeb podpory a rozvoje OKaplikací</w:t>
      </w:r>
      <w:r w:rsidR="00907973" w:rsidRPr="00C27A1A">
        <w:rPr>
          <w:rFonts w:ascii="Times New Roman" w:hAnsi="Times New Roman"/>
          <w:szCs w:val="22"/>
        </w:rPr>
        <w:t>“ (dále</w:t>
      </w:r>
      <w:r w:rsidR="00907973" w:rsidRPr="00E24D5A">
        <w:rPr>
          <w:rFonts w:ascii="Times New Roman" w:hAnsi="Times New Roman"/>
          <w:szCs w:val="22"/>
        </w:rPr>
        <w:t xml:space="preserve"> jen „</w:t>
      </w:r>
      <w:r w:rsidR="00907973" w:rsidRPr="00520613">
        <w:rPr>
          <w:rFonts w:ascii="Times New Roman" w:hAnsi="Times New Roman"/>
          <w:b/>
          <w:bCs/>
          <w:i/>
          <w:iCs/>
          <w:szCs w:val="22"/>
        </w:rPr>
        <w:t>Veřejná zakázka</w:t>
      </w:r>
      <w:r w:rsidR="00907973" w:rsidRPr="00E24D5A">
        <w:rPr>
          <w:rFonts w:ascii="Times New Roman" w:hAnsi="Times New Roman"/>
          <w:szCs w:val="22"/>
        </w:rPr>
        <w:t>“)</w:t>
      </w:r>
      <w:r w:rsidR="00907973">
        <w:rPr>
          <w:rFonts w:ascii="Times New Roman" w:hAnsi="Times New Roman"/>
        </w:rPr>
        <w:t xml:space="preserve"> a </w:t>
      </w:r>
      <w:r w:rsidR="00907973" w:rsidRPr="00FA4E01">
        <w:rPr>
          <w:rFonts w:ascii="Times New Roman" w:hAnsi="Times New Roman"/>
          <w:szCs w:val="20"/>
        </w:rPr>
        <w:t>průběžná právní podpora zadavatele</w:t>
      </w:r>
      <w:r w:rsidR="00551D7E" w:rsidRPr="000A0524">
        <w:rPr>
          <w:rFonts w:ascii="Times New Roman" w:hAnsi="Times New Roman"/>
        </w:rPr>
        <w:t xml:space="preserve">, </w:t>
      </w:r>
      <w:r w:rsidR="00992575" w:rsidRPr="000A0524">
        <w:rPr>
          <w:rFonts w:ascii="Times New Roman" w:hAnsi="Times New Roman"/>
        </w:rPr>
        <w:t xml:space="preserve">nebylo dosud ukončeno, neboť nedošlo ke skončení její účinnosti v souladu s ustanovením čl. </w:t>
      </w:r>
      <w:r w:rsidR="004269A3" w:rsidRPr="000A0524">
        <w:rPr>
          <w:rFonts w:ascii="Times New Roman" w:hAnsi="Times New Roman"/>
        </w:rPr>
        <w:t>IV odst.</w:t>
      </w:r>
      <w:r w:rsidR="00140CB0">
        <w:rPr>
          <w:rFonts w:ascii="Times New Roman" w:hAnsi="Times New Roman"/>
        </w:rPr>
        <w:t> </w:t>
      </w:r>
      <w:r w:rsidR="004269A3" w:rsidRPr="000A0524">
        <w:rPr>
          <w:rFonts w:ascii="Times New Roman" w:hAnsi="Times New Roman"/>
        </w:rPr>
        <w:t>4.</w:t>
      </w:r>
      <w:r w:rsidR="00992575" w:rsidRPr="000A0524">
        <w:rPr>
          <w:rFonts w:ascii="Times New Roman" w:hAnsi="Times New Roman"/>
        </w:rPr>
        <w:t xml:space="preserve">1 </w:t>
      </w:r>
      <w:r w:rsidR="004269A3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smlouvy.</w:t>
      </w:r>
    </w:p>
    <w:p w14:paraId="6BEA10B4" w14:textId="1FC86B40" w:rsidR="00382722" w:rsidRDefault="00305150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lastRenderedPageBreak/>
        <w:t xml:space="preserve">U </w:t>
      </w:r>
      <w:r w:rsidR="008D5523" w:rsidRPr="000A0524">
        <w:rPr>
          <w:rFonts w:ascii="Times New Roman" w:hAnsi="Times New Roman"/>
        </w:rPr>
        <w:t>O</w:t>
      </w:r>
      <w:r w:rsidRPr="000A0524">
        <w:rPr>
          <w:rFonts w:ascii="Times New Roman" w:hAnsi="Times New Roman"/>
        </w:rPr>
        <w:t xml:space="preserve">bjednatele </w:t>
      </w:r>
      <w:r w:rsidR="004269A3" w:rsidRPr="000A0524">
        <w:rPr>
          <w:rFonts w:ascii="Times New Roman" w:hAnsi="Times New Roman"/>
        </w:rPr>
        <w:t>nadále přet</w:t>
      </w:r>
      <w:r w:rsidRPr="000A0524">
        <w:rPr>
          <w:rFonts w:ascii="Times New Roman" w:hAnsi="Times New Roman"/>
        </w:rPr>
        <w:t>rvá</w:t>
      </w:r>
      <w:r w:rsidR="004269A3" w:rsidRPr="000A0524">
        <w:rPr>
          <w:rFonts w:ascii="Times New Roman" w:hAnsi="Times New Roman"/>
        </w:rPr>
        <w:t>vá</w:t>
      </w:r>
      <w:r w:rsidRPr="000A0524">
        <w:rPr>
          <w:rFonts w:ascii="Times New Roman" w:hAnsi="Times New Roman"/>
        </w:rPr>
        <w:t xml:space="preserve"> potřeba </w:t>
      </w:r>
      <w:r w:rsidR="002D0106">
        <w:rPr>
          <w:rFonts w:ascii="Times New Roman" w:hAnsi="Times New Roman"/>
        </w:rPr>
        <w:t xml:space="preserve">průběžného </w:t>
      </w:r>
      <w:r w:rsidRPr="000A0524">
        <w:rPr>
          <w:rFonts w:ascii="Times New Roman" w:hAnsi="Times New Roman"/>
        </w:rPr>
        <w:t xml:space="preserve">čerpání </w:t>
      </w:r>
      <w:r w:rsidR="004269A3" w:rsidRPr="000A0524">
        <w:rPr>
          <w:rFonts w:ascii="Times New Roman" w:hAnsi="Times New Roman"/>
        </w:rPr>
        <w:t xml:space="preserve">předmětných </w:t>
      </w:r>
      <w:r w:rsidRPr="000A0524">
        <w:rPr>
          <w:rFonts w:ascii="Times New Roman" w:hAnsi="Times New Roman"/>
        </w:rPr>
        <w:t xml:space="preserve">právních služeb dle </w:t>
      </w:r>
      <w:r w:rsidR="00907973">
        <w:rPr>
          <w:rFonts w:ascii="Times New Roman" w:hAnsi="Times New Roman"/>
        </w:rPr>
        <w:t>čl. II odst.</w:t>
      </w:r>
      <w:r w:rsidR="00A3652D">
        <w:rPr>
          <w:rFonts w:ascii="Times New Roman" w:hAnsi="Times New Roman"/>
        </w:rPr>
        <w:t> </w:t>
      </w:r>
      <w:r w:rsidR="00907973">
        <w:rPr>
          <w:rFonts w:ascii="Times New Roman" w:hAnsi="Times New Roman"/>
        </w:rPr>
        <w:t xml:space="preserve">2.1.2 </w:t>
      </w:r>
      <w:r w:rsidR="004269A3" w:rsidRPr="000A0524">
        <w:rPr>
          <w:rFonts w:ascii="Times New Roman" w:hAnsi="Times New Roman"/>
        </w:rPr>
        <w:t xml:space="preserve">Dílčí </w:t>
      </w:r>
      <w:r w:rsidRPr="000A0524">
        <w:rPr>
          <w:rFonts w:ascii="Times New Roman" w:hAnsi="Times New Roman"/>
        </w:rPr>
        <w:t>smlouvy</w:t>
      </w:r>
      <w:r w:rsidR="00907973">
        <w:rPr>
          <w:rFonts w:ascii="Times New Roman" w:hAnsi="Times New Roman"/>
        </w:rPr>
        <w:t xml:space="preserve"> (dále jen „</w:t>
      </w:r>
      <w:r w:rsidR="00907973" w:rsidRPr="00520613">
        <w:rPr>
          <w:rFonts w:ascii="Times New Roman" w:hAnsi="Times New Roman"/>
          <w:b/>
          <w:i/>
          <w:iCs/>
        </w:rPr>
        <w:t>související právní služby</w:t>
      </w:r>
      <w:r w:rsidR="00907973">
        <w:rPr>
          <w:rFonts w:ascii="Times New Roman" w:hAnsi="Times New Roman"/>
        </w:rPr>
        <w:t>“)</w:t>
      </w:r>
      <w:r w:rsidR="004269A3" w:rsidRPr="000A0524">
        <w:rPr>
          <w:rFonts w:ascii="Times New Roman" w:hAnsi="Times New Roman"/>
        </w:rPr>
        <w:t>, přičemž se ukazuje, že</w:t>
      </w:r>
      <w:r w:rsidR="00A3652D">
        <w:rPr>
          <w:rFonts w:ascii="Times New Roman" w:hAnsi="Times New Roman"/>
        </w:rPr>
        <w:t> </w:t>
      </w:r>
      <w:r w:rsidRPr="000A0524">
        <w:rPr>
          <w:rFonts w:ascii="Times New Roman" w:hAnsi="Times New Roman"/>
        </w:rPr>
        <w:t>původně sjednaný rozsah,</w:t>
      </w:r>
      <w:r w:rsidR="004269A3" w:rsidRPr="000A0524">
        <w:rPr>
          <w:rFonts w:ascii="Times New Roman" w:hAnsi="Times New Roman"/>
        </w:rPr>
        <w:t xml:space="preserve"> tj. </w:t>
      </w:r>
      <w:r w:rsidR="00382722">
        <w:rPr>
          <w:rFonts w:ascii="Times New Roman" w:hAnsi="Times New Roman"/>
        </w:rPr>
        <w:t>92</w:t>
      </w:r>
      <w:r w:rsidR="00907973" w:rsidRPr="000A0524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hodin, nebude dostatečný.</w:t>
      </w:r>
      <w:r w:rsidR="00382722">
        <w:rPr>
          <w:rFonts w:ascii="Times New Roman" w:hAnsi="Times New Roman"/>
        </w:rPr>
        <w:t xml:space="preserve"> Odměna Poradce za poskytování právních služeb spojených s komplexním administrativním a právním zajištěním zadávacího řízení (otevřeného řízení) specifikovaných v čl. II odst. 2.1.1 </w:t>
      </w:r>
      <w:r w:rsidR="00AA2BB2" w:rsidRPr="000A0524">
        <w:rPr>
          <w:rFonts w:ascii="Times New Roman" w:hAnsi="Times New Roman"/>
        </w:rPr>
        <w:t>Dílčí smlouvy</w:t>
      </w:r>
      <w:r w:rsidR="00AA2BB2">
        <w:rPr>
          <w:rFonts w:ascii="Times New Roman" w:hAnsi="Times New Roman"/>
        </w:rPr>
        <w:t xml:space="preserve"> </w:t>
      </w:r>
      <w:r w:rsidR="00D66D79">
        <w:rPr>
          <w:rFonts w:ascii="Times New Roman" w:hAnsi="Times New Roman"/>
        </w:rPr>
        <w:t>(dále jen „</w:t>
      </w:r>
      <w:r w:rsidR="00D66D79" w:rsidRPr="00D66D79">
        <w:rPr>
          <w:rFonts w:ascii="Times New Roman" w:hAnsi="Times New Roman"/>
          <w:b/>
          <w:bCs/>
          <w:i/>
          <w:iCs/>
        </w:rPr>
        <w:t>paušální služby</w:t>
      </w:r>
      <w:r w:rsidR="00D66D79">
        <w:rPr>
          <w:rFonts w:ascii="Times New Roman" w:hAnsi="Times New Roman"/>
        </w:rPr>
        <w:t xml:space="preserve">“) </w:t>
      </w:r>
      <w:r w:rsidR="00AA2BB2">
        <w:rPr>
          <w:rFonts w:ascii="Times New Roman" w:hAnsi="Times New Roman"/>
        </w:rPr>
        <w:t xml:space="preserve">a </w:t>
      </w:r>
      <w:r w:rsidR="009B4460">
        <w:rPr>
          <w:rFonts w:ascii="Times New Roman" w:hAnsi="Times New Roman"/>
        </w:rPr>
        <w:t xml:space="preserve">rámec </w:t>
      </w:r>
      <w:r w:rsidR="00AA2BB2">
        <w:rPr>
          <w:rFonts w:ascii="Times New Roman" w:hAnsi="Times New Roman"/>
        </w:rPr>
        <w:t>související</w:t>
      </w:r>
      <w:r w:rsidR="009B4460">
        <w:rPr>
          <w:rFonts w:ascii="Times New Roman" w:hAnsi="Times New Roman"/>
        </w:rPr>
        <w:t>ch</w:t>
      </w:r>
      <w:r w:rsidR="00AA2BB2">
        <w:rPr>
          <w:rFonts w:ascii="Times New Roman" w:hAnsi="Times New Roman"/>
        </w:rPr>
        <w:t xml:space="preserve"> právní</w:t>
      </w:r>
      <w:r w:rsidR="009B4460">
        <w:rPr>
          <w:rFonts w:ascii="Times New Roman" w:hAnsi="Times New Roman"/>
        </w:rPr>
        <w:t>ch</w:t>
      </w:r>
      <w:r w:rsidR="00AA2BB2">
        <w:rPr>
          <w:rFonts w:ascii="Times New Roman" w:hAnsi="Times New Roman"/>
        </w:rPr>
        <w:t xml:space="preserve"> </w:t>
      </w:r>
      <w:r w:rsidR="009B4460">
        <w:rPr>
          <w:rFonts w:ascii="Times New Roman" w:hAnsi="Times New Roman"/>
        </w:rPr>
        <w:t xml:space="preserve">služeb </w:t>
      </w:r>
      <w:r w:rsidR="00382722">
        <w:rPr>
          <w:rFonts w:ascii="Times New Roman" w:hAnsi="Times New Roman"/>
        </w:rPr>
        <w:t>byl</w:t>
      </w:r>
      <w:r w:rsidR="002D0106">
        <w:rPr>
          <w:rFonts w:ascii="Times New Roman" w:hAnsi="Times New Roman"/>
        </w:rPr>
        <w:t>y</w:t>
      </w:r>
      <w:r w:rsidR="00382722">
        <w:rPr>
          <w:rFonts w:ascii="Times New Roman" w:hAnsi="Times New Roman"/>
        </w:rPr>
        <w:t xml:space="preserve"> stanoven</w:t>
      </w:r>
      <w:r w:rsidR="002D0106">
        <w:rPr>
          <w:rFonts w:ascii="Times New Roman" w:hAnsi="Times New Roman"/>
        </w:rPr>
        <w:t>y</w:t>
      </w:r>
      <w:r w:rsidR="00382722">
        <w:rPr>
          <w:rFonts w:ascii="Times New Roman" w:hAnsi="Times New Roman"/>
        </w:rPr>
        <w:t xml:space="preserve"> v rozsahu odpovídajícím obvyklému průběhu otevřeného řízení. V průběhu </w:t>
      </w:r>
      <w:r w:rsidR="00AA2BB2">
        <w:rPr>
          <w:rFonts w:ascii="Times New Roman" w:hAnsi="Times New Roman"/>
        </w:rPr>
        <w:t>přípravy zadávacího řízení na Veřejnou zakázku a následně v průběhu jeho realizace se však ukázalo, že z důvodu složitosti případu nebude rozsah právních služeb stanovený Dílčí smlouvou dostatečný.</w:t>
      </w:r>
    </w:p>
    <w:p w14:paraId="07375C2F" w14:textId="4582261E" w:rsidR="00382722" w:rsidRPr="0020792E" w:rsidRDefault="00382722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55ED5">
        <w:rPr>
          <w:rFonts w:ascii="Times New Roman" w:hAnsi="Times New Roman"/>
        </w:rPr>
        <w:t>Smluvní strany prohlašují, že Dodatek č. 3 je uzavírán v souladu s</w:t>
      </w:r>
      <w:r w:rsidR="00D66D79" w:rsidRPr="00055ED5">
        <w:rPr>
          <w:rFonts w:ascii="Times New Roman" w:hAnsi="Times New Roman"/>
        </w:rPr>
        <w:t> </w:t>
      </w:r>
      <w:r w:rsidRPr="00055ED5">
        <w:rPr>
          <w:rFonts w:ascii="Times New Roman" w:hAnsi="Times New Roman"/>
        </w:rPr>
        <w:t>ustanovení</w:t>
      </w:r>
      <w:r w:rsidR="00D66D79" w:rsidRPr="00055ED5">
        <w:rPr>
          <w:rFonts w:ascii="Times New Roman" w:hAnsi="Times New Roman"/>
        </w:rPr>
        <w:t>mi</w:t>
      </w:r>
      <w:r w:rsidRPr="00055ED5">
        <w:rPr>
          <w:rFonts w:ascii="Times New Roman" w:hAnsi="Times New Roman"/>
        </w:rPr>
        <w:t xml:space="preserve"> § 222 odst. 5 a 6 ZZVZ.</w:t>
      </w:r>
      <w:r w:rsidR="00AA2BB2" w:rsidRPr="00055ED5">
        <w:rPr>
          <w:rFonts w:ascii="Times New Roman" w:hAnsi="Times New Roman"/>
        </w:rPr>
        <w:t xml:space="preserve"> </w:t>
      </w:r>
      <w:r w:rsidR="00D66D79" w:rsidRPr="00055ED5">
        <w:rPr>
          <w:rFonts w:ascii="Times New Roman" w:hAnsi="Times New Roman"/>
        </w:rPr>
        <w:t xml:space="preserve">V této fázi zadávacího řízení na Veřejnou zakázku není možná výměna dodavatele dodatečných služeb (Poradce), a to s ohledem na </w:t>
      </w:r>
      <w:r w:rsidR="002D0106" w:rsidRPr="00055ED5">
        <w:rPr>
          <w:rFonts w:ascii="Times New Roman" w:hAnsi="Times New Roman"/>
        </w:rPr>
        <w:t xml:space="preserve">jeho </w:t>
      </w:r>
      <w:r w:rsidR="00D66D79" w:rsidRPr="00055ED5">
        <w:rPr>
          <w:rFonts w:ascii="Times New Roman" w:hAnsi="Times New Roman"/>
        </w:rPr>
        <w:t xml:space="preserve">detailní znalosti dosavadního průběhu řízení, přičemž výměna dodavatele by Objednateli způsobila závažné finanční a organizační obtíže. Potřeba dodatečných služeb </w:t>
      </w:r>
      <w:r w:rsidR="002D0106" w:rsidRPr="00055ED5">
        <w:rPr>
          <w:rFonts w:ascii="Times New Roman" w:hAnsi="Times New Roman"/>
        </w:rPr>
        <w:t xml:space="preserve">současně </w:t>
      </w:r>
      <w:r w:rsidR="00D66D79" w:rsidRPr="00055ED5">
        <w:rPr>
          <w:rFonts w:ascii="Times New Roman" w:hAnsi="Times New Roman"/>
        </w:rPr>
        <w:t xml:space="preserve">vznikla v důsledku okolností, které </w:t>
      </w:r>
      <w:r w:rsidR="00140CB0" w:rsidRPr="00055ED5">
        <w:rPr>
          <w:rFonts w:ascii="Times New Roman" w:hAnsi="Times New Roman"/>
        </w:rPr>
        <w:t>ne</w:t>
      </w:r>
      <w:r w:rsidR="00D66D79" w:rsidRPr="00055ED5">
        <w:rPr>
          <w:rFonts w:ascii="Times New Roman" w:hAnsi="Times New Roman"/>
        </w:rPr>
        <w:t>byl</w:t>
      </w:r>
      <w:r w:rsidR="002D0106" w:rsidRPr="00055ED5">
        <w:rPr>
          <w:rFonts w:ascii="Times New Roman" w:hAnsi="Times New Roman"/>
        </w:rPr>
        <w:t>y</w:t>
      </w:r>
      <w:r w:rsidR="00D66D79" w:rsidRPr="00055ED5">
        <w:rPr>
          <w:rFonts w:ascii="Times New Roman" w:hAnsi="Times New Roman"/>
        </w:rPr>
        <w:t xml:space="preserve"> v době uzavření Dílčí </w:t>
      </w:r>
      <w:r w:rsidR="002D0106" w:rsidRPr="00055ED5">
        <w:rPr>
          <w:rFonts w:ascii="Times New Roman" w:hAnsi="Times New Roman"/>
        </w:rPr>
        <w:t xml:space="preserve">natož Rámcové </w:t>
      </w:r>
      <w:r w:rsidR="00D66D79" w:rsidRPr="00055ED5">
        <w:rPr>
          <w:rFonts w:ascii="Times New Roman" w:hAnsi="Times New Roman"/>
        </w:rPr>
        <w:t>smlouvy</w:t>
      </w:r>
      <w:r w:rsidR="002D0106" w:rsidRPr="00055ED5">
        <w:rPr>
          <w:rFonts w:ascii="Times New Roman" w:hAnsi="Times New Roman"/>
        </w:rPr>
        <w:t xml:space="preserve"> </w:t>
      </w:r>
      <w:r w:rsidR="00D66D79" w:rsidRPr="00055ED5">
        <w:rPr>
          <w:rFonts w:ascii="Times New Roman" w:hAnsi="Times New Roman"/>
        </w:rPr>
        <w:t>předvídatelné</w:t>
      </w:r>
      <w:r w:rsidR="002D0106" w:rsidRPr="00055ED5">
        <w:rPr>
          <w:rFonts w:ascii="Times New Roman" w:hAnsi="Times New Roman"/>
        </w:rPr>
        <w:t>.</w:t>
      </w:r>
      <w:r w:rsidR="00D66D79" w:rsidRPr="00055ED5">
        <w:rPr>
          <w:rFonts w:ascii="Times New Roman" w:hAnsi="Times New Roman"/>
        </w:rPr>
        <w:t xml:space="preserve"> </w:t>
      </w:r>
      <w:r w:rsidR="002D0106" w:rsidRPr="00055ED5">
        <w:rPr>
          <w:rFonts w:ascii="Times New Roman" w:hAnsi="Times New Roman"/>
        </w:rPr>
        <w:t xml:space="preserve">V </w:t>
      </w:r>
      <w:r w:rsidR="00140CB0" w:rsidRPr="00055ED5">
        <w:rPr>
          <w:rFonts w:ascii="Times New Roman" w:hAnsi="Times New Roman"/>
        </w:rPr>
        <w:t xml:space="preserve">jejich důsledku </w:t>
      </w:r>
      <w:r w:rsidR="002D0106" w:rsidRPr="00055ED5">
        <w:rPr>
          <w:rFonts w:ascii="Times New Roman" w:hAnsi="Times New Roman"/>
        </w:rPr>
        <w:t xml:space="preserve">nicméně </w:t>
      </w:r>
      <w:r w:rsidR="00D66D79" w:rsidRPr="00055ED5">
        <w:rPr>
          <w:rFonts w:ascii="Times New Roman" w:hAnsi="Times New Roman"/>
        </w:rPr>
        <w:t xml:space="preserve">nedochází ke změně povahy Veřejné zakázky. </w:t>
      </w:r>
      <w:r w:rsidR="00D66D79" w:rsidRPr="0020792E">
        <w:rPr>
          <w:rFonts w:ascii="Times New Roman" w:hAnsi="Times New Roman"/>
        </w:rPr>
        <w:t xml:space="preserve">V průběhu plnění Dílčí smlouvy vznikla potřeba zajištění řady činností ze strany Poradce, které nebyly předpokládány v rámci paušálních služeb, jako je zajištění </w:t>
      </w:r>
      <w:r w:rsidR="002D0106" w:rsidRPr="0020792E">
        <w:rPr>
          <w:rFonts w:ascii="Times New Roman" w:hAnsi="Times New Roman"/>
        </w:rPr>
        <w:t xml:space="preserve">velkého množství </w:t>
      </w:r>
      <w:r w:rsidR="00D66D79" w:rsidRPr="0020792E">
        <w:rPr>
          <w:rFonts w:ascii="Times New Roman" w:hAnsi="Times New Roman"/>
        </w:rPr>
        <w:t xml:space="preserve">revizí </w:t>
      </w:r>
      <w:r w:rsidR="002D0106" w:rsidRPr="0020792E">
        <w:rPr>
          <w:rFonts w:ascii="Times New Roman" w:hAnsi="Times New Roman"/>
        </w:rPr>
        <w:t xml:space="preserve">(mimo jiné i technických částí) </w:t>
      </w:r>
      <w:r w:rsidR="00D66D79" w:rsidRPr="0020792E">
        <w:rPr>
          <w:rFonts w:ascii="Times New Roman" w:hAnsi="Times New Roman"/>
        </w:rPr>
        <w:t xml:space="preserve">zadávací dokumentace, </w:t>
      </w:r>
      <w:r w:rsidR="002D0106" w:rsidRPr="0020792E">
        <w:rPr>
          <w:rFonts w:ascii="Times New Roman" w:hAnsi="Times New Roman"/>
        </w:rPr>
        <w:t xml:space="preserve">revize a </w:t>
      </w:r>
      <w:r w:rsidR="00D66D79" w:rsidRPr="0020792E">
        <w:rPr>
          <w:rFonts w:ascii="Times New Roman" w:hAnsi="Times New Roman"/>
        </w:rPr>
        <w:t xml:space="preserve">nastavení vnitřních procesů Objednatele v souvislosti se zadáváním Veřejné zakázky, </w:t>
      </w:r>
      <w:r w:rsidR="00CA38A2" w:rsidRPr="0020792E">
        <w:rPr>
          <w:rFonts w:ascii="Times New Roman" w:hAnsi="Times New Roman"/>
        </w:rPr>
        <w:t xml:space="preserve">vyřizování </w:t>
      </w:r>
      <w:r w:rsidR="00B97B43" w:rsidRPr="0020792E">
        <w:rPr>
          <w:rFonts w:ascii="Times New Roman" w:hAnsi="Times New Roman"/>
        </w:rPr>
        <w:t>enormního</w:t>
      </w:r>
      <w:r w:rsidR="00CA38A2" w:rsidRPr="0020792E">
        <w:rPr>
          <w:rFonts w:ascii="Times New Roman" w:hAnsi="Times New Roman"/>
        </w:rPr>
        <w:t xml:space="preserve"> počtu žádostí o vysvětlení zadávací dokumentace</w:t>
      </w:r>
      <w:r w:rsidR="00D66D79" w:rsidRPr="0020792E">
        <w:rPr>
          <w:rFonts w:ascii="Times New Roman" w:hAnsi="Times New Roman"/>
        </w:rPr>
        <w:t>,</w:t>
      </w:r>
      <w:r w:rsidR="00CA38A2" w:rsidRPr="0020792E">
        <w:rPr>
          <w:rFonts w:ascii="Times New Roman" w:hAnsi="Times New Roman"/>
        </w:rPr>
        <w:t xml:space="preserve"> vyřizování </w:t>
      </w:r>
      <w:r w:rsidR="002D0106" w:rsidRPr="0020792E">
        <w:rPr>
          <w:rFonts w:ascii="Times New Roman" w:hAnsi="Times New Roman"/>
        </w:rPr>
        <w:t xml:space="preserve">nestandardního </w:t>
      </w:r>
      <w:r w:rsidR="00CA38A2" w:rsidRPr="0020792E">
        <w:rPr>
          <w:rFonts w:ascii="Times New Roman" w:hAnsi="Times New Roman"/>
        </w:rPr>
        <w:t xml:space="preserve">počtu námitek, </w:t>
      </w:r>
      <w:r w:rsidR="002D0106" w:rsidRPr="0020792E">
        <w:rPr>
          <w:rFonts w:ascii="Times New Roman" w:hAnsi="Times New Roman"/>
        </w:rPr>
        <w:t>nestandardně vysoká spotřeba konzultací s </w:t>
      </w:r>
      <w:r w:rsidR="00CA38A2" w:rsidRPr="0020792E">
        <w:rPr>
          <w:rFonts w:ascii="Times New Roman" w:hAnsi="Times New Roman"/>
        </w:rPr>
        <w:t>Objednatele</w:t>
      </w:r>
      <w:r w:rsidR="002D0106" w:rsidRPr="0020792E">
        <w:rPr>
          <w:rFonts w:ascii="Times New Roman" w:hAnsi="Times New Roman"/>
        </w:rPr>
        <w:t xml:space="preserve">m </w:t>
      </w:r>
      <w:r w:rsidR="00CA38A2" w:rsidRPr="0020792E">
        <w:rPr>
          <w:rFonts w:ascii="Times New Roman" w:hAnsi="Times New Roman"/>
        </w:rPr>
        <w:t>týkající</w:t>
      </w:r>
      <w:r w:rsidR="002D0106" w:rsidRPr="0020792E">
        <w:rPr>
          <w:rFonts w:ascii="Times New Roman" w:hAnsi="Times New Roman"/>
        </w:rPr>
        <w:t xml:space="preserve">ch </w:t>
      </w:r>
      <w:r w:rsidR="00CA38A2" w:rsidRPr="0020792E">
        <w:rPr>
          <w:rFonts w:ascii="Times New Roman" w:hAnsi="Times New Roman"/>
        </w:rPr>
        <w:t xml:space="preserve">se </w:t>
      </w:r>
      <w:r w:rsidR="002D0106" w:rsidRPr="0020792E">
        <w:rPr>
          <w:rFonts w:ascii="Times New Roman" w:hAnsi="Times New Roman"/>
        </w:rPr>
        <w:t>možností postupu ve vybraných situacích a fázích zadávacího řízení</w:t>
      </w:r>
      <w:r w:rsidR="00CA38A2" w:rsidRPr="0020792E">
        <w:rPr>
          <w:rFonts w:ascii="Times New Roman" w:hAnsi="Times New Roman"/>
        </w:rPr>
        <w:t>, zpracování dílčích analýz souvisejících se zadáváním Veřejné zakázky</w:t>
      </w:r>
      <w:r w:rsidR="002D0106" w:rsidRPr="0020792E">
        <w:rPr>
          <w:rFonts w:ascii="Times New Roman" w:hAnsi="Times New Roman"/>
        </w:rPr>
        <w:t>,</w:t>
      </w:r>
      <w:r w:rsidR="00CA38A2" w:rsidRPr="0020792E">
        <w:rPr>
          <w:rFonts w:ascii="Times New Roman" w:hAnsi="Times New Roman"/>
        </w:rPr>
        <w:t xml:space="preserve"> poskytování poradenství v souvislosti s obdrženým rozsáhlým návrhem k Úřadu pro ochranu hospodářské soutěže</w:t>
      </w:r>
      <w:r w:rsidR="00215D8D" w:rsidRPr="0020792E">
        <w:rPr>
          <w:rFonts w:ascii="Times New Roman" w:hAnsi="Times New Roman"/>
        </w:rPr>
        <w:t xml:space="preserve"> a následné zpracování objemného vyjádření</w:t>
      </w:r>
      <w:r w:rsidR="00CA38A2" w:rsidRPr="0020792E">
        <w:rPr>
          <w:rFonts w:ascii="Times New Roman" w:hAnsi="Times New Roman"/>
        </w:rPr>
        <w:t>,</w:t>
      </w:r>
      <w:r w:rsidR="00D66D79" w:rsidRPr="0020792E">
        <w:rPr>
          <w:rFonts w:ascii="Times New Roman" w:hAnsi="Times New Roman"/>
        </w:rPr>
        <w:t xml:space="preserve"> přičemž rozsah souvisejících právních služeb nebyl schopen tyto</w:t>
      </w:r>
      <w:r w:rsidR="00215D8D" w:rsidRPr="0020792E">
        <w:rPr>
          <w:rFonts w:ascii="Times New Roman" w:hAnsi="Times New Roman"/>
        </w:rPr>
        <w:t xml:space="preserve"> dodatečné</w:t>
      </w:r>
      <w:r w:rsidR="00D66D79" w:rsidRPr="0020792E">
        <w:rPr>
          <w:rFonts w:ascii="Times New Roman" w:hAnsi="Times New Roman"/>
        </w:rPr>
        <w:t xml:space="preserve"> </w:t>
      </w:r>
      <w:r w:rsidR="00215D8D" w:rsidRPr="0020792E">
        <w:rPr>
          <w:rFonts w:ascii="Times New Roman" w:hAnsi="Times New Roman"/>
        </w:rPr>
        <w:t xml:space="preserve">činnosti Poradce </w:t>
      </w:r>
      <w:r w:rsidR="00D66D79" w:rsidRPr="0020792E">
        <w:rPr>
          <w:rFonts w:ascii="Times New Roman" w:hAnsi="Times New Roman"/>
        </w:rPr>
        <w:t>pokrýt</w:t>
      </w:r>
      <w:r w:rsidR="00B97B43" w:rsidRPr="0020792E">
        <w:rPr>
          <w:rFonts w:ascii="Times New Roman" w:hAnsi="Times New Roman"/>
        </w:rPr>
        <w:t>.</w:t>
      </w:r>
    </w:p>
    <w:p w14:paraId="14A9A9A1" w14:textId="72ED35E4" w:rsidR="00BB142C" w:rsidRPr="00382722" w:rsidRDefault="00520613" w:rsidP="00382722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4D2351" w:rsidRPr="000A0524">
        <w:rPr>
          <w:rFonts w:ascii="Times New Roman" w:hAnsi="Times New Roman"/>
        </w:rPr>
        <w:t>mluvní strany</w:t>
      </w:r>
      <w:r w:rsidR="00382722">
        <w:rPr>
          <w:rFonts w:ascii="Times New Roman" w:hAnsi="Times New Roman"/>
        </w:rPr>
        <w:t xml:space="preserve"> tak </w:t>
      </w:r>
      <w:r w:rsidR="00694E15" w:rsidRPr="000A0524">
        <w:rPr>
          <w:rFonts w:ascii="Times New Roman" w:hAnsi="Times New Roman"/>
        </w:rPr>
        <w:t xml:space="preserve">považují za nesporné, že </w:t>
      </w:r>
      <w:r w:rsidR="00992575" w:rsidRPr="000A0524">
        <w:rPr>
          <w:rFonts w:ascii="Times New Roman" w:hAnsi="Times New Roman"/>
        </w:rPr>
        <w:t xml:space="preserve">tento </w:t>
      </w:r>
      <w:r w:rsidR="00694E15" w:rsidRPr="000A0524">
        <w:rPr>
          <w:rFonts w:ascii="Times New Roman" w:hAnsi="Times New Roman"/>
        </w:rPr>
        <w:t>Dodatek</w:t>
      </w:r>
      <w:r w:rsidR="00907973">
        <w:rPr>
          <w:rFonts w:ascii="Times New Roman" w:hAnsi="Times New Roman"/>
        </w:rPr>
        <w:t xml:space="preserve"> č. </w:t>
      </w:r>
      <w:r w:rsidR="00382722">
        <w:rPr>
          <w:rFonts w:ascii="Times New Roman" w:hAnsi="Times New Roman"/>
        </w:rPr>
        <w:t>3</w:t>
      </w:r>
      <w:r w:rsidR="0092786A" w:rsidRPr="000A0524">
        <w:rPr>
          <w:rFonts w:ascii="Times New Roman" w:hAnsi="Times New Roman"/>
        </w:rPr>
        <w:t>, jehož účelem je</w:t>
      </w:r>
      <w:r w:rsidR="00A3652D">
        <w:rPr>
          <w:rFonts w:ascii="Times New Roman" w:hAnsi="Times New Roman"/>
        </w:rPr>
        <w:t> </w:t>
      </w:r>
      <w:r w:rsidR="0092786A" w:rsidRPr="000A0524">
        <w:rPr>
          <w:rFonts w:ascii="Times New Roman" w:hAnsi="Times New Roman"/>
        </w:rPr>
        <w:t>navýšení rozsahu</w:t>
      </w:r>
      <w:r w:rsidR="00694E15" w:rsidRPr="000A0524">
        <w:rPr>
          <w:rFonts w:ascii="Times New Roman" w:hAnsi="Times New Roman"/>
        </w:rPr>
        <w:t xml:space="preserve"> </w:t>
      </w:r>
      <w:r w:rsidR="00907973">
        <w:rPr>
          <w:rFonts w:ascii="Times New Roman" w:hAnsi="Times New Roman"/>
        </w:rPr>
        <w:t xml:space="preserve">souvisejících </w:t>
      </w:r>
      <w:r w:rsidR="0092786A" w:rsidRPr="000A0524">
        <w:rPr>
          <w:rFonts w:ascii="Times New Roman" w:hAnsi="Times New Roman"/>
        </w:rPr>
        <w:t xml:space="preserve">právních služeb, </w:t>
      </w:r>
      <w:r w:rsidR="00694E15" w:rsidRPr="000A0524">
        <w:rPr>
          <w:rFonts w:ascii="Times New Roman" w:hAnsi="Times New Roman"/>
        </w:rPr>
        <w:t xml:space="preserve">nevyvolává podstatnou změnu </w:t>
      </w:r>
      <w:r w:rsidR="004269A3" w:rsidRPr="000A0524">
        <w:rPr>
          <w:rFonts w:ascii="Times New Roman" w:hAnsi="Times New Roman"/>
        </w:rPr>
        <w:t>závazku z</w:t>
      </w:r>
      <w:r w:rsidR="00A3652D">
        <w:rPr>
          <w:rFonts w:ascii="Times New Roman" w:hAnsi="Times New Roman"/>
        </w:rPr>
        <w:t> </w:t>
      </w:r>
      <w:r w:rsidR="004269A3" w:rsidRPr="000A0524">
        <w:rPr>
          <w:rFonts w:ascii="Times New Roman" w:hAnsi="Times New Roman"/>
        </w:rPr>
        <w:t>Dílčí smlouvy</w:t>
      </w:r>
      <w:r w:rsidR="00BB142C" w:rsidRPr="000A0524">
        <w:rPr>
          <w:rFonts w:ascii="Times New Roman" w:hAnsi="Times New Roman"/>
        </w:rPr>
        <w:t xml:space="preserve"> dle </w:t>
      </w:r>
      <w:r w:rsidR="00305150" w:rsidRPr="000A0524">
        <w:rPr>
          <w:rFonts w:ascii="Times New Roman" w:hAnsi="Times New Roman"/>
        </w:rPr>
        <w:t>výše citovan</w:t>
      </w:r>
      <w:r w:rsidR="00382722">
        <w:rPr>
          <w:rFonts w:ascii="Times New Roman" w:hAnsi="Times New Roman"/>
        </w:rPr>
        <w:t>ých</w:t>
      </w:r>
      <w:r w:rsidR="00305150" w:rsidRPr="000A0524">
        <w:rPr>
          <w:rFonts w:ascii="Times New Roman" w:hAnsi="Times New Roman"/>
        </w:rPr>
        <w:t xml:space="preserve"> ustanovení.</w:t>
      </w:r>
    </w:p>
    <w:p w14:paraId="4BDD3644" w14:textId="77777777" w:rsidR="000242DE" w:rsidRPr="000A0524" w:rsidRDefault="000242D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14:paraId="0077B210" w14:textId="77777777"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14:paraId="0AF6BDBF" w14:textId="77777777"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14:paraId="36DA0920" w14:textId="34195500" w:rsidR="00682DF8" w:rsidRPr="00EF5920" w:rsidRDefault="00907973" w:rsidP="00EF5920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  <w:szCs w:val="22"/>
        </w:rPr>
      </w:pPr>
      <w:r w:rsidRPr="00EF5920">
        <w:rPr>
          <w:rFonts w:ascii="Times New Roman" w:hAnsi="Times New Roman"/>
        </w:rPr>
        <w:t xml:space="preserve">Maximální </w:t>
      </w:r>
      <w:r w:rsidR="00956289" w:rsidRPr="00EF5920">
        <w:rPr>
          <w:rFonts w:ascii="Times New Roman" w:hAnsi="Times New Roman"/>
        </w:rPr>
        <w:t xml:space="preserve">rozsah </w:t>
      </w:r>
      <w:r w:rsidR="00A21C41">
        <w:rPr>
          <w:rFonts w:ascii="Times New Roman" w:hAnsi="Times New Roman"/>
        </w:rPr>
        <w:t>92</w:t>
      </w:r>
      <w:r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>hodin uvedený v č</w:t>
      </w:r>
      <w:r w:rsidR="000242DE" w:rsidRPr="00EF5920">
        <w:rPr>
          <w:rFonts w:ascii="Times New Roman" w:hAnsi="Times New Roman"/>
        </w:rPr>
        <w:t>lánk</w:t>
      </w:r>
      <w:r w:rsidR="00956289" w:rsidRPr="00EF5920">
        <w:rPr>
          <w:rFonts w:ascii="Times New Roman" w:hAnsi="Times New Roman"/>
        </w:rPr>
        <w:t>u</w:t>
      </w:r>
      <w:r w:rsidR="000242DE" w:rsidRPr="00EF5920">
        <w:rPr>
          <w:rFonts w:ascii="Times New Roman" w:hAnsi="Times New Roman"/>
        </w:rPr>
        <w:t xml:space="preserve"> </w:t>
      </w:r>
      <w:r w:rsidR="00A4741B" w:rsidRPr="00EF5920">
        <w:rPr>
          <w:rFonts w:ascii="Times New Roman" w:hAnsi="Times New Roman"/>
        </w:rPr>
        <w:t>I</w:t>
      </w:r>
      <w:r w:rsidR="004269A3" w:rsidRPr="00EF5920">
        <w:rPr>
          <w:rFonts w:ascii="Times New Roman" w:hAnsi="Times New Roman"/>
        </w:rPr>
        <w:t>I</w:t>
      </w:r>
      <w:r w:rsidR="000242DE" w:rsidRPr="00EF5920">
        <w:rPr>
          <w:rFonts w:ascii="Times New Roman" w:hAnsi="Times New Roman"/>
        </w:rPr>
        <w:t xml:space="preserve"> odst. </w:t>
      </w:r>
      <w:r w:rsidR="00956289" w:rsidRPr="00EF5920">
        <w:rPr>
          <w:rFonts w:ascii="Times New Roman" w:hAnsi="Times New Roman"/>
        </w:rPr>
        <w:t>2.1</w:t>
      </w:r>
      <w:r w:rsidRPr="00EF5920">
        <w:rPr>
          <w:rFonts w:ascii="Times New Roman" w:hAnsi="Times New Roman"/>
        </w:rPr>
        <w:t>.2</w:t>
      </w:r>
      <w:r w:rsidR="00A4741B"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 xml:space="preserve">Dílčí </w:t>
      </w:r>
      <w:r w:rsidR="00A4741B" w:rsidRPr="00EF5920">
        <w:rPr>
          <w:rFonts w:ascii="Times New Roman" w:hAnsi="Times New Roman"/>
        </w:rPr>
        <w:t>sm</w:t>
      </w:r>
      <w:r w:rsidR="00312979" w:rsidRPr="00EF5920">
        <w:rPr>
          <w:rFonts w:ascii="Times New Roman" w:hAnsi="Times New Roman"/>
        </w:rPr>
        <w:t>louvy se ruší a </w:t>
      </w:r>
      <w:r w:rsidR="000242DE" w:rsidRPr="00EF5920">
        <w:rPr>
          <w:rFonts w:ascii="Times New Roman" w:hAnsi="Times New Roman"/>
        </w:rPr>
        <w:t xml:space="preserve">nahrazuje se následujícím </w:t>
      </w:r>
      <w:r w:rsidR="00956289" w:rsidRPr="00EF5920">
        <w:rPr>
          <w:rFonts w:ascii="Times New Roman" w:hAnsi="Times New Roman"/>
        </w:rPr>
        <w:t xml:space="preserve">rozsahem: </w:t>
      </w:r>
      <w:r w:rsidR="00A21C41">
        <w:rPr>
          <w:rFonts w:ascii="Times New Roman" w:hAnsi="Times New Roman"/>
        </w:rPr>
        <w:t>1</w:t>
      </w:r>
      <w:r w:rsidR="004647E3">
        <w:rPr>
          <w:rFonts w:ascii="Times New Roman" w:hAnsi="Times New Roman"/>
        </w:rPr>
        <w:t>58</w:t>
      </w:r>
      <w:r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>hodin.</w:t>
      </w:r>
    </w:p>
    <w:p w14:paraId="659CF391" w14:textId="77777777" w:rsidR="009773D5" w:rsidRPr="000A0524" w:rsidRDefault="001C7064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9773D5" w:rsidRPr="000A0524">
        <w:rPr>
          <w:rFonts w:ascii="Times New Roman" w:hAnsi="Times New Roman"/>
        </w:rPr>
        <w:t>lán</w:t>
      </w:r>
      <w:r>
        <w:rPr>
          <w:rFonts w:ascii="Times New Roman" w:hAnsi="Times New Roman"/>
        </w:rPr>
        <w:t>ek</w:t>
      </w:r>
      <w:r w:rsidR="009773D5" w:rsidRPr="000A0524">
        <w:rPr>
          <w:rFonts w:ascii="Times New Roman" w:hAnsi="Times New Roman"/>
        </w:rPr>
        <w:t xml:space="preserve"> III odst. </w:t>
      </w:r>
      <w:r w:rsidR="007D5D86" w:rsidRPr="000A0524">
        <w:rPr>
          <w:rFonts w:ascii="Times New Roman" w:hAnsi="Times New Roman"/>
        </w:rPr>
        <w:t>3.</w:t>
      </w:r>
      <w:r w:rsidR="009773D5" w:rsidRPr="000A0524">
        <w:rPr>
          <w:rFonts w:ascii="Times New Roman" w:hAnsi="Times New Roman"/>
        </w:rPr>
        <w:t xml:space="preserve">1 </w:t>
      </w:r>
      <w:r w:rsidR="001E520A" w:rsidRPr="000A0524">
        <w:rPr>
          <w:rFonts w:ascii="Times New Roman" w:hAnsi="Times New Roman"/>
        </w:rPr>
        <w:t xml:space="preserve">Dílčí </w:t>
      </w:r>
      <w:r w:rsidR="009773D5" w:rsidRPr="000A0524">
        <w:rPr>
          <w:rFonts w:ascii="Times New Roman" w:hAnsi="Times New Roman"/>
        </w:rPr>
        <w:t>smlouvy se ruší a nahrazuje následujícím zněním:</w:t>
      </w:r>
    </w:p>
    <w:p w14:paraId="5138E93A" w14:textId="1B324444" w:rsidR="007A7402" w:rsidRPr="003A2361" w:rsidRDefault="00404FD9" w:rsidP="00B97B43">
      <w:pPr>
        <w:pStyle w:val="Nadpis1"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color w:val="auto"/>
          <w:sz w:val="22"/>
          <w:szCs w:val="22"/>
        </w:rPr>
      </w:pP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Odměna za poskytování plnění dle této Dílčí smlouvy je stanovena jako nejvýše přípustná a činí maximálně 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>924</w:t>
      </w:r>
      <w:r w:rsidR="00A21C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000,- Kč (slovy: 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 xml:space="preserve">devět </w:t>
      </w:r>
      <w:r w:rsidR="0034002C">
        <w:rPr>
          <w:rFonts w:ascii="Times New Roman" w:hAnsi="Times New Roman"/>
          <w:b w:val="0"/>
          <w:color w:val="auto"/>
          <w:sz w:val="22"/>
          <w:szCs w:val="22"/>
        </w:rPr>
        <w:t xml:space="preserve">set 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 xml:space="preserve">dvacet čtyři </w:t>
      </w:r>
      <w:r w:rsidR="0034002C">
        <w:rPr>
          <w:rFonts w:ascii="Times New Roman" w:hAnsi="Times New Roman"/>
          <w:b w:val="0"/>
          <w:color w:val="auto"/>
          <w:sz w:val="22"/>
          <w:szCs w:val="22"/>
        </w:rPr>
        <w:t>tisíc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korun českých) bez DPH, tzn. </w:t>
      </w:r>
      <w:r w:rsidR="00A21C41">
        <w:rPr>
          <w:rFonts w:ascii="Times New Roman" w:hAnsi="Times New Roman"/>
          <w:b w:val="0"/>
          <w:color w:val="auto"/>
          <w:sz w:val="22"/>
          <w:szCs w:val="22"/>
        </w:rPr>
        <w:t>1.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>11</w:t>
      </w:r>
      <w:r w:rsidR="00A21C41">
        <w:rPr>
          <w:rFonts w:ascii="Times New Roman" w:hAnsi="Times New Roman"/>
          <w:b w:val="0"/>
          <w:color w:val="auto"/>
          <w:sz w:val="22"/>
          <w:szCs w:val="22"/>
        </w:rPr>
        <w:t>8.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>040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,- Kč (slovy: </w:t>
      </w:r>
      <w:r w:rsidR="0034002C">
        <w:rPr>
          <w:rFonts w:ascii="Times New Roman" w:hAnsi="Times New Roman"/>
          <w:b w:val="0"/>
          <w:color w:val="auto"/>
          <w:sz w:val="22"/>
          <w:szCs w:val="22"/>
        </w:rPr>
        <w:t xml:space="preserve">jeden milion 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 xml:space="preserve">sto osmnáct </w:t>
      </w:r>
      <w:r w:rsidR="0034002C">
        <w:rPr>
          <w:rFonts w:ascii="Times New Roman" w:hAnsi="Times New Roman"/>
          <w:b w:val="0"/>
          <w:color w:val="auto"/>
          <w:sz w:val="22"/>
          <w:szCs w:val="22"/>
        </w:rPr>
        <w:t xml:space="preserve">tisíc </w:t>
      </w:r>
      <w:r w:rsidR="004647E3">
        <w:rPr>
          <w:rFonts w:ascii="Times New Roman" w:hAnsi="Times New Roman"/>
          <w:b w:val="0"/>
          <w:color w:val="auto"/>
          <w:sz w:val="22"/>
          <w:szCs w:val="22"/>
        </w:rPr>
        <w:t xml:space="preserve">čtyřicet 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 včetně DPH. </w:t>
      </w:r>
    </w:p>
    <w:p w14:paraId="0F5830F6" w14:textId="0205F978" w:rsidR="007A7402" w:rsidRDefault="007A7402" w:rsidP="00B97B43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color w:val="auto"/>
          <w:sz w:val="22"/>
          <w:szCs w:val="22"/>
        </w:rPr>
      </w:pPr>
      <w:r w:rsidRPr="003A2361">
        <w:rPr>
          <w:rFonts w:ascii="Times New Roman" w:hAnsi="Times New Roman"/>
          <w:b w:val="0"/>
          <w:color w:val="auto"/>
          <w:sz w:val="22"/>
          <w:szCs w:val="22"/>
        </w:rPr>
        <w:t>Výše uvedená celková cena vychází z jednotlivých cen uvedených v následující tabulce:</w:t>
      </w:r>
    </w:p>
    <w:p w14:paraId="3A402365" w14:textId="77777777" w:rsidR="00B97B43" w:rsidRPr="00B97B43" w:rsidRDefault="00B97B43" w:rsidP="00B97B43">
      <w:pPr>
        <w:keepNext/>
      </w:pP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3A2361" w:rsidRPr="003A2361" w14:paraId="31030F21" w14:textId="77777777" w:rsidTr="000119B0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5121FA49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F8B95FE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Jednotková cena </w:t>
            </w:r>
          </w:p>
          <w:p w14:paraId="4905F216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4251468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8C882A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</w:p>
          <w:p w14:paraId="33507772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</w:tr>
      <w:tr w:rsidR="00404FD9" w:rsidRPr="003A2361" w14:paraId="68E5331F" w14:textId="77777777" w:rsidTr="000119B0">
        <w:tc>
          <w:tcPr>
            <w:tcW w:w="3129" w:type="dxa"/>
            <w:vAlign w:val="center"/>
          </w:tcPr>
          <w:p w14:paraId="5D68401A" w14:textId="77777777" w:rsidR="00404FD9" w:rsidRPr="00404FD9" w:rsidRDefault="00404FD9" w:rsidP="00404FD9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sz w:val="22"/>
                <w:szCs w:val="22"/>
              </w:rPr>
              <w:t xml:space="preserve">Komplexní administrativní a právní zajištění </w:t>
            </w:r>
            <w:r w:rsidRPr="00404FD9">
              <w:rPr>
                <w:rFonts w:ascii="Times New Roman" w:hAnsi="Times New Roman"/>
                <w:b/>
                <w:sz w:val="22"/>
                <w:szCs w:val="22"/>
              </w:rPr>
              <w:t xml:space="preserve">otevřeného </w:t>
            </w:r>
            <w:r w:rsidRPr="00404FD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řízení </w:t>
            </w:r>
            <w:r w:rsidRPr="00404FD9">
              <w:rPr>
                <w:rFonts w:ascii="Times New Roman" w:hAnsi="Times New Roman"/>
                <w:sz w:val="22"/>
                <w:szCs w:val="22"/>
              </w:rPr>
              <w:t>dle bodu 2.1.1 této Dílčí smlouvy</w:t>
            </w:r>
          </w:p>
        </w:tc>
        <w:tc>
          <w:tcPr>
            <w:tcW w:w="1701" w:type="dxa"/>
            <w:vAlign w:val="center"/>
          </w:tcPr>
          <w:p w14:paraId="036FFA7E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450.000,-</w:t>
            </w:r>
          </w:p>
        </w:tc>
        <w:tc>
          <w:tcPr>
            <w:tcW w:w="1701" w:type="dxa"/>
            <w:vAlign w:val="center"/>
          </w:tcPr>
          <w:p w14:paraId="79E96D77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701" w:type="dxa"/>
            <w:vAlign w:val="center"/>
          </w:tcPr>
          <w:p w14:paraId="0B196931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450.000,-</w:t>
            </w:r>
          </w:p>
        </w:tc>
      </w:tr>
      <w:tr w:rsidR="003A2361" w:rsidRPr="003A2361" w14:paraId="5F6DB92E" w14:textId="77777777" w:rsidTr="000119B0">
        <w:tc>
          <w:tcPr>
            <w:tcW w:w="3129" w:type="dxa"/>
            <w:vAlign w:val="center"/>
          </w:tcPr>
          <w:p w14:paraId="3BE7208D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sz w:val="22"/>
                <w:szCs w:val="22"/>
              </w:rPr>
              <w:t>Právní podpora dle bodu 2.1.2. této Dílčí smlouvy</w:t>
            </w:r>
          </w:p>
        </w:tc>
        <w:tc>
          <w:tcPr>
            <w:tcW w:w="1701" w:type="dxa"/>
            <w:vAlign w:val="center"/>
          </w:tcPr>
          <w:p w14:paraId="2CD89777" w14:textId="77777777" w:rsidR="007A7402" w:rsidRPr="003A2361" w:rsidRDefault="00404FD9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  <w:tc>
          <w:tcPr>
            <w:tcW w:w="1701" w:type="dxa"/>
            <w:vAlign w:val="center"/>
          </w:tcPr>
          <w:p w14:paraId="0C378CB2" w14:textId="60E72A8B" w:rsidR="007A7402" w:rsidRPr="003A2361" w:rsidRDefault="00A21C41" w:rsidP="00DB4922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647E3">
              <w:rPr>
                <w:rFonts w:ascii="Times New Roman" w:hAnsi="Times New Roman"/>
                <w:sz w:val="22"/>
                <w:szCs w:val="22"/>
              </w:rPr>
              <w:t>58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 xml:space="preserve"> hodin </w:t>
            </w:r>
          </w:p>
        </w:tc>
        <w:tc>
          <w:tcPr>
            <w:tcW w:w="1701" w:type="dxa"/>
            <w:vAlign w:val="center"/>
          </w:tcPr>
          <w:p w14:paraId="4A1D41AF" w14:textId="25A43268" w:rsidR="007A7402" w:rsidRPr="003A2361" w:rsidRDefault="00A21C41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4647E3">
              <w:rPr>
                <w:rFonts w:ascii="Times New Roman" w:hAnsi="Times New Roman"/>
                <w:sz w:val="22"/>
                <w:szCs w:val="22"/>
              </w:rPr>
              <w:t>74</w:t>
            </w:r>
            <w:r w:rsidR="00404FD9">
              <w:rPr>
                <w:rFonts w:ascii="Times New Roman" w:hAnsi="Times New Roman"/>
                <w:sz w:val="22"/>
                <w:szCs w:val="22"/>
              </w:rPr>
              <w:t>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</w:tr>
      <w:tr w:rsidR="003A2361" w:rsidRPr="003A2361" w14:paraId="46632565" w14:textId="77777777" w:rsidTr="000119B0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0F65F50D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76B74F" w14:textId="1FE7033A" w:rsidR="007A7402" w:rsidRPr="003A2361" w:rsidRDefault="004647E3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924</w:t>
            </w:r>
            <w:r w:rsidR="00404FD9">
              <w:rPr>
                <w:rFonts w:ascii="Times New Roman" w:hAnsi="Times New Roman"/>
                <w:sz w:val="22"/>
                <w:szCs w:val="22"/>
              </w:rPr>
              <w:t>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</w:tr>
    </w:tbl>
    <w:p w14:paraId="649E6968" w14:textId="77777777" w:rsidR="007A7402" w:rsidRPr="000A0524" w:rsidRDefault="007A7402" w:rsidP="009773D5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</w:p>
    <w:p w14:paraId="2C3EB331" w14:textId="77777777"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14:paraId="7C6D34AA" w14:textId="77777777"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14:paraId="048A641C" w14:textId="77777777"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14:paraId="4C2F2D82" w14:textId="77777777"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14:paraId="48F1BBED" w14:textId="750D375A" w:rsidR="00176498" w:rsidRPr="000A0524" w:rsidRDefault="00195CCA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195CCA">
        <w:rPr>
          <w:rFonts w:ascii="Times New Roman" w:eastAsia="Calibri" w:hAnsi="Times New Roman"/>
          <w:bCs/>
          <w:kern w:val="32"/>
          <w:szCs w:val="20"/>
        </w:rPr>
        <w:t>Tento Dodatek je uzavřen elektronicky, tj. prostřednictvím uznávaného elektronického podpisu ve smyslu zákona č. 297/2016 Sb., o službách vytvářejících důvěru pro elektronické transakce, ve znění pozdějších předpisů, opatřeného časovým razítkem</w:t>
      </w:r>
      <w:r w:rsidR="00E81C94">
        <w:rPr>
          <w:rFonts w:ascii="Times New Roman" w:hAnsi="Times New Roman"/>
          <w:szCs w:val="22"/>
        </w:rPr>
        <w:t>.</w:t>
      </w:r>
    </w:p>
    <w:p w14:paraId="7CC35BEB" w14:textId="2A3EAE96" w:rsidR="000242DE" w:rsidRPr="000C0FF8" w:rsidRDefault="000242DE" w:rsidP="0044665A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>Smluvní strany prohlašují, že Dodatek</w:t>
      </w:r>
      <w:r w:rsidR="00E81C94">
        <w:rPr>
          <w:rFonts w:ascii="Times New Roman" w:hAnsi="Times New Roman"/>
          <w:szCs w:val="22"/>
        </w:rPr>
        <w:t xml:space="preserve"> č. </w:t>
      </w:r>
      <w:r w:rsidR="00081026">
        <w:rPr>
          <w:rFonts w:ascii="Times New Roman" w:hAnsi="Times New Roman"/>
          <w:szCs w:val="22"/>
        </w:rPr>
        <w:t>3</w:t>
      </w:r>
      <w:r w:rsidRPr="000A0524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své podpisy.</w:t>
      </w:r>
    </w:p>
    <w:p w14:paraId="6DAA4AFE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390BDF98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4476"/>
      </w:tblGrid>
      <w:tr w:rsidR="000C0FF8" w14:paraId="0A8DBEC8" w14:textId="77777777" w:rsidTr="003B3188">
        <w:tc>
          <w:tcPr>
            <w:tcW w:w="4605" w:type="dxa"/>
          </w:tcPr>
          <w:p w14:paraId="178DA4A9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2FF2A416" w14:textId="77777777" w:rsidR="000C0FF8" w:rsidRPr="00423B93" w:rsidRDefault="00E81C9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Poradce</w:t>
            </w:r>
          </w:p>
        </w:tc>
      </w:tr>
      <w:tr w:rsidR="000C0FF8" w14:paraId="3375F4C9" w14:textId="77777777" w:rsidTr="003B3188">
        <w:tc>
          <w:tcPr>
            <w:tcW w:w="4605" w:type="dxa"/>
          </w:tcPr>
          <w:p w14:paraId="7ADCA983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E6002E4" w14:textId="221106D9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195CCA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445BF238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681EE5" w14:textId="1DBBE4AA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E81C94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195CCA">
              <w:rPr>
                <w:rFonts w:ascii="Times New Roman" w:hAnsi="Times New Roman"/>
              </w:rPr>
              <w:t>dle elektronického podpisu</w:t>
            </w:r>
          </w:p>
        </w:tc>
      </w:tr>
      <w:tr w:rsidR="000C0FF8" w14:paraId="5A5653B5" w14:textId="77777777" w:rsidTr="003B3188">
        <w:tc>
          <w:tcPr>
            <w:tcW w:w="4605" w:type="dxa"/>
          </w:tcPr>
          <w:p w14:paraId="4F3C8255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F60E360" w14:textId="4C402161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34D54FD" w14:textId="77777777" w:rsidR="00195CCA" w:rsidRDefault="00195CCA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2FFB451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46B5441E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330311AF" w14:textId="77777777" w:rsidR="000C0FF8" w:rsidRPr="00423B93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17CA37CD" w14:textId="17116FA9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E72FEA">
              <w:rPr>
                <w:rFonts w:ascii="Times New Roman" w:hAnsi="Times New Roman"/>
              </w:rPr>
              <w:t>veřejných zakázek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3CB630D" w14:textId="12F55288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E72FEA">
              <w:rPr>
                <w:rFonts w:ascii="Times New Roman" w:hAnsi="Times New Roman"/>
              </w:rPr>
              <w:t>právní podpory</w:t>
            </w:r>
          </w:p>
        </w:tc>
        <w:tc>
          <w:tcPr>
            <w:tcW w:w="4605" w:type="dxa"/>
          </w:tcPr>
          <w:p w14:paraId="6CA3D0AC" w14:textId="58C24414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FBA88C3" w14:textId="77777777" w:rsidR="00195CCA" w:rsidRDefault="00195CCA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389465A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45CCBE1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  <w:r w:rsidR="00404FD9">
              <w:rPr>
                <w:rFonts w:ascii="Times New Roman" w:hAnsi="Times New Roman"/>
              </w:rPr>
              <w:t>__</w:t>
            </w:r>
          </w:p>
          <w:p w14:paraId="170640C5" w14:textId="77777777" w:rsidR="00E81C94" w:rsidRDefault="00404FD9" w:rsidP="00E81C9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04FD9">
              <w:rPr>
                <w:rFonts w:ascii="Times New Roman" w:hAnsi="Times New Roman"/>
                <w:b/>
                <w:bCs/>
                <w:iCs/>
              </w:rPr>
              <w:t>HAVEL &amp; PARTNERS s.r.o., advokátní kancelář</w:t>
            </w:r>
          </w:p>
          <w:p w14:paraId="65EF8AB9" w14:textId="77777777" w:rsidR="00E81C94" w:rsidRPr="000119B0" w:rsidRDefault="00404FD9" w:rsidP="00E81C9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Petr Kadlec</w:t>
            </w:r>
          </w:p>
          <w:p w14:paraId="31A9CE26" w14:textId="77777777" w:rsidR="000C0FF8" w:rsidRPr="00423B93" w:rsidRDefault="00E81C94" w:rsidP="003B3188">
            <w:pPr>
              <w:widowControl w:val="0"/>
              <w:jc w:val="center"/>
              <w:rPr>
                <w:rFonts w:ascii="Times New Roman" w:hAnsi="Times New Roman"/>
              </w:rPr>
            </w:pPr>
            <w:r w:rsidRPr="000119B0">
              <w:rPr>
                <w:rFonts w:ascii="Times New Roman" w:hAnsi="Times New Roman"/>
                <w:bCs/>
                <w:iCs/>
              </w:rPr>
              <w:t>jednatel</w:t>
            </w:r>
          </w:p>
        </w:tc>
      </w:tr>
    </w:tbl>
    <w:p w14:paraId="3CD620AB" w14:textId="77777777"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</w:p>
    <w:sectPr w:rsidR="003A2C08" w:rsidRPr="000242DE" w:rsidSect="000A0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BDEED" w14:textId="77777777" w:rsidR="008C21F6" w:rsidRDefault="008C21F6" w:rsidP="00A02ACC">
      <w:r>
        <w:separator/>
      </w:r>
    </w:p>
    <w:p w14:paraId="6173E584" w14:textId="77777777" w:rsidR="008C21F6" w:rsidRDefault="008C21F6"/>
  </w:endnote>
  <w:endnote w:type="continuationSeparator" w:id="0">
    <w:p w14:paraId="3D37E4B4" w14:textId="77777777" w:rsidR="008C21F6" w:rsidRDefault="008C21F6" w:rsidP="00A02ACC">
      <w:r>
        <w:continuationSeparator/>
      </w:r>
    </w:p>
    <w:p w14:paraId="244D9CF7" w14:textId="77777777" w:rsidR="008C21F6" w:rsidRDefault="008C21F6"/>
  </w:endnote>
  <w:endnote w:type="continuationNotice" w:id="1">
    <w:p w14:paraId="1399BE2E" w14:textId="77777777" w:rsidR="008C21F6" w:rsidRDefault="008C2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606B" w14:textId="77777777" w:rsidR="00803E24" w:rsidRDefault="00803E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7EFF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24F77" w14:textId="77777777" w:rsidR="00803E24" w:rsidRDefault="00803E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BF29" w14:textId="77777777" w:rsidR="008C21F6" w:rsidRDefault="008C21F6" w:rsidP="00A02ACC">
      <w:r>
        <w:separator/>
      </w:r>
    </w:p>
    <w:p w14:paraId="35B24C15" w14:textId="77777777" w:rsidR="008C21F6" w:rsidRDefault="008C21F6"/>
  </w:footnote>
  <w:footnote w:type="continuationSeparator" w:id="0">
    <w:p w14:paraId="4AD18B15" w14:textId="77777777" w:rsidR="008C21F6" w:rsidRDefault="008C21F6" w:rsidP="00A02ACC">
      <w:r>
        <w:continuationSeparator/>
      </w:r>
    </w:p>
    <w:p w14:paraId="63D179AC" w14:textId="77777777" w:rsidR="008C21F6" w:rsidRDefault="008C21F6"/>
  </w:footnote>
  <w:footnote w:type="continuationNotice" w:id="1">
    <w:p w14:paraId="019CF818" w14:textId="77777777" w:rsidR="008C21F6" w:rsidRDefault="008C2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FD94" w14:textId="77777777" w:rsidR="00803E24" w:rsidRDefault="00803E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B99A" w14:textId="77777777" w:rsidR="00803E24" w:rsidRDefault="00803E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C667" w14:textId="0DF41773"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213266">
      <w:rPr>
        <w:rFonts w:ascii="Times New Roman" w:hAnsi="Times New Roman"/>
        <w:bCs/>
        <w:sz w:val="16"/>
        <w:szCs w:val="20"/>
      </w:rPr>
      <w:t>3</w:t>
    </w:r>
  </w:p>
  <w:p w14:paraId="147F45F2" w14:textId="77777777" w:rsidR="00520613" w:rsidRDefault="00520613" w:rsidP="00520613">
    <w:pPr>
      <w:pStyle w:val="Zhlav"/>
      <w:jc w:val="center"/>
      <w:rPr>
        <w:rFonts w:ascii="Times New Roman" w:hAnsi="Times New Roman" w:cs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1. část</w:t>
    </w:r>
  </w:p>
  <w:p w14:paraId="71AB174C" w14:textId="77777777" w:rsidR="00520613" w:rsidRDefault="00520613" w:rsidP="0052061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 xml:space="preserve">Minitendr  - </w:t>
    </w:r>
    <w:r>
      <w:rPr>
        <w:rFonts w:ascii="Times New Roman" w:hAnsi="Times New Roman"/>
        <w:bCs/>
        <w:i/>
        <w:sz w:val="16"/>
        <w:szCs w:val="16"/>
      </w:rPr>
      <w:t>„Systém včasné intervence“</w:t>
    </w:r>
  </w:p>
  <w:p w14:paraId="4BA9BC44" w14:textId="77777777" w:rsidR="00A80331" w:rsidRDefault="00A80331" w:rsidP="00707B09">
    <w:pPr>
      <w:rPr>
        <w:noProof/>
      </w:rPr>
    </w:pPr>
  </w:p>
  <w:p w14:paraId="49A847B5" w14:textId="77777777" w:rsidR="00923BD2" w:rsidRPr="009C7B7D" w:rsidRDefault="00923BD2" w:rsidP="00707B09"/>
  <w:p w14:paraId="57D3BDC6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2C711C4"/>
    <w:multiLevelType w:val="hybridMultilevel"/>
    <w:tmpl w:val="D170681C"/>
    <w:lvl w:ilvl="0" w:tplc="D52C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9"/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15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4"/>
  </w:num>
  <w:num w:numId="17">
    <w:abstractNumId w:val="9"/>
  </w:num>
  <w:num w:numId="18">
    <w:abstractNumId w:val="3"/>
  </w:num>
  <w:num w:numId="19">
    <w:abstractNumId w:val="0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5"/>
  </w:num>
  <w:num w:numId="29">
    <w:abstractNumId w:val="5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A"/>
    <w:rsid w:val="00020E79"/>
    <w:rsid w:val="00020F28"/>
    <w:rsid w:val="000242DE"/>
    <w:rsid w:val="00026C8F"/>
    <w:rsid w:val="0003191D"/>
    <w:rsid w:val="00043B3E"/>
    <w:rsid w:val="00055ED5"/>
    <w:rsid w:val="0006785D"/>
    <w:rsid w:val="00071D4A"/>
    <w:rsid w:val="00081026"/>
    <w:rsid w:val="00081264"/>
    <w:rsid w:val="000830F2"/>
    <w:rsid w:val="00083CBF"/>
    <w:rsid w:val="00092668"/>
    <w:rsid w:val="000A0524"/>
    <w:rsid w:val="000B37E4"/>
    <w:rsid w:val="000C0FF8"/>
    <w:rsid w:val="00115DE4"/>
    <w:rsid w:val="001204E2"/>
    <w:rsid w:val="00123A5B"/>
    <w:rsid w:val="001325E8"/>
    <w:rsid w:val="00140CB0"/>
    <w:rsid w:val="00176498"/>
    <w:rsid w:val="00195CCA"/>
    <w:rsid w:val="001B0C37"/>
    <w:rsid w:val="001C21FE"/>
    <w:rsid w:val="001C5707"/>
    <w:rsid w:val="001C7064"/>
    <w:rsid w:val="001D5663"/>
    <w:rsid w:val="001E520A"/>
    <w:rsid w:val="0020327B"/>
    <w:rsid w:val="0020792E"/>
    <w:rsid w:val="00213266"/>
    <w:rsid w:val="00215D8D"/>
    <w:rsid w:val="00226862"/>
    <w:rsid w:val="00230AB0"/>
    <w:rsid w:val="0024343E"/>
    <w:rsid w:val="00270E04"/>
    <w:rsid w:val="00272A34"/>
    <w:rsid w:val="002758E5"/>
    <w:rsid w:val="002778FC"/>
    <w:rsid w:val="002D0106"/>
    <w:rsid w:val="002E60B9"/>
    <w:rsid w:val="002F15BC"/>
    <w:rsid w:val="00305150"/>
    <w:rsid w:val="00305BBA"/>
    <w:rsid w:val="00312979"/>
    <w:rsid w:val="0034002C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75707"/>
    <w:rsid w:val="00382722"/>
    <w:rsid w:val="00382BAF"/>
    <w:rsid w:val="003A2361"/>
    <w:rsid w:val="003A2C08"/>
    <w:rsid w:val="003A6478"/>
    <w:rsid w:val="003A79B8"/>
    <w:rsid w:val="003B3C58"/>
    <w:rsid w:val="003C2694"/>
    <w:rsid w:val="003D2AB2"/>
    <w:rsid w:val="003F3D11"/>
    <w:rsid w:val="003F6D9D"/>
    <w:rsid w:val="00404FD9"/>
    <w:rsid w:val="004138AE"/>
    <w:rsid w:val="00417D43"/>
    <w:rsid w:val="004269A3"/>
    <w:rsid w:val="0044665A"/>
    <w:rsid w:val="00456D9D"/>
    <w:rsid w:val="004647E3"/>
    <w:rsid w:val="004713E6"/>
    <w:rsid w:val="00483215"/>
    <w:rsid w:val="004931B7"/>
    <w:rsid w:val="004D2351"/>
    <w:rsid w:val="004D4E65"/>
    <w:rsid w:val="004D6C42"/>
    <w:rsid w:val="004E0CBE"/>
    <w:rsid w:val="004F79DD"/>
    <w:rsid w:val="005055F8"/>
    <w:rsid w:val="00520613"/>
    <w:rsid w:val="005216E5"/>
    <w:rsid w:val="0053473E"/>
    <w:rsid w:val="0054539D"/>
    <w:rsid w:val="00551D7E"/>
    <w:rsid w:val="00562924"/>
    <w:rsid w:val="005651F4"/>
    <w:rsid w:val="00582802"/>
    <w:rsid w:val="00590B12"/>
    <w:rsid w:val="005D31FD"/>
    <w:rsid w:val="005D64D7"/>
    <w:rsid w:val="005D6903"/>
    <w:rsid w:val="005D7F1B"/>
    <w:rsid w:val="005E4B8D"/>
    <w:rsid w:val="005F13E5"/>
    <w:rsid w:val="005F4674"/>
    <w:rsid w:val="005F48E0"/>
    <w:rsid w:val="006015FD"/>
    <w:rsid w:val="006026CD"/>
    <w:rsid w:val="0060395E"/>
    <w:rsid w:val="00617597"/>
    <w:rsid w:val="00625B1A"/>
    <w:rsid w:val="00631370"/>
    <w:rsid w:val="00680B29"/>
    <w:rsid w:val="00682DF8"/>
    <w:rsid w:val="00694E15"/>
    <w:rsid w:val="006A7038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A7402"/>
    <w:rsid w:val="007D070E"/>
    <w:rsid w:val="007D5AFD"/>
    <w:rsid w:val="007D5D86"/>
    <w:rsid w:val="007D6D9B"/>
    <w:rsid w:val="00803E24"/>
    <w:rsid w:val="00821A63"/>
    <w:rsid w:val="00825733"/>
    <w:rsid w:val="0083730C"/>
    <w:rsid w:val="00860005"/>
    <w:rsid w:val="00872F10"/>
    <w:rsid w:val="00873107"/>
    <w:rsid w:val="00884707"/>
    <w:rsid w:val="008B4D78"/>
    <w:rsid w:val="008C21F6"/>
    <w:rsid w:val="008C7434"/>
    <w:rsid w:val="008D45F9"/>
    <w:rsid w:val="008D5523"/>
    <w:rsid w:val="008E489C"/>
    <w:rsid w:val="008E7359"/>
    <w:rsid w:val="00906433"/>
    <w:rsid w:val="00907973"/>
    <w:rsid w:val="00916765"/>
    <w:rsid w:val="00923BD2"/>
    <w:rsid w:val="0092786A"/>
    <w:rsid w:val="00956289"/>
    <w:rsid w:val="00962DA9"/>
    <w:rsid w:val="009773D5"/>
    <w:rsid w:val="0098397E"/>
    <w:rsid w:val="00992575"/>
    <w:rsid w:val="0099346F"/>
    <w:rsid w:val="009A5572"/>
    <w:rsid w:val="009A6C6C"/>
    <w:rsid w:val="009B4460"/>
    <w:rsid w:val="009C7B7D"/>
    <w:rsid w:val="009D149F"/>
    <w:rsid w:val="009F0AAE"/>
    <w:rsid w:val="00A02ACC"/>
    <w:rsid w:val="00A21C41"/>
    <w:rsid w:val="00A3652D"/>
    <w:rsid w:val="00A403AA"/>
    <w:rsid w:val="00A4741B"/>
    <w:rsid w:val="00A57E5C"/>
    <w:rsid w:val="00A80331"/>
    <w:rsid w:val="00A8795E"/>
    <w:rsid w:val="00A938AB"/>
    <w:rsid w:val="00AA2BB2"/>
    <w:rsid w:val="00AB7688"/>
    <w:rsid w:val="00AC265D"/>
    <w:rsid w:val="00AD0D2F"/>
    <w:rsid w:val="00AD2F19"/>
    <w:rsid w:val="00AD7569"/>
    <w:rsid w:val="00AF0D98"/>
    <w:rsid w:val="00B22139"/>
    <w:rsid w:val="00B26753"/>
    <w:rsid w:val="00B34D61"/>
    <w:rsid w:val="00B418D8"/>
    <w:rsid w:val="00B43828"/>
    <w:rsid w:val="00B52FE5"/>
    <w:rsid w:val="00B61777"/>
    <w:rsid w:val="00B64921"/>
    <w:rsid w:val="00B67BEB"/>
    <w:rsid w:val="00B701C8"/>
    <w:rsid w:val="00B81F72"/>
    <w:rsid w:val="00B90DC1"/>
    <w:rsid w:val="00B97B43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47AC3"/>
    <w:rsid w:val="00C542B6"/>
    <w:rsid w:val="00C56819"/>
    <w:rsid w:val="00C60CF5"/>
    <w:rsid w:val="00CA1DAF"/>
    <w:rsid w:val="00CA38A2"/>
    <w:rsid w:val="00CA3E68"/>
    <w:rsid w:val="00CB304B"/>
    <w:rsid w:val="00CB77C7"/>
    <w:rsid w:val="00CE1742"/>
    <w:rsid w:val="00CF1BEF"/>
    <w:rsid w:val="00CF342A"/>
    <w:rsid w:val="00D15DB2"/>
    <w:rsid w:val="00D66D79"/>
    <w:rsid w:val="00D81080"/>
    <w:rsid w:val="00D96B17"/>
    <w:rsid w:val="00DA0FFE"/>
    <w:rsid w:val="00DB36CE"/>
    <w:rsid w:val="00DB4922"/>
    <w:rsid w:val="00DD7DA4"/>
    <w:rsid w:val="00E07F52"/>
    <w:rsid w:val="00E162D8"/>
    <w:rsid w:val="00E16895"/>
    <w:rsid w:val="00E21D0C"/>
    <w:rsid w:val="00E52FA0"/>
    <w:rsid w:val="00E60556"/>
    <w:rsid w:val="00E60ECB"/>
    <w:rsid w:val="00E72B53"/>
    <w:rsid w:val="00E72FEA"/>
    <w:rsid w:val="00E767D1"/>
    <w:rsid w:val="00E81C94"/>
    <w:rsid w:val="00E82BDD"/>
    <w:rsid w:val="00E9584A"/>
    <w:rsid w:val="00E95F07"/>
    <w:rsid w:val="00EC3DE6"/>
    <w:rsid w:val="00EF124E"/>
    <w:rsid w:val="00EF5920"/>
    <w:rsid w:val="00F01601"/>
    <w:rsid w:val="00F208A6"/>
    <w:rsid w:val="00F22D61"/>
    <w:rsid w:val="00F5341D"/>
    <w:rsid w:val="00F56131"/>
    <w:rsid w:val="00F64348"/>
    <w:rsid w:val="00FB0FE5"/>
    <w:rsid w:val="00FB3590"/>
    <w:rsid w:val="00FD796A"/>
    <w:rsid w:val="00FE5334"/>
    <w:rsid w:val="00FE79D0"/>
    <w:rsid w:val="00FF019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A27F4"/>
  <w15:docId w15:val="{4D7A035E-7145-4F72-8419-0D2E6C2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B34D61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AE5ECC-0FE1-4C69-AD4D-EF556FC2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H&amp;P</dc:creator>
  <cp:lastModifiedBy>Novák David Mgr. (MPSV)</cp:lastModifiedBy>
  <cp:revision>7</cp:revision>
  <cp:lastPrinted>2015-12-07T20:42:00Z</cp:lastPrinted>
  <dcterms:created xsi:type="dcterms:W3CDTF">2021-02-16T21:13:00Z</dcterms:created>
  <dcterms:modified xsi:type="dcterms:W3CDTF">2021-02-19T18:05:00Z</dcterms:modified>
</cp:coreProperties>
</file>