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2586 a násl. občanského zákoníku, uzavřená </w:t>
      </w:r>
      <w:proofErr w:type="gramStart"/>
      <w:r>
        <w:rPr>
          <w:rFonts w:ascii="Arial" w:hAnsi="Arial" w:cs="Arial"/>
          <w:sz w:val="20"/>
          <w:szCs w:val="20"/>
        </w:rPr>
        <w:t>mezi</w:t>
      </w:r>
      <w:proofErr w:type="gramEnd"/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C36EBCC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6B66C6">
        <w:rPr>
          <w:rFonts w:ascii="Arial" w:hAnsi="Arial" w:cs="Arial"/>
          <w:sz w:val="22"/>
          <w:szCs w:val="22"/>
        </w:rPr>
        <w:t>XXXXXXXXXXXXXXXXX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</w:t>
      </w:r>
      <w:proofErr w:type="spellStart"/>
      <w:r w:rsidRPr="00420884">
        <w:rPr>
          <w:rFonts w:ascii="Arial" w:hAnsi="Arial" w:cs="Arial"/>
          <w:sz w:val="22"/>
          <w:szCs w:val="22"/>
        </w:rPr>
        <w:t>ú.</w:t>
      </w:r>
      <w:proofErr w:type="spellEnd"/>
      <w:r w:rsidRPr="00420884">
        <w:rPr>
          <w:rFonts w:ascii="Arial" w:hAnsi="Arial" w:cs="Arial"/>
          <w:sz w:val="22"/>
          <w:szCs w:val="22"/>
        </w:rPr>
        <w:t>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01F2962F" w:rsidR="00397BAB" w:rsidRPr="00CE65BA" w:rsidRDefault="00C3367E" w:rsidP="00C3367E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BC3900">
        <w:rPr>
          <w:rFonts w:ascii="Arial" w:hAnsi="Arial" w:cs="Arial"/>
          <w:b/>
          <w:sz w:val="22"/>
          <w:szCs w:val="22"/>
        </w:rPr>
        <w:t>Poskytovatel</w:t>
      </w:r>
      <w:r w:rsidR="00397BAB" w:rsidRPr="00CE65BA">
        <w:rPr>
          <w:rFonts w:ascii="Arial" w:hAnsi="Arial" w:cs="Arial"/>
          <w:b/>
          <w:sz w:val="22"/>
          <w:szCs w:val="22"/>
        </w:rPr>
        <w:t>:</w:t>
      </w:r>
      <w:r w:rsidRPr="00CE65BA">
        <w:rPr>
          <w:rFonts w:ascii="Arial" w:hAnsi="Arial" w:cs="Arial"/>
          <w:b/>
          <w:sz w:val="22"/>
          <w:szCs w:val="22"/>
        </w:rPr>
        <w:t xml:space="preserve">            SARSTEDT spol. s r.o.</w:t>
      </w:r>
    </w:p>
    <w:p w14:paraId="048863D1" w14:textId="1F48B678" w:rsidR="00397BAB" w:rsidRPr="00CE65BA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CE65BA">
        <w:rPr>
          <w:rFonts w:ascii="Arial" w:hAnsi="Arial" w:cs="Arial"/>
          <w:sz w:val="22"/>
          <w:szCs w:val="22"/>
        </w:rPr>
        <w:t xml:space="preserve">Sídlem: </w:t>
      </w:r>
      <w:r w:rsidRPr="00CE65BA">
        <w:rPr>
          <w:rFonts w:ascii="Arial" w:hAnsi="Arial" w:cs="Arial"/>
          <w:sz w:val="22"/>
          <w:szCs w:val="22"/>
        </w:rPr>
        <w:tab/>
      </w:r>
      <w:r w:rsidR="005265E3" w:rsidRPr="00CE65BA">
        <w:rPr>
          <w:rFonts w:ascii="Arial" w:hAnsi="Arial" w:cs="Arial"/>
          <w:sz w:val="22"/>
          <w:szCs w:val="22"/>
        </w:rPr>
        <w:tab/>
      </w:r>
      <w:r w:rsidR="00C3367E" w:rsidRPr="00CE65BA">
        <w:rPr>
          <w:rStyle w:val="platne1"/>
          <w:rFonts w:ascii="Arial" w:hAnsi="Arial" w:cs="Arial"/>
          <w:sz w:val="22"/>
          <w:szCs w:val="22"/>
        </w:rPr>
        <w:t>Pod Pekárnami 338/12, 190 00 Praha</w:t>
      </w:r>
    </w:p>
    <w:p w14:paraId="048863D2" w14:textId="0C4DBA23" w:rsidR="00397BAB" w:rsidRPr="00CE65BA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CE65BA">
        <w:rPr>
          <w:rFonts w:ascii="Arial" w:hAnsi="Arial" w:cs="Arial"/>
          <w:sz w:val="22"/>
          <w:szCs w:val="22"/>
        </w:rPr>
        <w:t xml:space="preserve">Zastoupen: </w:t>
      </w:r>
      <w:r w:rsidRPr="00CE65BA">
        <w:rPr>
          <w:rFonts w:ascii="Arial" w:hAnsi="Arial" w:cs="Arial"/>
          <w:sz w:val="22"/>
          <w:szCs w:val="22"/>
        </w:rPr>
        <w:tab/>
      </w:r>
      <w:r w:rsidR="005265E3" w:rsidRPr="00CE65BA">
        <w:rPr>
          <w:rFonts w:ascii="Arial" w:hAnsi="Arial" w:cs="Arial"/>
          <w:sz w:val="22"/>
          <w:szCs w:val="22"/>
        </w:rPr>
        <w:tab/>
      </w:r>
      <w:r w:rsidR="006B66C6">
        <w:rPr>
          <w:rStyle w:val="platne1"/>
          <w:rFonts w:ascii="Arial" w:hAnsi="Arial" w:cs="Arial"/>
          <w:sz w:val="22"/>
          <w:szCs w:val="22"/>
        </w:rPr>
        <w:t>XXXXXXXXXXXX</w:t>
      </w:r>
      <w:r w:rsidR="00C3367E" w:rsidRPr="00CE65BA">
        <w:rPr>
          <w:rStyle w:val="platne1"/>
          <w:rFonts w:ascii="Arial" w:hAnsi="Arial" w:cs="Arial"/>
          <w:sz w:val="22"/>
          <w:szCs w:val="22"/>
        </w:rPr>
        <w:t xml:space="preserve"> zmocněnkyní plná moc ze dne </w:t>
      </w:r>
      <w:proofErr w:type="gramStart"/>
      <w:r w:rsidR="00C3367E" w:rsidRPr="00CE65BA">
        <w:rPr>
          <w:rStyle w:val="platne1"/>
          <w:rFonts w:ascii="Arial" w:hAnsi="Arial" w:cs="Arial"/>
          <w:sz w:val="22"/>
          <w:szCs w:val="22"/>
        </w:rPr>
        <w:t>12.02.2020</w:t>
      </w:r>
      <w:proofErr w:type="gramEnd"/>
    </w:p>
    <w:p w14:paraId="048863D3" w14:textId="01FEC919" w:rsidR="00397BAB" w:rsidRPr="00CE65BA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CE65BA">
        <w:rPr>
          <w:rFonts w:ascii="Arial" w:hAnsi="Arial" w:cs="Arial"/>
          <w:sz w:val="22"/>
          <w:szCs w:val="22"/>
        </w:rPr>
        <w:t>IČ</w:t>
      </w:r>
      <w:r w:rsidR="00B6148C" w:rsidRPr="00CE65BA">
        <w:rPr>
          <w:rFonts w:ascii="Arial" w:hAnsi="Arial" w:cs="Arial"/>
          <w:sz w:val="22"/>
          <w:szCs w:val="22"/>
        </w:rPr>
        <w:t>O</w:t>
      </w:r>
      <w:r w:rsidR="00397BAB" w:rsidRPr="00CE65BA">
        <w:rPr>
          <w:rFonts w:ascii="Arial" w:hAnsi="Arial" w:cs="Arial"/>
          <w:sz w:val="22"/>
          <w:szCs w:val="22"/>
        </w:rPr>
        <w:t xml:space="preserve">:             </w:t>
      </w:r>
      <w:r w:rsidR="00397BAB" w:rsidRPr="00CE65BA">
        <w:rPr>
          <w:rFonts w:ascii="Arial" w:hAnsi="Arial" w:cs="Arial"/>
          <w:sz w:val="22"/>
          <w:szCs w:val="22"/>
        </w:rPr>
        <w:tab/>
      </w:r>
      <w:r w:rsidR="005265E3" w:rsidRPr="00CE65BA">
        <w:rPr>
          <w:rFonts w:ascii="Arial" w:hAnsi="Arial" w:cs="Arial"/>
          <w:sz w:val="22"/>
          <w:szCs w:val="22"/>
        </w:rPr>
        <w:tab/>
      </w:r>
      <w:r w:rsidR="00C3367E" w:rsidRPr="00CE65BA">
        <w:rPr>
          <w:rFonts w:ascii="Arial" w:hAnsi="Arial" w:cs="Arial"/>
          <w:sz w:val="22"/>
          <w:szCs w:val="22"/>
        </w:rPr>
        <w:t>43000916</w:t>
      </w:r>
    </w:p>
    <w:p w14:paraId="048863D4" w14:textId="3A049CF2" w:rsidR="00397BAB" w:rsidRPr="00CE65BA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CE65BA">
        <w:rPr>
          <w:rFonts w:ascii="Arial" w:hAnsi="Arial" w:cs="Arial"/>
          <w:sz w:val="22"/>
          <w:szCs w:val="22"/>
        </w:rPr>
        <w:t xml:space="preserve">DIČ:             </w:t>
      </w:r>
      <w:r w:rsidRPr="00CE65BA">
        <w:rPr>
          <w:rFonts w:ascii="Arial" w:hAnsi="Arial" w:cs="Arial"/>
          <w:sz w:val="22"/>
          <w:szCs w:val="22"/>
        </w:rPr>
        <w:tab/>
      </w:r>
      <w:r w:rsidR="005265E3" w:rsidRPr="00CE65BA">
        <w:rPr>
          <w:rFonts w:ascii="Arial" w:hAnsi="Arial" w:cs="Arial"/>
          <w:sz w:val="22"/>
          <w:szCs w:val="22"/>
        </w:rPr>
        <w:tab/>
      </w:r>
      <w:r w:rsidR="00C3367E" w:rsidRPr="00CE65BA">
        <w:rPr>
          <w:rFonts w:ascii="Arial" w:hAnsi="Arial" w:cs="Arial"/>
          <w:sz w:val="22"/>
          <w:szCs w:val="22"/>
        </w:rPr>
        <w:t>CZ43000916</w:t>
      </w:r>
    </w:p>
    <w:p w14:paraId="5457F7E9" w14:textId="22DF8D37" w:rsidR="00CE65BA" w:rsidRPr="00CE65BA" w:rsidRDefault="00CE65BA" w:rsidP="00CE65BA">
      <w:pPr>
        <w:spacing w:after="60"/>
        <w:rPr>
          <w:rStyle w:val="platne1"/>
          <w:rFonts w:ascii="Arial" w:hAnsi="Arial" w:cs="Arial"/>
          <w:sz w:val="22"/>
          <w:szCs w:val="22"/>
        </w:rPr>
      </w:pPr>
      <w:r w:rsidRPr="00CE65BA">
        <w:rPr>
          <w:rFonts w:ascii="Arial" w:hAnsi="Arial" w:cs="Arial"/>
          <w:sz w:val="22"/>
          <w:szCs w:val="22"/>
        </w:rPr>
        <w:t xml:space="preserve">           </w:t>
      </w:r>
      <w:r w:rsidR="005265E3" w:rsidRPr="00CE65BA">
        <w:rPr>
          <w:rFonts w:ascii="Arial" w:hAnsi="Arial" w:cs="Arial"/>
          <w:sz w:val="22"/>
          <w:szCs w:val="22"/>
        </w:rPr>
        <w:t xml:space="preserve">Bankovní spojení: </w:t>
      </w:r>
      <w:r w:rsidRPr="00CE65BA">
        <w:rPr>
          <w:rFonts w:ascii="Arial" w:hAnsi="Arial" w:cs="Arial"/>
          <w:sz w:val="22"/>
          <w:szCs w:val="22"/>
        </w:rPr>
        <w:t xml:space="preserve">  </w:t>
      </w:r>
      <w:r w:rsidR="005265E3" w:rsidRPr="00CE65BA">
        <w:rPr>
          <w:rFonts w:ascii="Arial" w:hAnsi="Arial" w:cs="Arial"/>
          <w:sz w:val="22"/>
          <w:szCs w:val="22"/>
        </w:rPr>
        <w:tab/>
      </w:r>
      <w:r w:rsidRPr="00CE65BA">
        <w:rPr>
          <w:rFonts w:ascii="Arial" w:hAnsi="Arial" w:cs="Arial"/>
          <w:sz w:val="22"/>
          <w:szCs w:val="22"/>
        </w:rPr>
        <w:t xml:space="preserve">BNP </w:t>
      </w:r>
      <w:proofErr w:type="spellStart"/>
      <w:r w:rsidRPr="00CE65BA">
        <w:rPr>
          <w:rFonts w:ascii="Arial" w:hAnsi="Arial" w:cs="Arial"/>
          <w:sz w:val="22"/>
          <w:szCs w:val="22"/>
        </w:rPr>
        <w:t>Paribas</w:t>
      </w:r>
      <w:proofErr w:type="spellEnd"/>
      <w:r w:rsidRPr="00CE65BA">
        <w:rPr>
          <w:rFonts w:ascii="Arial" w:hAnsi="Arial" w:cs="Arial"/>
          <w:sz w:val="22"/>
          <w:szCs w:val="22"/>
        </w:rPr>
        <w:t>, č.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 w:rsidRPr="00CE65BA">
        <w:rPr>
          <w:rStyle w:val="platne1"/>
          <w:rFonts w:ascii="Arial" w:hAnsi="Arial" w:cs="Arial"/>
          <w:sz w:val="22"/>
          <w:szCs w:val="22"/>
        </w:rPr>
        <w:t xml:space="preserve"> 64450-6005040009/6300 </w:t>
      </w:r>
      <w:r w:rsidRPr="00CE65BA">
        <w:rPr>
          <w:rFonts w:ascii="Arial" w:hAnsi="Arial" w:cs="Arial"/>
          <w:b/>
          <w:bCs/>
          <w:color w:val="555555"/>
          <w:sz w:val="22"/>
          <w:szCs w:val="22"/>
          <w:shd w:val="clear" w:color="auto" w:fill="EEEEEE"/>
        </w:rPr>
        <w:t xml:space="preserve"> </w:t>
      </w:r>
    </w:p>
    <w:p w14:paraId="048863D5" w14:textId="6A8E4188" w:rsidR="005265E3" w:rsidRPr="00C3367E" w:rsidRDefault="00CE65BA" w:rsidP="00CE65BA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C3367E">
        <w:rPr>
          <w:rFonts w:ascii="Arial" w:hAnsi="Arial" w:cs="Arial"/>
          <w:sz w:val="22"/>
          <w:szCs w:val="22"/>
        </w:rPr>
        <w:t xml:space="preserve"> 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lastRenderedPageBreak/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2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</w:t>
      </w:r>
      <w:proofErr w:type="gramStart"/>
      <w:r w:rsidR="0088594B" w:rsidRPr="00DF715B">
        <w:rPr>
          <w:rFonts w:ascii="Arial" w:hAnsi="Arial" w:cs="Arial"/>
          <w:sz w:val="22"/>
          <w:szCs w:val="22"/>
        </w:rPr>
        <w:t xml:space="preserve">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</w:t>
      </w:r>
      <w:proofErr w:type="gramStart"/>
      <w:r w:rsidR="004B48DC">
        <w:rPr>
          <w:rFonts w:ascii="Arial" w:hAnsi="Arial" w:cs="Arial"/>
          <w:sz w:val="22"/>
          <w:szCs w:val="22"/>
        </w:rPr>
        <w:t>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3994DB68" w:rsidR="00DF715B" w:rsidRPr="009759C7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9759C7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9759C7">
        <w:rPr>
          <w:rFonts w:ascii="Arial" w:hAnsi="Arial" w:cs="Arial"/>
          <w:sz w:val="22"/>
          <w:szCs w:val="22"/>
        </w:rPr>
        <w:t xml:space="preserve">Poskytovatele </w:t>
      </w:r>
      <w:r w:rsidRPr="009759C7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9759C7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9759C7">
        <w:rPr>
          <w:rFonts w:ascii="Arial" w:hAnsi="Arial" w:cs="Arial"/>
          <w:sz w:val="22"/>
          <w:szCs w:val="22"/>
        </w:rPr>
        <w:t xml:space="preserve">je </w:t>
      </w:r>
      <w:r w:rsidR="009C4281">
        <w:rPr>
          <w:rFonts w:ascii="Arial" w:hAnsi="Arial" w:cs="Arial"/>
          <w:sz w:val="22"/>
          <w:szCs w:val="22"/>
        </w:rPr>
        <w:t>Krevní banka, pracoviště Dětské nemocnice</w:t>
      </w:r>
      <w:r w:rsidR="00AF2B83">
        <w:rPr>
          <w:rFonts w:ascii="Arial" w:hAnsi="Arial" w:cs="Arial"/>
          <w:sz w:val="22"/>
          <w:szCs w:val="22"/>
        </w:rPr>
        <w:t xml:space="preserve">, Fakultní nemocnice Brno, </w:t>
      </w:r>
      <w:r w:rsidR="009C4281">
        <w:rPr>
          <w:rFonts w:ascii="Arial" w:hAnsi="Arial" w:cs="Arial"/>
          <w:sz w:val="22"/>
          <w:szCs w:val="22"/>
        </w:rPr>
        <w:t>Černopolní 9, Brno 613</w:t>
      </w:r>
      <w:r w:rsidR="00AF2B83">
        <w:rPr>
          <w:rFonts w:ascii="Arial" w:hAnsi="Arial" w:cs="Arial"/>
          <w:sz w:val="22"/>
          <w:szCs w:val="22"/>
        </w:rPr>
        <w:t xml:space="preserve"> 00, </w:t>
      </w:r>
      <w:r w:rsidR="0055424C" w:rsidRPr="009759C7">
        <w:rPr>
          <w:rFonts w:ascii="Arial" w:hAnsi="Arial" w:cs="Arial"/>
          <w:sz w:val="22"/>
          <w:szCs w:val="22"/>
        </w:rPr>
        <w:t xml:space="preserve">kontaktní </w:t>
      </w:r>
      <w:r w:rsidR="00AF2B83">
        <w:rPr>
          <w:rFonts w:ascii="Arial" w:hAnsi="Arial" w:cs="Arial"/>
          <w:sz w:val="22"/>
          <w:szCs w:val="22"/>
        </w:rPr>
        <w:t xml:space="preserve">email: </w:t>
      </w:r>
      <w:hyperlink r:id="rId13" w:history="1">
        <w:r w:rsidR="00AF2B83" w:rsidRPr="00A934D6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  <w:r w:rsidR="00AF2B83">
        <w:rPr>
          <w:rFonts w:ascii="Arial" w:hAnsi="Arial" w:cs="Arial"/>
          <w:sz w:val="22"/>
          <w:szCs w:val="22"/>
        </w:rPr>
        <w:t xml:space="preserve">  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Protokoly o provedených výkonech, kopie protokolů o provedených bezpečnostně technických kontrolách, servisních zásazích, revizích, kalibracích a validacích budou zasílány bezodkladně uživateli emailem ve formátu </w:t>
      </w:r>
      <w:proofErr w:type="spellStart"/>
      <w:r w:rsidRPr="00DF715B">
        <w:rPr>
          <w:rFonts w:ascii="Arial" w:hAnsi="Arial" w:cs="Arial"/>
          <w:sz w:val="22"/>
          <w:szCs w:val="22"/>
        </w:rPr>
        <w:t>pdf</w:t>
      </w:r>
      <w:proofErr w:type="spellEnd"/>
      <w:r w:rsidRPr="00DF715B">
        <w:rPr>
          <w:rFonts w:ascii="Arial" w:hAnsi="Arial" w:cs="Arial"/>
          <w:sz w:val="22"/>
          <w:szCs w:val="22"/>
        </w:rPr>
        <w:t xml:space="preserve">, elektronicky podepsané, s označením souboru: </w:t>
      </w:r>
      <w:proofErr w:type="spellStart"/>
      <w:r w:rsidRPr="00DF715B">
        <w:rPr>
          <w:rFonts w:ascii="Arial" w:hAnsi="Arial" w:cs="Arial"/>
          <w:sz w:val="22"/>
          <w:szCs w:val="22"/>
        </w:rPr>
        <w:t>xxxxxxxx_yyzz_aaa</w:t>
      </w:r>
      <w:proofErr w:type="spellEnd"/>
      <w:r w:rsidRPr="00DF715B">
        <w:rPr>
          <w:rFonts w:ascii="Arial" w:hAnsi="Arial" w:cs="Arial"/>
          <w:sz w:val="22"/>
          <w:szCs w:val="22"/>
        </w:rPr>
        <w:t>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inventární číslo, _ je dolní podtržítko,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yy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rok (20 v případě r. 2020),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zz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pořadové číslo protokolu/ výkazu v daném roce,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aaa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</w:t>
      </w:r>
      <w:r w:rsidRPr="00DF715B">
        <w:rPr>
          <w:rFonts w:ascii="Arial" w:hAnsi="Arial" w:cs="Arial"/>
          <w:sz w:val="22"/>
          <w:szCs w:val="22"/>
        </w:rPr>
        <w:lastRenderedPageBreak/>
        <w:t>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III.1.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III.2.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III.3.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 xml:space="preserve">celém rozsahu,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tzn.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nezapočítává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>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</w:t>
      </w:r>
      <w:proofErr w:type="gramStart"/>
      <w:r w:rsidR="0049553A" w:rsidRPr="00DF715B">
        <w:rPr>
          <w:rFonts w:ascii="Arial" w:hAnsi="Arial" w:cs="Arial"/>
          <w:sz w:val="22"/>
          <w:szCs w:val="22"/>
        </w:rPr>
        <w:t>této</w:t>
      </w:r>
      <w:proofErr w:type="gramEnd"/>
      <w:r w:rsidR="0049553A" w:rsidRPr="00DF715B">
        <w:rPr>
          <w:rFonts w:ascii="Arial" w:hAnsi="Arial" w:cs="Arial"/>
          <w:sz w:val="22"/>
          <w:szCs w:val="22"/>
        </w:rPr>
        <w:t xml:space="preserve">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Pr="004B48DC">
        <w:rPr>
          <w:rFonts w:ascii="Arial" w:hAnsi="Arial" w:cs="Arial"/>
          <w:sz w:val="22"/>
          <w:szCs w:val="22"/>
        </w:rPr>
        <w:t xml:space="preserve">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034C91" w:rsidRPr="004B48DC">
        <w:rPr>
          <w:rFonts w:ascii="Arial" w:hAnsi="Arial" w:cs="Arial"/>
          <w:sz w:val="22"/>
          <w:szCs w:val="22"/>
        </w:rPr>
        <w:t xml:space="preserve">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 xml:space="preserve">ě obou smluvních stran lze cenu upravit o inflační vlivy (tj. při změně kurzu CZK vůči </w:t>
      </w:r>
      <w:proofErr w:type="gramStart"/>
      <w:r w:rsidR="000F392F" w:rsidRPr="00DF715B">
        <w:rPr>
          <w:rFonts w:ascii="Arial" w:hAnsi="Arial" w:cs="Arial"/>
          <w:sz w:val="22"/>
          <w:szCs w:val="22"/>
        </w:rPr>
        <w:t>EUR</w:t>
      </w:r>
      <w:proofErr w:type="gramEnd"/>
      <w:r w:rsidR="000F392F" w:rsidRPr="00DF715B">
        <w:rPr>
          <w:rFonts w:ascii="Arial" w:hAnsi="Arial" w:cs="Arial"/>
          <w:sz w:val="22"/>
          <w:szCs w:val="22"/>
        </w:rPr>
        <w:t xml:space="preserve">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</w:t>
      </w:r>
      <w:proofErr w:type="gramStart"/>
      <w:r w:rsidRPr="00DF715B">
        <w:rPr>
          <w:rFonts w:ascii="Arial" w:hAnsi="Arial" w:cs="Arial"/>
          <w:bCs/>
          <w:sz w:val="22"/>
          <w:szCs w:val="22"/>
        </w:rPr>
        <w:t>je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 xml:space="preserve">. Nabídku zašle dodavatel na odběratele, na adresu uvedenou v čl. </w:t>
      </w:r>
      <w:proofErr w:type="gramStart"/>
      <w:r w:rsidR="001B7DEF">
        <w:rPr>
          <w:rFonts w:ascii="Arial" w:hAnsi="Arial" w:cs="Arial"/>
          <w:bCs/>
          <w:sz w:val="22"/>
          <w:szCs w:val="22"/>
        </w:rPr>
        <w:t>II.6</w:t>
      </w:r>
      <w:r w:rsidRPr="00DF715B">
        <w:rPr>
          <w:rFonts w:ascii="Arial" w:hAnsi="Arial" w:cs="Arial"/>
          <w:bCs/>
          <w:sz w:val="22"/>
          <w:szCs w:val="22"/>
        </w:rPr>
        <w:t>.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</w:t>
      </w:r>
      <w:proofErr w:type="gramStart"/>
      <w:r w:rsidRPr="00424A1F">
        <w:rPr>
          <w:rFonts w:ascii="Arial" w:hAnsi="Arial" w:cs="Arial"/>
          <w:snapToGrid w:val="0"/>
          <w:sz w:val="22"/>
          <w:szCs w:val="22"/>
        </w:rPr>
        <w:t>touto smlouvou</w:t>
      </w:r>
      <w:proofErr w:type="gramEnd"/>
      <w:r w:rsidRPr="00424A1F">
        <w:rPr>
          <w:rFonts w:ascii="Arial" w:hAnsi="Arial" w:cs="Arial"/>
          <w:snapToGrid w:val="0"/>
          <w:sz w:val="22"/>
          <w:szCs w:val="22"/>
        </w:rPr>
        <w:t xml:space="preserve">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2D35C0FB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>V</w:t>
      </w:r>
      <w:r w:rsidR="0028761E">
        <w:rPr>
          <w:rFonts w:ascii="Arial" w:hAnsi="Arial" w:cs="Arial"/>
          <w:sz w:val="22"/>
          <w:szCs w:val="22"/>
        </w:rPr>
        <w:t xml:space="preserve"> Praze 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  <w:r w:rsidR="00A9083A">
        <w:rPr>
          <w:rFonts w:ascii="Arial" w:hAnsi="Arial" w:cs="Arial"/>
          <w:sz w:val="22"/>
          <w:szCs w:val="22"/>
        </w:rPr>
        <w:t xml:space="preserve">: 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6AF7CF46" w14:textId="3B7EF946" w:rsidR="003662B7" w:rsidRDefault="00034C91" w:rsidP="003662B7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Za objednatele: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="003662B7">
        <w:rPr>
          <w:rFonts w:ascii="Arial" w:hAnsi="Arial" w:cs="Arial"/>
          <w:sz w:val="22"/>
          <w:szCs w:val="22"/>
        </w:rPr>
        <w:t xml:space="preserve">           </w:t>
      </w:r>
      <w:r w:rsidRPr="00420884">
        <w:rPr>
          <w:rFonts w:ascii="Arial" w:hAnsi="Arial" w:cs="Arial"/>
          <w:sz w:val="22"/>
          <w:szCs w:val="22"/>
        </w:rPr>
        <w:t xml:space="preserve">Za </w:t>
      </w:r>
      <w:r w:rsidR="00440AF1">
        <w:rPr>
          <w:rFonts w:ascii="Arial" w:hAnsi="Arial" w:cs="Arial"/>
          <w:sz w:val="22"/>
          <w:szCs w:val="22"/>
        </w:rPr>
        <w:t>poskytovatele</w:t>
      </w:r>
      <w:r w:rsidR="003662B7">
        <w:rPr>
          <w:rFonts w:ascii="Arial" w:hAnsi="Arial" w:cs="Arial"/>
          <w:sz w:val="22"/>
          <w:szCs w:val="22"/>
        </w:rPr>
        <w:t xml:space="preserve">: </w:t>
      </w:r>
      <w:r w:rsidRPr="00420884">
        <w:rPr>
          <w:rFonts w:ascii="Arial" w:hAnsi="Arial" w:cs="Arial"/>
          <w:sz w:val="22"/>
          <w:szCs w:val="22"/>
        </w:rPr>
        <w:t xml:space="preserve">                          </w:t>
      </w:r>
    </w:p>
    <w:p w14:paraId="7D55ED45" w14:textId="77777777" w:rsidR="003662B7" w:rsidRDefault="003662B7" w:rsidP="003662B7">
      <w:pPr>
        <w:jc w:val="both"/>
        <w:rPr>
          <w:rFonts w:ascii="Arial" w:hAnsi="Arial" w:cs="Arial"/>
          <w:sz w:val="22"/>
          <w:szCs w:val="22"/>
        </w:rPr>
      </w:pPr>
    </w:p>
    <w:p w14:paraId="226679D0" w14:textId="7A7E39B8" w:rsidR="00A07218" w:rsidRDefault="003662B7" w:rsidP="003662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034C91" w:rsidRPr="00420884">
        <w:rPr>
          <w:rFonts w:ascii="Arial" w:hAnsi="Arial" w:cs="Arial"/>
          <w:sz w:val="22"/>
          <w:szCs w:val="22"/>
        </w:rPr>
        <w:t xml:space="preserve">     </w:t>
      </w:r>
      <w:r w:rsidR="00A07218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A07218">
        <w:rPr>
          <w:rFonts w:ascii="Arial" w:hAnsi="Arial" w:cs="Arial"/>
          <w:sz w:val="22"/>
          <w:szCs w:val="22"/>
        </w:rPr>
        <w:t xml:space="preserve">   </w:t>
      </w:r>
    </w:p>
    <w:p w14:paraId="36F2CD69" w14:textId="77777777" w:rsidR="003662B7" w:rsidRDefault="003662B7" w:rsidP="00112D8C">
      <w:pPr>
        <w:jc w:val="both"/>
        <w:rPr>
          <w:rFonts w:ascii="Arial" w:hAnsi="Arial" w:cs="Arial"/>
          <w:sz w:val="22"/>
          <w:szCs w:val="22"/>
        </w:rPr>
      </w:pPr>
    </w:p>
    <w:p w14:paraId="51F2659B" w14:textId="05E1B9E7" w:rsidR="003662B7" w:rsidRDefault="003662B7" w:rsidP="00112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…………………………………………..                </w:t>
      </w:r>
      <w:r w:rsidR="00557731">
        <w:rPr>
          <w:rFonts w:ascii="Arial" w:hAnsi="Arial" w:cs="Arial"/>
          <w:sz w:val="22"/>
          <w:szCs w:val="22"/>
        </w:rPr>
        <w:t xml:space="preserve">       ……………………………………………..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13A120F9" w14:textId="6CC64538" w:rsidR="0007082A" w:rsidRPr="00A07218" w:rsidRDefault="006B66C6" w:rsidP="00112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</w:t>
      </w:r>
      <w:r w:rsidR="006B7A3A"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6B7A3A">
        <w:rPr>
          <w:rFonts w:ascii="Arial" w:hAnsi="Arial" w:cs="Arial"/>
          <w:sz w:val="22"/>
          <w:szCs w:val="22"/>
        </w:rPr>
        <w:t xml:space="preserve"> </w:t>
      </w:r>
    </w:p>
    <w:p w14:paraId="3EB07BF5" w14:textId="656F1979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A07218">
        <w:rPr>
          <w:rFonts w:ascii="Arial" w:hAnsi="Arial" w:cs="Arial"/>
          <w:sz w:val="22"/>
          <w:szCs w:val="22"/>
        </w:rPr>
        <w:t xml:space="preserve">                 </w:t>
      </w:r>
      <w:r w:rsidR="0007082A" w:rsidRPr="00420884">
        <w:rPr>
          <w:rFonts w:ascii="Arial" w:hAnsi="Arial" w:cs="Arial"/>
          <w:sz w:val="22"/>
          <w:szCs w:val="22"/>
        </w:rPr>
        <w:t>ředitel</w:t>
      </w:r>
      <w:r w:rsidR="006B7A3A">
        <w:rPr>
          <w:rFonts w:ascii="Arial" w:hAnsi="Arial" w:cs="Arial"/>
          <w:sz w:val="22"/>
          <w:szCs w:val="22"/>
        </w:rPr>
        <w:t xml:space="preserve">                                                                      zmocněnkyně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DD9BC" w14:textId="77777777" w:rsidR="00A4252F" w:rsidRDefault="00A4252F" w:rsidP="008C3D93">
      <w:r>
        <w:separator/>
      </w:r>
    </w:p>
  </w:endnote>
  <w:endnote w:type="continuationSeparator" w:id="0">
    <w:p w14:paraId="3055465B" w14:textId="77777777" w:rsidR="00A4252F" w:rsidRDefault="00A4252F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4188F6B1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6C6">
          <w:rPr>
            <w:noProof/>
          </w:rPr>
          <w:t>6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83FE" w14:textId="77777777" w:rsidR="00A4252F" w:rsidRDefault="00A4252F" w:rsidP="008C3D93">
      <w:r>
        <w:separator/>
      </w:r>
    </w:p>
  </w:footnote>
  <w:footnote w:type="continuationSeparator" w:id="0">
    <w:p w14:paraId="577D7B40" w14:textId="77777777" w:rsidR="00A4252F" w:rsidRDefault="00A4252F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1210"/>
        </w:tabs>
        <w:ind w:left="120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2FC6"/>
    <w:rsid w:val="000C445F"/>
    <w:rsid w:val="000D5717"/>
    <w:rsid w:val="000E473F"/>
    <w:rsid w:val="000F0CFB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75EF4"/>
    <w:rsid w:val="0028761E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662B7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57731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6C6"/>
    <w:rsid w:val="006B6AFC"/>
    <w:rsid w:val="006B7A3A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759C7"/>
    <w:rsid w:val="009846D5"/>
    <w:rsid w:val="009B37E6"/>
    <w:rsid w:val="009C4281"/>
    <w:rsid w:val="009E2A3A"/>
    <w:rsid w:val="009F32A6"/>
    <w:rsid w:val="00A07218"/>
    <w:rsid w:val="00A12443"/>
    <w:rsid w:val="00A15505"/>
    <w:rsid w:val="00A22031"/>
    <w:rsid w:val="00A27F4B"/>
    <w:rsid w:val="00A32076"/>
    <w:rsid w:val="00A37AA8"/>
    <w:rsid w:val="00A4252F"/>
    <w:rsid w:val="00A42CF0"/>
    <w:rsid w:val="00A4460B"/>
    <w:rsid w:val="00A5484E"/>
    <w:rsid w:val="00A7032B"/>
    <w:rsid w:val="00A7466B"/>
    <w:rsid w:val="00A9083A"/>
    <w:rsid w:val="00AB48EF"/>
    <w:rsid w:val="00AC13C9"/>
    <w:rsid w:val="00AC1D91"/>
    <w:rsid w:val="00AD114A"/>
    <w:rsid w:val="00AD2E08"/>
    <w:rsid w:val="00AD33BD"/>
    <w:rsid w:val="00AF2B83"/>
    <w:rsid w:val="00B03018"/>
    <w:rsid w:val="00B22B92"/>
    <w:rsid w:val="00B33AE5"/>
    <w:rsid w:val="00B551AD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3367E"/>
    <w:rsid w:val="00C61157"/>
    <w:rsid w:val="00C6601C"/>
    <w:rsid w:val="00C902A0"/>
    <w:rsid w:val="00CB4B2F"/>
    <w:rsid w:val="00CC32AB"/>
    <w:rsid w:val="00CE65BA"/>
    <w:rsid w:val="00D04144"/>
    <w:rsid w:val="00D112AA"/>
    <w:rsid w:val="00D536EA"/>
    <w:rsid w:val="00D822C8"/>
    <w:rsid w:val="00D86528"/>
    <w:rsid w:val="00D9069F"/>
    <w:rsid w:val="00DB0A30"/>
    <w:rsid w:val="00DC7F52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F06C08"/>
    <w:rsid w:val="00F20F9F"/>
    <w:rsid w:val="00F25252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C3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zt@fnbrno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zt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C068E-D7BB-419E-A8EE-887128AD2B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7e37686-00e6-405d-9032-d05dd3ba55a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5A13EA7-0D1C-4E0F-9D4B-5F5566C9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2716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Láníčková Kateřina</cp:lastModifiedBy>
  <cp:revision>3</cp:revision>
  <cp:lastPrinted>2020-01-13T11:40:00Z</cp:lastPrinted>
  <dcterms:created xsi:type="dcterms:W3CDTF">2021-04-22T10:06:00Z</dcterms:created>
  <dcterms:modified xsi:type="dcterms:W3CDTF">2021-04-22T10:07:00Z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