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06" w:rsidRDefault="00BF3406" w:rsidP="00BF34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F3406" w:rsidRDefault="00BF3406" w:rsidP="00BF34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F3406" w:rsidRPr="00686C68" w:rsidRDefault="00BF3406" w:rsidP="00BF34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6C68">
        <w:rPr>
          <w:rFonts w:asciiTheme="minorHAnsi" w:hAnsiTheme="minorHAnsi" w:cstheme="minorHAnsi"/>
          <w:b/>
          <w:sz w:val="28"/>
          <w:szCs w:val="28"/>
          <w:u w:val="single"/>
        </w:rPr>
        <w:t>Příloha I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686C68">
        <w:rPr>
          <w:rFonts w:asciiTheme="minorHAnsi" w:hAnsiTheme="minorHAnsi" w:cstheme="minorHAnsi"/>
          <w:b/>
          <w:sz w:val="28"/>
          <w:szCs w:val="28"/>
          <w:u w:val="single"/>
        </w:rPr>
        <w:t>I.</w:t>
      </w:r>
      <w:r w:rsidRPr="00686C68">
        <w:rPr>
          <w:rFonts w:asciiTheme="minorHAnsi" w:hAnsiTheme="minorHAnsi" w:cstheme="minorHAnsi"/>
          <w:b/>
          <w:sz w:val="28"/>
          <w:szCs w:val="28"/>
        </w:rPr>
        <w:t xml:space="preserve"> k</w:t>
      </w:r>
      <w:r>
        <w:rPr>
          <w:rFonts w:asciiTheme="minorHAnsi" w:hAnsiTheme="minorHAnsi" w:cstheme="minorHAnsi"/>
          <w:b/>
          <w:sz w:val="28"/>
          <w:szCs w:val="28"/>
        </w:rPr>
        <w:t> zadávací dokumentaci</w:t>
      </w:r>
      <w:r w:rsidRPr="00686C68">
        <w:rPr>
          <w:rFonts w:asciiTheme="minorHAnsi" w:hAnsiTheme="minorHAnsi" w:cstheme="minorHAnsi"/>
          <w:b/>
          <w:sz w:val="28"/>
          <w:szCs w:val="28"/>
        </w:rPr>
        <w:t xml:space="preserve"> podání nabídky na veřejnou zakázku malého rozsahu na dodávku</w:t>
      </w:r>
      <w:r>
        <w:rPr>
          <w:rFonts w:asciiTheme="minorHAnsi" w:hAnsiTheme="minorHAnsi" w:cstheme="minorHAnsi"/>
          <w:b/>
          <w:sz w:val="28"/>
          <w:szCs w:val="28"/>
        </w:rPr>
        <w:t xml:space="preserve"> materiálu</w:t>
      </w:r>
    </w:p>
    <w:p w:rsidR="00BF3406" w:rsidRDefault="00BF3406" w:rsidP="00BF3406">
      <w:pPr>
        <w:pStyle w:val="Zkladntext"/>
        <w:jc w:val="both"/>
        <w:rPr>
          <w:rFonts w:ascii="Calibri" w:hAnsi="Calibri" w:cs="Calibri"/>
          <w:iCs/>
          <w:sz w:val="22"/>
          <w:szCs w:val="22"/>
        </w:rPr>
      </w:pPr>
    </w:p>
    <w:p w:rsidR="00BF3406" w:rsidRPr="00A71D88" w:rsidRDefault="00BF3406" w:rsidP="00BF3406">
      <w:pPr>
        <w:pStyle w:val="Zkladntext"/>
        <w:jc w:val="both"/>
        <w:rPr>
          <w:rFonts w:ascii="Calibri" w:hAnsi="Calibri" w:cs="Calibri"/>
          <w:iCs/>
          <w:sz w:val="22"/>
          <w:szCs w:val="22"/>
        </w:rPr>
      </w:pPr>
      <w:r w:rsidRPr="00A71D88">
        <w:rPr>
          <w:rFonts w:ascii="Calibri" w:hAnsi="Calibri" w:cs="Calibri"/>
          <w:iCs/>
          <w:sz w:val="22"/>
          <w:szCs w:val="22"/>
        </w:rPr>
        <w:t xml:space="preserve">Tyto obchodní podmínky je </w:t>
      </w:r>
      <w:r>
        <w:rPr>
          <w:rFonts w:ascii="Calibri" w:hAnsi="Calibri" w:cs="Calibri"/>
          <w:iCs/>
          <w:sz w:val="22"/>
          <w:szCs w:val="22"/>
        </w:rPr>
        <w:t>účastník</w:t>
      </w:r>
      <w:r w:rsidRPr="00A71D88">
        <w:rPr>
          <w:rFonts w:ascii="Calibri" w:hAnsi="Calibri" w:cs="Calibri"/>
          <w:iCs/>
          <w:sz w:val="22"/>
          <w:szCs w:val="22"/>
        </w:rPr>
        <w:t xml:space="preserve"> povinen zapracovat do návrhu na uzavření smlouvy předkládaného jako součást nabídky na realizaci veřejné zakázky dle této zadávací dokumentace. Obsah obchodních podmínek může </w:t>
      </w:r>
      <w:r>
        <w:rPr>
          <w:rFonts w:ascii="Calibri" w:hAnsi="Calibri" w:cs="Calibri"/>
          <w:iCs/>
          <w:sz w:val="22"/>
          <w:szCs w:val="22"/>
        </w:rPr>
        <w:t>účastník</w:t>
      </w:r>
      <w:r w:rsidRPr="00A71D8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:rsidR="00BF3406" w:rsidRPr="00686C68" w:rsidRDefault="00BF3406" w:rsidP="00BF3406">
      <w:pPr>
        <w:pStyle w:val="Nadpis5"/>
        <w:ind w:left="4253" w:hanging="4253"/>
        <w:rPr>
          <w:rFonts w:asciiTheme="minorHAnsi" w:hAnsiTheme="minorHAnsi" w:cstheme="minorHAnsi"/>
          <w:bCs/>
          <w:szCs w:val="28"/>
        </w:rPr>
      </w:pPr>
    </w:p>
    <w:p w:rsidR="00BF3406" w:rsidRPr="00711D62" w:rsidRDefault="00BF3406" w:rsidP="00BF3406">
      <w:pPr>
        <w:pStyle w:val="Nadpis5"/>
        <w:ind w:left="4253" w:hanging="4253"/>
        <w:rPr>
          <w:rFonts w:asciiTheme="minorHAnsi" w:hAnsiTheme="minorHAnsi" w:cstheme="minorHAnsi"/>
          <w:b/>
          <w:color w:val="auto"/>
          <w:sz w:val="36"/>
        </w:rPr>
      </w:pPr>
      <w:r w:rsidRPr="00711D62">
        <w:rPr>
          <w:rFonts w:asciiTheme="minorHAnsi" w:hAnsiTheme="minorHAnsi" w:cstheme="minorHAnsi"/>
          <w:b/>
          <w:bCs/>
          <w:color w:val="auto"/>
          <w:sz w:val="36"/>
          <w:szCs w:val="28"/>
        </w:rPr>
        <w:t>Obchodní podmínky</w:t>
      </w:r>
    </w:p>
    <w:p w:rsidR="00BF3406" w:rsidRPr="00402A43" w:rsidRDefault="00BF3406" w:rsidP="00BF3406">
      <w:pPr>
        <w:spacing w:after="200" w:line="276" w:lineRule="auto"/>
        <w:rPr>
          <w:rFonts w:eastAsia="Calibri"/>
          <w:lang w:eastAsia="en-US"/>
        </w:rPr>
      </w:pPr>
    </w:p>
    <w:p w:rsidR="00BF3406" w:rsidRPr="00C9122B" w:rsidRDefault="00BF3406" w:rsidP="00BF3406">
      <w:pPr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DODÁNÍ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BF3406" w:rsidRDefault="00BF3406" w:rsidP="00BF3406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MATERIÁLU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BF3406" w:rsidRDefault="00BF3406" w:rsidP="00BF3406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BF3406" w:rsidRPr="000E453A" w:rsidRDefault="00BF3406" w:rsidP="00BF3406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BF3406" w:rsidRDefault="00BF3406" w:rsidP="00BF3406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BF3406" w:rsidRDefault="00BF3406" w:rsidP="00BF3406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BF3406" w:rsidRPr="004D521F" w:rsidRDefault="00BF3406" w:rsidP="00BF3406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BF3406" w:rsidRDefault="00BF3406" w:rsidP="00BF3406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BF3406" w:rsidRDefault="00BF3406" w:rsidP="00BF340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BF3406" w:rsidRDefault="00BF3406" w:rsidP="00BF3406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>ílová 164/36g, 639 00 Brno</w:t>
      </w:r>
    </w:p>
    <w:p w:rsidR="00BF3406" w:rsidRDefault="00BF3406" w:rsidP="00BF340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</w:t>
      </w:r>
      <w:proofErr w:type="spellStart"/>
      <w:r>
        <w:rPr>
          <w:rFonts w:asciiTheme="minorHAnsi" w:hAnsiTheme="minorHAnsi"/>
          <w:b/>
        </w:rPr>
        <w:t>Bartośem</w:t>
      </w:r>
      <w:proofErr w:type="spellEnd"/>
      <w:r>
        <w:rPr>
          <w:rFonts w:asciiTheme="minorHAnsi" w:hAnsiTheme="minorHAnsi"/>
          <w:b/>
        </w:rPr>
        <w:t xml:space="preserve"> - </w:t>
      </w:r>
      <w:r>
        <w:rPr>
          <w:rFonts w:asciiTheme="minorHAnsi" w:hAnsiTheme="minorHAnsi"/>
          <w:bCs/>
        </w:rPr>
        <w:t>ředitelem</w:t>
      </w:r>
    </w:p>
    <w:p w:rsidR="00BF3406" w:rsidRDefault="00BF3406" w:rsidP="00BF340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BF3406" w:rsidRDefault="00BF3406" w:rsidP="00BF340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BF3406" w:rsidRDefault="00BF3406" w:rsidP="00BF34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banka, a. s.</w:t>
      </w:r>
    </w:p>
    <w:p w:rsidR="00BF3406" w:rsidRDefault="00BF3406" w:rsidP="00BF34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BF3406" w:rsidRDefault="00BF3406" w:rsidP="00BF3406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BF3406" w:rsidRDefault="00BF3406" w:rsidP="00BF340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BF3406" w:rsidRDefault="00BF3406" w:rsidP="00BF340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BF3406" w:rsidRDefault="00BF3406" w:rsidP="00BF3406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BF3406" w:rsidRPr="00071018" w:rsidRDefault="00BF3406" w:rsidP="00BF3406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WELDTECH v.o.s.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BF3406" w:rsidRPr="004E0985" w:rsidRDefault="00BF3406" w:rsidP="00BF340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Vranovská 21, 614 00 Brno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:rsidR="00BF3406" w:rsidRPr="00382810" w:rsidRDefault="00BF3406" w:rsidP="00BF340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Ing. Jan Pernica - jednatel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BF3406" w:rsidRPr="004E0985" w:rsidRDefault="00BF3406" w:rsidP="00BF340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Obchodní rejstřík vedený u krajského soudu v Brně oddíl A vložka 7031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BF3406" w:rsidRPr="004E0985" w:rsidRDefault="00BF3406" w:rsidP="00BF340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63477696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BF3406" w:rsidRPr="004E0985" w:rsidRDefault="00BF3406" w:rsidP="00BF3406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>CZ63477696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BF3406" w:rsidRPr="004E0985" w:rsidRDefault="00BF3406" w:rsidP="00BF3406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BF3406" w:rsidRPr="00A71D88" w:rsidRDefault="00BF3406" w:rsidP="00BF3406">
      <w:pPr>
        <w:tabs>
          <w:tab w:val="left" w:pos="2154"/>
        </w:tabs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A71D88">
        <w:rPr>
          <w:rFonts w:ascii="Calibri" w:hAnsi="Calibri" w:cs="Calibri"/>
          <w:i/>
          <w:sz w:val="22"/>
          <w:szCs w:val="22"/>
        </w:rPr>
        <w:t xml:space="preserve">Při zpracování návrhu na uzavření smlouvy doplní </w:t>
      </w:r>
      <w:r>
        <w:rPr>
          <w:rFonts w:ascii="Calibri" w:hAnsi="Calibri" w:cs="Calibri"/>
          <w:i/>
          <w:sz w:val="22"/>
          <w:szCs w:val="22"/>
        </w:rPr>
        <w:t>účastníci</w:t>
      </w:r>
      <w:r w:rsidRPr="00A71D88">
        <w:rPr>
          <w:rFonts w:ascii="Calibri" w:hAnsi="Calibri" w:cs="Calibri"/>
          <w:i/>
          <w:sz w:val="22"/>
          <w:szCs w:val="22"/>
        </w:rPr>
        <w:t xml:space="preserve"> údaje, které jsou relevantní vzhledem k charakteru jejich právní formy, údaje týkající se jiné právní formy nebudou v nabídce obsaženy.</w:t>
      </w:r>
    </w:p>
    <w:p w:rsidR="00BF3406" w:rsidRDefault="00BF3406" w:rsidP="00BF340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BF3406" w:rsidRDefault="00BF3406" w:rsidP="00BF3406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F3406" w:rsidRDefault="00BF3406" w:rsidP="00BF340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F3406" w:rsidRDefault="00BF3406" w:rsidP="00BF340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BF3406" w:rsidRDefault="00BF3406" w:rsidP="00BF3406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BF3406" w:rsidRPr="00D202C7" w:rsidRDefault="00BF3406" w:rsidP="00BF340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dodávka materiálu</w:t>
      </w:r>
      <w:r>
        <w:rPr>
          <w:rFonts w:ascii="Calibri" w:hAnsi="Calibri" w:cs="Calibri"/>
          <w:sz w:val="22"/>
          <w:szCs w:val="22"/>
        </w:rPr>
        <w:t xml:space="preserve"> v rámci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určení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BF3406" w:rsidRDefault="00BF3406" w:rsidP="00BF340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BF3406" w:rsidRDefault="00BF3406" w:rsidP="00BF340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BF3406" w:rsidRPr="006917C2" w:rsidRDefault="00BF3406" w:rsidP="00BF3406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BF3406" w:rsidRDefault="00BF3406" w:rsidP="00BF340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BF3406" w:rsidRDefault="00BF3406" w:rsidP="00BF340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BF3406" w:rsidRPr="002E0369" w:rsidRDefault="00BF3406" w:rsidP="00BF3406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do 6</w:t>
      </w:r>
      <w:r w:rsidRPr="00D53EB8">
        <w:rPr>
          <w:rFonts w:ascii="Calibri" w:hAnsi="Calibri" w:cs="Calibri"/>
          <w:sz w:val="22"/>
          <w:szCs w:val="22"/>
          <w:lang w:eastAsia="x-none"/>
        </w:rPr>
        <w:t>0 dnů od účinnosti smlouvy.</w:t>
      </w:r>
    </w:p>
    <w:p w:rsidR="00BF3406" w:rsidRPr="006917C2" w:rsidRDefault="00BF3406" w:rsidP="00BF3406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BF3406" w:rsidRDefault="00BF3406" w:rsidP="00BF340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BF3406" w:rsidRDefault="00BF3406" w:rsidP="00BF340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BF3406" w:rsidRPr="006917C2" w:rsidRDefault="00BF3406" w:rsidP="00BF340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Pr="009D69B9">
        <w:rPr>
          <w:rFonts w:ascii="Calibri" w:hAnsi="Calibri" w:cs="Calibri"/>
          <w:color w:val="000000"/>
          <w:sz w:val="22"/>
          <w:szCs w:val="22"/>
        </w:rPr>
        <w:t xml:space="preserve">budova učeben na adrese </w:t>
      </w:r>
      <w:r w:rsidRPr="00474216">
        <w:rPr>
          <w:rFonts w:asciiTheme="minorHAnsi" w:hAnsiTheme="minorHAnsi" w:cstheme="minorHAnsi"/>
          <w:sz w:val="22"/>
          <w:szCs w:val="22"/>
          <w:lang w:eastAsia="de-DE"/>
        </w:rPr>
        <w:t>Jílová 164/36g, Brno 639 00</w:t>
      </w:r>
      <w:r w:rsidRPr="008E4468">
        <w:rPr>
          <w:rFonts w:ascii="Calibri" w:hAnsi="Calibri" w:cs="Calibri"/>
          <w:color w:val="000000"/>
          <w:sz w:val="22"/>
          <w:szCs w:val="22"/>
        </w:rPr>
        <w:t>.</w:t>
      </w:r>
    </w:p>
    <w:p w:rsidR="00BF3406" w:rsidRDefault="00BF3406" w:rsidP="00BF3406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BF3406" w:rsidRDefault="00BF3406" w:rsidP="00BF3406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BF3406" w:rsidRPr="001C6432" w:rsidRDefault="00BF3406" w:rsidP="00BF3406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předmětu koupě 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je sjednána na částku</w:t>
      </w:r>
      <w:r>
        <w:rPr>
          <w:rFonts w:ascii="Calibri" w:hAnsi="Calibri" w:cs="Calibri"/>
          <w:sz w:val="22"/>
          <w:szCs w:val="22"/>
          <w:lang w:eastAsia="x-none"/>
        </w:rPr>
        <w:t xml:space="preserve"> 11 860,11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 včetně DPH, přičemž</w:t>
      </w:r>
    </w:p>
    <w:p w:rsidR="00BF3406" w:rsidRDefault="00BF3406" w:rsidP="00BF340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9 801,75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21 </w:t>
      </w:r>
      <w:r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BF3406" w:rsidRDefault="00BF3406" w:rsidP="00BF3406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2 058,36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BF3406" w:rsidRPr="008B574A" w:rsidRDefault="00BF3406" w:rsidP="00BF3406">
      <w:pPr>
        <w:tabs>
          <w:tab w:val="left" w:pos="709"/>
        </w:tabs>
        <w:spacing w:before="100" w:after="120"/>
        <w:ind w:left="567" w:hanging="360"/>
        <w:jc w:val="both"/>
        <w:rPr>
          <w:rFonts w:ascii="Calibri" w:hAnsi="Calibri" w:cs="Calibri"/>
          <w:sz w:val="22"/>
          <w:szCs w:val="22"/>
          <w:u w:val="single"/>
          <w:lang w:eastAsia="x-none"/>
        </w:rPr>
      </w:pPr>
      <w:r w:rsidRPr="008B574A">
        <w:rPr>
          <w:rFonts w:ascii="Calibri" w:hAnsi="Calibri" w:cs="Calibri"/>
          <w:sz w:val="22"/>
          <w:szCs w:val="22"/>
          <w:u w:val="single"/>
          <w:lang w:eastAsia="x-none"/>
        </w:rPr>
        <w:t>Kupní cena jednotlivých částí je:</w:t>
      </w: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1: Materiál pro elektro práce</w:t>
      </w:r>
      <w:r w:rsidRPr="005A52BE">
        <w:rPr>
          <w:rFonts w:ascii="Calibri" w:hAnsi="Calibri" w:cs="Calibri"/>
          <w:sz w:val="22"/>
          <w:szCs w:val="22"/>
          <w:lang w:eastAsia="de-DE"/>
        </w:rPr>
        <w:t xml:space="preserve"> </w:t>
      </w:r>
      <w:r>
        <w:rPr>
          <w:rFonts w:ascii="Calibri" w:hAnsi="Calibri" w:cs="Calibri"/>
          <w:sz w:val="22"/>
          <w:szCs w:val="22"/>
        </w:rPr>
        <w:t>……..</w:t>
      </w:r>
      <w:r w:rsidRPr="001C6432">
        <w:rPr>
          <w:rFonts w:ascii="Calibri" w:hAnsi="Calibri" w:cs="Calibri"/>
          <w:sz w:val="22"/>
          <w:szCs w:val="22"/>
        </w:rPr>
        <w:t>…………….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>sazba DPH činí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 xml:space="preserve">……….. </w:t>
      </w:r>
      <w:r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BF3406" w:rsidRDefault="00BF3406" w:rsidP="00BF3406">
      <w:pPr>
        <w:tabs>
          <w:tab w:val="left" w:pos="360"/>
        </w:tabs>
        <w:spacing w:before="100" w:after="120"/>
        <w:jc w:val="both"/>
        <w:rPr>
          <w:rFonts w:ascii="Calibri" w:hAnsi="Calibri" w:cs="Calibri"/>
          <w:sz w:val="22"/>
          <w:szCs w:val="22"/>
        </w:rPr>
      </w:pPr>
    </w:p>
    <w:p w:rsidR="00BF3406" w:rsidRPr="001C6432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2: Materiál pro hobby práce </w:t>
      </w:r>
      <w:r>
        <w:rPr>
          <w:rFonts w:ascii="Calibri" w:hAnsi="Calibri" w:cs="Calibri"/>
          <w:sz w:val="22"/>
          <w:szCs w:val="22"/>
        </w:rPr>
        <w:t>– keramika ……..</w:t>
      </w:r>
      <w:r w:rsidRPr="001C6432">
        <w:rPr>
          <w:rFonts w:ascii="Calibri" w:hAnsi="Calibri" w:cs="Calibri"/>
          <w:sz w:val="22"/>
          <w:szCs w:val="22"/>
        </w:rPr>
        <w:t>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Kč.</w:t>
      </w:r>
    </w:p>
    <w:p w:rsidR="00BF3406" w:rsidRPr="001C6432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  <w:lang w:eastAsia="de-DE"/>
        </w:rPr>
        <w:t xml:space="preserve">Část 3: </w:t>
      </w:r>
      <w:r w:rsidRPr="005A52BE">
        <w:rPr>
          <w:rFonts w:ascii="Calibri" w:hAnsi="Calibri" w:cs="Calibri"/>
          <w:sz w:val="22"/>
          <w:szCs w:val="22"/>
        </w:rPr>
        <w:t>Materiál pro hobby práce – kreativní</w:t>
      </w:r>
      <w:r>
        <w:rPr>
          <w:rFonts w:ascii="Calibri" w:hAnsi="Calibri" w:cs="Calibri"/>
          <w:sz w:val="22"/>
          <w:szCs w:val="22"/>
        </w:rPr>
        <w:t xml:space="preserve"> ……..</w:t>
      </w:r>
      <w:r w:rsidRPr="001C6432">
        <w:rPr>
          <w:rFonts w:ascii="Calibri" w:hAnsi="Calibri" w:cs="Calibri"/>
          <w:sz w:val="22"/>
          <w:szCs w:val="22"/>
        </w:rPr>
        <w:t>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lastRenderedPageBreak/>
        <w:t>Část 4: Materiál pro hobby práce – zpracování skla 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5: Materiál pro práci s kovem 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6: Materiál pro práci s kovem </w:t>
      </w:r>
      <w:r>
        <w:rPr>
          <w:rFonts w:ascii="Calibri" w:hAnsi="Calibri" w:cs="Calibri"/>
          <w:sz w:val="22"/>
          <w:szCs w:val="22"/>
        </w:rPr>
        <w:t>–</w:t>
      </w:r>
      <w:r w:rsidRPr="005A52BE">
        <w:rPr>
          <w:rFonts w:ascii="Calibri" w:hAnsi="Calibri" w:cs="Calibri"/>
          <w:sz w:val="22"/>
          <w:szCs w:val="22"/>
        </w:rPr>
        <w:t xml:space="preserve"> nářadí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7: Materiál spojovací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8: Materiál pro malířské práce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9: Materiál pro instalatérské práce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10: Materiál pro 3D tisk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11: Materiál pro svařování</w:t>
      </w:r>
      <w:r>
        <w:rPr>
          <w:rFonts w:ascii="Calibri" w:hAnsi="Calibri" w:cs="Calibri"/>
          <w:sz w:val="22"/>
          <w:szCs w:val="22"/>
        </w:rPr>
        <w:t xml:space="preserve"> 11 860,11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9 801,75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21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2 058,36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12: Materiál pro práci se dřevem – plotny HDF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t>Část 13: Materiál pro práci se dřevem – masiv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lastRenderedPageBreak/>
        <w:t>Část 14: Materiál pro práci se dřevem – lepidla, laky, tmely, brusivo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BF3406" w:rsidRPr="005A52BE" w:rsidRDefault="00BF3406" w:rsidP="00BF3406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8B574A">
        <w:rPr>
          <w:rFonts w:ascii="Calibri" w:hAnsi="Calibri" w:cs="Calibri"/>
          <w:sz w:val="22"/>
          <w:szCs w:val="22"/>
        </w:rPr>
        <w:t>Část 15: Materiál pro práci se dřevem – nářadí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Pr="005A52BE">
        <w:rPr>
          <w:rFonts w:ascii="Calibri" w:hAnsi="Calibri" w:cs="Calibri"/>
          <w:sz w:val="22"/>
          <w:szCs w:val="22"/>
        </w:rPr>
        <w:t>……..……………. Kč včetně DPH, přičemž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BF3406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BF3406" w:rsidRDefault="00BF3406" w:rsidP="00BF3406">
      <w:pPr>
        <w:spacing w:after="10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…………………….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BF3406" w:rsidRPr="008B574A" w:rsidRDefault="00BF3406" w:rsidP="00BF3406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BF3406" w:rsidRDefault="00BF3406" w:rsidP="00BF3406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6F0F36">
        <w:rPr>
          <w:rFonts w:ascii="Calibri" w:hAnsi="Calibri" w:cs="Calibri"/>
          <w:b/>
          <w:i/>
          <w:snapToGrid w:val="0"/>
          <w:sz w:val="22"/>
          <w:szCs w:val="22"/>
        </w:rPr>
        <w:t>:</w:t>
      </w:r>
      <w:r w:rsidRPr="006F0F36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6F0F36">
        <w:rPr>
          <w:rFonts w:ascii="Calibri" w:hAnsi="Calibri" w:cs="Calibri"/>
          <w:i/>
          <w:sz w:val="22"/>
          <w:szCs w:val="22"/>
        </w:rPr>
        <w:t xml:space="preserve">příslušný text doplní </w:t>
      </w:r>
      <w:r>
        <w:rPr>
          <w:rFonts w:ascii="Calibri" w:hAnsi="Calibri" w:cs="Calibri"/>
          <w:i/>
          <w:sz w:val="22"/>
          <w:szCs w:val="22"/>
        </w:rPr>
        <w:t>účastník</w:t>
      </w:r>
      <w:r w:rsidRPr="006F0F36">
        <w:rPr>
          <w:rFonts w:ascii="Calibri" w:hAnsi="Calibri" w:cs="Calibri"/>
          <w:i/>
          <w:sz w:val="22"/>
          <w:szCs w:val="22"/>
        </w:rPr>
        <w:t xml:space="preserve"> podle vlastní kalkulace</w:t>
      </w:r>
      <w:r>
        <w:rPr>
          <w:rFonts w:ascii="Calibri" w:hAnsi="Calibri" w:cs="Calibri"/>
          <w:i/>
          <w:sz w:val="22"/>
          <w:szCs w:val="22"/>
        </w:rPr>
        <w:t>. V případě, že je nabídka podávána pouze na některou část veřejné zakázky, účastník odstavec s částí zakázky, na kterou nabídku nepodal, vymaže.</w:t>
      </w:r>
      <w:r w:rsidRPr="006F0F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</w:t>
      </w:r>
    </w:p>
    <w:p w:rsidR="00BF3406" w:rsidRDefault="00BF3406" w:rsidP="00BF3406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D53EB8">
        <w:rPr>
          <w:rFonts w:ascii="Calibri" w:hAnsi="Calibri" w:cs="Calibri"/>
          <w:i/>
          <w:sz w:val="22"/>
          <w:szCs w:val="22"/>
        </w:rPr>
        <w:t>Při uzavření smlouvy bude uvedena cena jednotlivých částí, které byly v zadávacím řízení nejvýhodnější.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BF3406" w:rsidRDefault="00BF3406" w:rsidP="00BF3406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předmětu koupě včetně dopravy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BF3406" w:rsidRDefault="00BF3406" w:rsidP="00BF3406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BF3406" w:rsidRPr="006917C2" w:rsidRDefault="00BF3406" w:rsidP="00BF3406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BF3406" w:rsidRDefault="00BF3406" w:rsidP="00BF3406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BF3406" w:rsidRDefault="00BF3406" w:rsidP="00BF340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BF3406" w:rsidRDefault="00BF3406" w:rsidP="00BF3406">
      <w:pPr>
        <w:keepNext/>
        <w:numPr>
          <w:ilvl w:val="0"/>
          <w:numId w:val="6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BF3406" w:rsidRDefault="00BF3406" w:rsidP="00BF3406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Splatnost daňového dokladu – faktury je 30 dnů od jeho doručení kupujícímu. Za den doručení daňového dokladu - faktury se pokládá den uvedený na otisku doručovacího razítka podatelny kupujícího.</w:t>
      </w:r>
    </w:p>
    <w:p w:rsidR="00BF3406" w:rsidRPr="00FD45F5" w:rsidRDefault="00BF3406" w:rsidP="00BF3406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Dále musí faktura obsahovat  název a registrační číslo projektu: „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>Implementace KAP JMK II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, číslo projektu </w:t>
      </w:r>
      <w:r w:rsidRPr="0058214A">
        <w:rPr>
          <w:rFonts w:asciiTheme="minorHAnsi" w:hAnsiTheme="minorHAnsi" w:cstheme="minorHAnsi"/>
          <w:spacing w:val="-4"/>
          <w:sz w:val="22"/>
          <w:szCs w:val="22"/>
        </w:rPr>
        <w:t xml:space="preserve"> CZ.02.3.68/0.0/0.0/19_078/0017177</w:t>
      </w:r>
      <w:r>
        <w:rPr>
          <w:rFonts w:asciiTheme="minorHAnsi" w:hAnsiTheme="minorHAnsi" w:cstheme="minorHAnsi"/>
          <w:spacing w:val="-4"/>
          <w:sz w:val="22"/>
          <w:szCs w:val="22"/>
        </w:rPr>
        <w:t>“.</w:t>
      </w:r>
    </w:p>
    <w:p w:rsidR="00BF3406" w:rsidRDefault="00BF3406" w:rsidP="00BF3406">
      <w:pPr>
        <w:numPr>
          <w:ilvl w:val="0"/>
          <w:numId w:val="6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BF3406" w:rsidRDefault="00BF3406" w:rsidP="00BF3406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BF3406" w:rsidRDefault="00BF3406" w:rsidP="00BF3406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BF3406" w:rsidRPr="006917C2" w:rsidRDefault="00BF3406" w:rsidP="00BF3406">
      <w:pPr>
        <w:numPr>
          <w:ilvl w:val="0"/>
          <w:numId w:val="7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lastRenderedPageBreak/>
        <w:t>nezkrátí daň nebo nevyláká daňovou výhodu.</w:t>
      </w:r>
    </w:p>
    <w:p w:rsidR="00BF3406" w:rsidRDefault="00BF3406" w:rsidP="00BF340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BF3406" w:rsidRDefault="00BF3406" w:rsidP="00BF340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BF3406" w:rsidRDefault="00BF3406" w:rsidP="00BF3406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BF3406" w:rsidRDefault="00BF3406" w:rsidP="00BF3406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BF3406" w:rsidRPr="006917C2" w:rsidRDefault="00BF3406" w:rsidP="00BF3406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BF3406" w:rsidRPr="001C6432" w:rsidRDefault="00BF3406" w:rsidP="00BF340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BF3406" w:rsidRPr="006752EC" w:rsidRDefault="00BF3406" w:rsidP="00BF340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t>Podmínky spotřeby/použitelnosti</w:t>
      </w:r>
    </w:p>
    <w:p w:rsidR="00BF3406" w:rsidRPr="006752EC" w:rsidRDefault="00BF3406" w:rsidP="00BF3406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materiálu musí být v den dodání v délce min. ¾ celkové délky spotřeby/použitelnosti deklarované výrobcem.</w:t>
      </w:r>
    </w:p>
    <w:p w:rsidR="00BF3406" w:rsidRDefault="00BF3406" w:rsidP="00BF3406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BF3406" w:rsidRDefault="00BF3406" w:rsidP="00BF340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:rsidR="00BF3406" w:rsidRDefault="00BF3406" w:rsidP="00BF340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BF3406" w:rsidRDefault="00BF3406" w:rsidP="00BF340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BF3406" w:rsidRDefault="00BF3406" w:rsidP="00BF340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BF3406" w:rsidRDefault="00BF3406" w:rsidP="00BF3406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BF3406" w:rsidRPr="006917C2" w:rsidRDefault="00BF3406" w:rsidP="00BF340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BF3406" w:rsidRDefault="00BF3406" w:rsidP="00BF340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>
        <w:rPr>
          <w:rFonts w:ascii="Calibri" w:eastAsia="Calibri" w:hAnsi="Calibri" w:cs="Calibri"/>
          <w:sz w:val="22"/>
          <w:szCs w:val="22"/>
          <w:lang w:eastAsia="en-US"/>
        </w:rPr>
        <w:t>4.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Nedílnou součástí smlouvy je příloha č. 1 – Seznam materiálu s cenou a technická specifikace.</w:t>
      </w:r>
    </w:p>
    <w:p w:rsidR="00BF3406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BF3406" w:rsidRPr="00127EC2" w:rsidRDefault="00BF3406" w:rsidP="00BF3406">
      <w:pPr>
        <w:numPr>
          <w:ilvl w:val="0"/>
          <w:numId w:val="4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  <w:sz w:val="22"/>
          <w:szCs w:val="22"/>
        </w:rPr>
        <w:t>metadat</w:t>
      </w:r>
      <w:proofErr w:type="spellEnd"/>
      <w:r w:rsidRPr="005B69D5">
        <w:rPr>
          <w:rFonts w:ascii="Calibri" w:hAnsi="Calibri"/>
          <w:sz w:val="22"/>
          <w:szCs w:val="22"/>
        </w:rPr>
        <w:t xml:space="preserve"> provede kupující.</w:t>
      </w:r>
    </w:p>
    <w:p w:rsidR="00BF3406" w:rsidRPr="001829EF" w:rsidRDefault="00BF3406" w:rsidP="00BF3406">
      <w:pPr>
        <w:numPr>
          <w:ilvl w:val="0"/>
          <w:numId w:val="4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BF3406" w:rsidTr="007F6C36">
        <w:tc>
          <w:tcPr>
            <w:tcW w:w="5246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Brně dne  …………..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 ……………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. 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…………..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F3406" w:rsidTr="007F6C36">
        <w:trPr>
          <w:trHeight w:val="794"/>
        </w:trPr>
        <w:tc>
          <w:tcPr>
            <w:tcW w:w="5246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:rsidR="00BF3406" w:rsidRDefault="00BF3406" w:rsidP="007F6C36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BF3406" w:rsidRDefault="00BF3406" w:rsidP="007F6C36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BF3406" w:rsidRDefault="00BF3406" w:rsidP="007F6C3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Prodávající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BF3406" w:rsidRDefault="00BF3406" w:rsidP="007F6C3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F3406" w:rsidTr="007F6C36">
        <w:tc>
          <w:tcPr>
            <w:tcW w:w="5246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BF3406" w:rsidRDefault="00BF3406" w:rsidP="007F6C3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BF3406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BF3406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Seznam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materiálu s cenou 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BF3406" w:rsidRPr="008B574A" w:rsidRDefault="00BF3406" w:rsidP="00BF3406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  <w:r w:rsidRPr="000F0BC8">
        <w:rPr>
          <w:rFonts w:ascii="Calibri" w:hAnsi="Calibri" w:cs="Calibri"/>
          <w:b/>
          <w:i/>
          <w:sz w:val="22"/>
          <w:szCs w:val="22"/>
        </w:rPr>
        <w:lastRenderedPageBreak/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>
        <w:t xml:space="preserve">: </w:t>
      </w:r>
      <w:r w:rsidRPr="00971202">
        <w:rPr>
          <w:rFonts w:ascii="Calibri" w:hAnsi="Calibri" w:cs="Calibri"/>
          <w:i/>
          <w:sz w:val="22"/>
          <w:szCs w:val="22"/>
        </w:rPr>
        <w:t>Při podání nabídky musí být doloženo dle účastníkem nabízeného plnění. Minimální požadavky zadavatele jsou uvedeny v příloze II. výzvy.</w:t>
      </w:r>
    </w:p>
    <w:p w:rsidR="00281DC9" w:rsidRDefault="00281DC9"/>
    <w:sectPr w:rsidR="00281DC9" w:rsidSect="00431A5B">
      <w:headerReference w:type="default" r:id="rId5"/>
      <w:footerReference w:type="default" r:id="rId6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F706FB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F706F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F706FB" w:rsidP="00431A5B">
    <w:pPr>
      <w:pStyle w:val="Zhlav"/>
      <w:ind w:left="-426"/>
    </w:pPr>
    <w:r>
      <w:rPr>
        <w:noProof/>
      </w:rPr>
      <w:drawing>
        <wp:inline distT="0" distB="0" distL="0" distR="0" wp14:anchorId="65F23114" wp14:editId="1751B5FE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6"/>
    <w:rsid w:val="00281DC9"/>
    <w:rsid w:val="00BF3406"/>
    <w:rsid w:val="00F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C035"/>
  <w15:chartTrackingRefBased/>
  <w15:docId w15:val="{7B08B7EE-8380-4BD7-8BF5-70925F7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3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F340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F34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340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BF3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40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BF3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40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BF3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2021-04-21T11:36:00Z</dcterms:created>
  <dcterms:modified xsi:type="dcterms:W3CDTF">2021-04-21T11:37:00Z</dcterms:modified>
</cp:coreProperties>
</file>