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E54B0A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ObDAROVANÝM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 xml:space="preserve">Mgr. Michal </w:t>
      </w:r>
      <w:proofErr w:type="spellStart"/>
      <w:r w:rsidRPr="00272775">
        <w:rPr>
          <w:rFonts w:asciiTheme="minorHAnsi" w:hAnsiTheme="minorHAnsi"/>
          <w:sz w:val="22"/>
          <w:szCs w:val="22"/>
        </w:rPr>
        <w:t>Mariánek</w:t>
      </w:r>
      <w:proofErr w:type="spellEnd"/>
      <w:r w:rsidRPr="00272775">
        <w:rPr>
          <w:rFonts w:asciiTheme="minorHAnsi" w:hAnsiTheme="minorHAnsi"/>
          <w:sz w:val="22"/>
          <w:szCs w:val="22"/>
        </w:rPr>
        <w:t xml:space="preserve">, </w:t>
      </w:r>
      <w:r w:rsidR="00780045">
        <w:rPr>
          <w:rFonts w:asciiTheme="minorHAnsi" w:hAnsiTheme="minorHAnsi"/>
          <w:sz w:val="22"/>
          <w:szCs w:val="22"/>
        </w:rPr>
        <w:t xml:space="preserve">MBA, </w:t>
      </w:r>
      <w:r w:rsidRPr="00272775">
        <w:rPr>
          <w:rFonts w:asciiTheme="minorHAnsi" w:hAnsiTheme="minorHAnsi"/>
          <w:sz w:val="22"/>
          <w:szCs w:val="22"/>
        </w:rPr>
        <w:t>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E54B0A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>
        <w:rPr>
          <w:rFonts w:asciiTheme="minorHAnsi" w:hAnsiTheme="minorHAnsi"/>
          <w:b/>
          <w:i/>
          <w:caps/>
          <w:sz w:val="22"/>
          <w:szCs w:val="22"/>
        </w:rPr>
        <w:t>DÁRCEM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E54B0A">
        <w:rPr>
          <w:rFonts w:asciiTheme="minorHAnsi" w:hAnsiTheme="minorHAnsi"/>
          <w:sz w:val="22"/>
          <w:szCs w:val="22"/>
        </w:rPr>
        <w:tab/>
        <w:t>DENTIMED s.r.o.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E54B0A">
        <w:rPr>
          <w:rFonts w:asciiTheme="minorHAnsi" w:hAnsiTheme="minorHAnsi"/>
          <w:sz w:val="22"/>
          <w:szCs w:val="22"/>
        </w:rPr>
        <w:t>Českých bratří 383, 547 01 Náchod</w:t>
      </w:r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E54B0A">
        <w:rPr>
          <w:rFonts w:asciiTheme="minorHAnsi" w:hAnsiTheme="minorHAnsi"/>
          <w:sz w:val="22"/>
          <w:szCs w:val="22"/>
        </w:rPr>
        <w:t>49815024</w:t>
      </w:r>
    </w:p>
    <w:p w:rsidR="0060225F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E54B0A">
        <w:rPr>
          <w:rFonts w:asciiTheme="minorHAnsi" w:hAnsiTheme="minorHAnsi"/>
          <w:sz w:val="22"/>
          <w:szCs w:val="22"/>
        </w:rPr>
        <w:t>CZ49815024</w:t>
      </w:r>
    </w:p>
    <w:p w:rsidR="00E25DF2" w:rsidRPr="00272775" w:rsidRDefault="00E25DF2" w:rsidP="00E25DF2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460111">
        <w:rPr>
          <w:rFonts w:asciiTheme="minorHAnsi" w:hAnsiTheme="minorHAnsi"/>
          <w:sz w:val="22"/>
          <w:szCs w:val="22"/>
        </w:rPr>
        <w:t>Komerční banka, a.s.</w:t>
      </w:r>
    </w:p>
    <w:p w:rsidR="00E25DF2" w:rsidRPr="00272775" w:rsidRDefault="00E25DF2" w:rsidP="00E25DF2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460111">
        <w:rPr>
          <w:rFonts w:asciiTheme="minorHAnsi" w:hAnsiTheme="minorHAnsi"/>
          <w:sz w:val="22"/>
          <w:szCs w:val="22"/>
        </w:rPr>
        <w:t>9122290297/0100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780045">
        <w:rPr>
          <w:rFonts w:asciiTheme="minorHAnsi" w:hAnsiTheme="minorHAnsi"/>
          <w:sz w:val="22"/>
          <w:szCs w:val="22"/>
        </w:rPr>
        <w:tab/>
      </w:r>
      <w:r w:rsidR="00780045">
        <w:rPr>
          <w:rFonts w:asciiTheme="minorHAnsi" w:hAnsiTheme="minorHAnsi"/>
          <w:sz w:val="22"/>
          <w:szCs w:val="22"/>
        </w:rPr>
        <w:tab/>
      </w:r>
      <w:r w:rsidR="00780045">
        <w:rPr>
          <w:rFonts w:asciiTheme="minorHAnsi" w:hAnsiTheme="minorHAnsi"/>
          <w:sz w:val="22"/>
          <w:szCs w:val="22"/>
        </w:rPr>
        <w:tab/>
        <w:t>Ing. Zdeněk Kubeš, prokurista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80045" w:rsidRDefault="00780045" w:rsidP="00E25DF2">
      <w:pPr>
        <w:spacing w:before="120" w:after="0"/>
        <w:rPr>
          <w:rFonts w:cs="Times New Roman"/>
          <w:b/>
        </w:rPr>
      </w:pPr>
    </w:p>
    <w:p w:rsidR="00E25DF2" w:rsidRDefault="00E25DF2" w:rsidP="00E25DF2">
      <w:pPr>
        <w:spacing w:before="120" w:after="0"/>
        <w:rPr>
          <w:rFonts w:cs="Times New Roman"/>
          <w:b/>
        </w:rPr>
      </w:pPr>
    </w:p>
    <w:p w:rsidR="00780045" w:rsidRDefault="00780045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E54B0A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Obdarovaný a dárce uzavřeli dne </w:t>
      </w:r>
      <w:proofErr w:type="gramStart"/>
      <w:r>
        <w:rPr>
          <w:rFonts w:cs="Times New Roman"/>
        </w:rPr>
        <w:t>18.2.2018</w:t>
      </w:r>
      <w:proofErr w:type="gramEnd"/>
      <w:r>
        <w:rPr>
          <w:rFonts w:cs="Times New Roman"/>
        </w:rPr>
        <w:t xml:space="preserve"> Darovací smlouvu</w:t>
      </w:r>
      <w:r w:rsidR="00C06FA1" w:rsidRPr="00272775">
        <w:rPr>
          <w:rFonts w:cs="Times New Roman"/>
        </w:rPr>
        <w:t xml:space="preserve"> (dále také jen „Smlouva“), </w:t>
      </w:r>
      <w:r w:rsidR="00C06FA1">
        <w:rPr>
          <w:rFonts w:cs="Times New Roman"/>
        </w:rPr>
        <w:t>jejímž předmětem by</w:t>
      </w:r>
      <w:r w:rsidR="00201653">
        <w:rPr>
          <w:rFonts w:cs="Times New Roman"/>
        </w:rPr>
        <w:t>l finanční dar ve výši 60.</w:t>
      </w:r>
      <w:r>
        <w:rPr>
          <w:rFonts w:cs="Times New Roman"/>
        </w:rPr>
        <w:t>000 Kč</w:t>
      </w:r>
      <w:r w:rsidR="00C06FA1">
        <w:rPr>
          <w:rFonts w:cs="Times New Roman"/>
        </w:rPr>
        <w:t>.</w:t>
      </w:r>
    </w:p>
    <w:p w:rsidR="00E86FEC" w:rsidRPr="00272775" w:rsidRDefault="00062CC7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>
        <w:rPr>
          <w:rFonts w:cs="Times New Roman"/>
        </w:rPr>
        <w:t>Obdarovaný</w:t>
      </w:r>
      <w:r w:rsidR="00E86FEC" w:rsidRPr="00272775">
        <w:rPr>
          <w:rFonts w:cs="Times New Roman"/>
        </w:rPr>
        <w:t xml:space="preserve">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062CC7">
        <w:rPr>
          <w:rFonts w:cs="Times New Roman"/>
        </w:rPr>
        <w:t>darovaného</w:t>
      </w:r>
      <w:r w:rsidRPr="00272775">
        <w:rPr>
          <w:rFonts w:cs="Times New Roman"/>
        </w:rPr>
        <w:t xml:space="preserve">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C06FA1" w:rsidRPr="00062CC7" w:rsidRDefault="0011645D" w:rsidP="00062CC7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="00062CC7">
        <w:rPr>
          <w:rFonts w:cs="Times New Roman"/>
        </w:rPr>
        <w:t>árce</w:t>
      </w:r>
      <w:r w:rsidRPr="00272775">
        <w:rPr>
          <w:rFonts w:cs="Times New Roman"/>
        </w:rPr>
        <w:t xml:space="preserve"> d</w:t>
      </w:r>
      <w:r w:rsidR="00062CC7">
        <w:rPr>
          <w:rFonts w:cs="Times New Roman"/>
        </w:rPr>
        <w:t>aroval</w:t>
      </w:r>
      <w:r w:rsidRPr="00272775">
        <w:rPr>
          <w:rFonts w:cs="Times New Roman"/>
        </w:rPr>
        <w:t xml:space="preserve"> Ob</w:t>
      </w:r>
      <w:r w:rsidR="00062CC7">
        <w:rPr>
          <w:rFonts w:cs="Times New Roman"/>
        </w:rPr>
        <w:t>darovanému bez právního důvodu finančn</w:t>
      </w:r>
      <w:r w:rsidR="000E636C">
        <w:rPr>
          <w:rFonts w:cs="Times New Roman"/>
        </w:rPr>
        <w:t>í</w:t>
      </w:r>
      <w:r w:rsidR="00062CC7">
        <w:rPr>
          <w:rFonts w:cs="Times New Roman"/>
        </w:rPr>
        <w:t xml:space="preserve"> dar</w:t>
      </w:r>
      <w:r w:rsidRPr="00272775">
        <w:rPr>
          <w:rFonts w:cs="Times New Roman"/>
        </w:rPr>
        <w:t>, zejména:</w:t>
      </w:r>
    </w:p>
    <w:p w:rsidR="0011645D" w:rsidRDefault="0011645D" w:rsidP="00062CC7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</w:t>
      </w:r>
      <w:r w:rsidR="00062CC7">
        <w:rPr>
          <w:rFonts w:cs="Times New Roman"/>
        </w:rPr>
        <w:t>a a v jaké výši vznikl Darovanému</w:t>
      </w:r>
      <w:r w:rsidRPr="00272775">
        <w:rPr>
          <w:rFonts w:cs="Times New Roman"/>
        </w:rPr>
        <w:t xml:space="preserve"> nárok na </w:t>
      </w:r>
      <w:r w:rsidR="00C75F60">
        <w:rPr>
          <w:rFonts w:cs="Times New Roman"/>
        </w:rPr>
        <w:t>finanční dar,</w:t>
      </w:r>
    </w:p>
    <w:p w:rsidR="00C75F60" w:rsidRPr="00062CC7" w:rsidRDefault="00C75F60" w:rsidP="00062CC7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Dárce finanční dar poskytl a Obdarovaný jej přijal.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</w:t>
      </w:r>
      <w:r w:rsidR="00124686">
        <w:rPr>
          <w:rFonts w:cs="Times New Roman"/>
        </w:rPr>
        <w:t xml:space="preserve">em ke skutečnosti, že </w:t>
      </w:r>
      <w:r w:rsidR="007C2013">
        <w:rPr>
          <w:rFonts w:cs="Times New Roman"/>
        </w:rPr>
        <w:t>Dárce předal Obdarovanému finanční dar ve výši 60</w:t>
      </w:r>
      <w:r w:rsidR="00201653">
        <w:rPr>
          <w:rFonts w:cs="Times New Roman"/>
        </w:rPr>
        <w:t>.</w:t>
      </w:r>
      <w:r w:rsidR="007C2013">
        <w:rPr>
          <w:rFonts w:cs="Times New Roman"/>
        </w:rPr>
        <w:t>000 Kč před</w:t>
      </w:r>
      <w:r w:rsidRPr="00C06FA1">
        <w:rPr>
          <w:rFonts w:cs="Times New Roman"/>
        </w:rPr>
        <w:t xml:space="preserve"> uzavření</w:t>
      </w:r>
      <w:r w:rsidR="007C2013">
        <w:rPr>
          <w:rFonts w:cs="Times New Roman"/>
        </w:rPr>
        <w:t>m</w:t>
      </w:r>
      <w:r w:rsidRPr="00C06FA1">
        <w:rPr>
          <w:rFonts w:cs="Times New Roman"/>
        </w:rPr>
        <w:t xml:space="preserve"> této Dohody bez právního důvodu, přičemž </w:t>
      </w:r>
      <w:r w:rsidR="007C2013">
        <w:rPr>
          <w:rFonts w:cs="Times New Roman"/>
        </w:rPr>
        <w:t>Obdarovaný</w:t>
      </w:r>
      <w:r w:rsidRPr="00C06FA1">
        <w:rPr>
          <w:rFonts w:cs="Times New Roman"/>
        </w:rPr>
        <w:t xml:space="preserve">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</w:t>
      </w:r>
      <w:r w:rsidR="00201653">
        <w:rPr>
          <w:rFonts w:cs="Times New Roman"/>
        </w:rPr>
        <w:t>ím této Dohody výslovně vzdává a částka ve výši 60.000 Kč</w:t>
      </w:r>
      <w:r w:rsidR="009019E3">
        <w:rPr>
          <w:rFonts w:cs="Times New Roman"/>
        </w:rPr>
        <w:t xml:space="preserve"> se považuje za řádně poskytnutý a přijatý dar.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0E6750" w:rsidRPr="00272775" w:rsidRDefault="000E6750" w:rsidP="000E6750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se pro vyloučení pochybností</w:t>
      </w:r>
      <w:r>
        <w:rPr>
          <w:rFonts w:cstheme="minorHAnsi"/>
        </w:rPr>
        <w:t xml:space="preserve"> výslovně dohodly, že Dárce</w:t>
      </w:r>
      <w:r w:rsidRPr="00272775">
        <w:rPr>
          <w:rFonts w:cstheme="minorHAnsi"/>
        </w:rPr>
        <w:t xml:space="preserve"> je povinen splnit svou uhrazovací povinnost dle této dohody toliko faktickou úhradou částky uvedené v této dohodě na specif</w:t>
      </w:r>
      <w:r>
        <w:rPr>
          <w:rFonts w:cstheme="minorHAnsi"/>
        </w:rPr>
        <w:t>ikovaný bankovní účet Obdarovaného</w:t>
      </w:r>
      <w:r w:rsidRPr="00272775">
        <w:rPr>
          <w:rFonts w:cstheme="minorHAnsi"/>
        </w:rPr>
        <w:t xml:space="preserve"> v záhlaví této Dohody. </w:t>
      </w:r>
    </w:p>
    <w:p w:rsidR="000E6750" w:rsidRPr="00272775" w:rsidRDefault="000E6750" w:rsidP="000E6750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>
        <w:rPr>
          <w:rFonts w:cstheme="minorHAnsi"/>
        </w:rPr>
        <w:t>Obdarovaný.</w:t>
      </w:r>
      <w:r w:rsidRPr="00272775">
        <w:rPr>
          <w:rFonts w:cstheme="minorHAnsi"/>
        </w:rPr>
        <w:t xml:space="preserve"> </w:t>
      </w:r>
    </w:p>
    <w:p w:rsidR="000E6750" w:rsidRDefault="000E6750" w:rsidP="000E6750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100EC0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 Ostravě dne: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 Náchodě dne:</w:t>
      </w:r>
    </w:p>
    <w:p w:rsidR="000E6750" w:rsidRDefault="000E6750" w:rsidP="00CE7C15">
      <w:pPr>
        <w:spacing w:after="0" w:line="240" w:lineRule="auto"/>
        <w:jc w:val="both"/>
        <w:rPr>
          <w:rFonts w:cs="Times New Roman"/>
        </w:rPr>
      </w:pPr>
    </w:p>
    <w:p w:rsidR="000E6750" w:rsidRDefault="000E6750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100EC0" w:rsidRDefault="00100EC0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="00272775" w:rsidRPr="00272775">
        <w:rPr>
          <w:rFonts w:cs="Times New Roman"/>
        </w:rPr>
        <w:t xml:space="preserve"> </w:t>
      </w:r>
    </w:p>
    <w:p w:rsidR="00416B1D" w:rsidRPr="00272775" w:rsidRDefault="000E6750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Obdarovaný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Dárce</w:t>
      </w:r>
      <w:r w:rsidR="00945718">
        <w:rPr>
          <w:rFonts w:cs="Times New Roman"/>
        </w:rPr>
        <w:t xml:space="preserve"> </w:t>
      </w:r>
      <w:r w:rsidR="00D31332">
        <w:rPr>
          <w:rFonts w:cs="Times New Roman"/>
        </w:rPr>
        <w:t xml:space="preserve"> </w:t>
      </w:r>
      <w:r w:rsidR="004001CA" w:rsidRPr="00272775">
        <w:rPr>
          <w:rFonts w:cs="Times New Roman"/>
        </w:rPr>
        <w:tab/>
      </w:r>
      <w:r w:rsidR="004001CA" w:rsidRPr="00272775">
        <w:rPr>
          <w:rFonts w:cs="Times New Roman"/>
        </w:rPr>
        <w:tab/>
      </w:r>
      <w:r w:rsidR="004001CA" w:rsidRPr="00272775">
        <w:rPr>
          <w:rFonts w:cs="Times New Roman"/>
        </w:rPr>
        <w:tab/>
      </w:r>
      <w:r w:rsidR="004001CA" w:rsidRPr="00272775">
        <w:rPr>
          <w:rFonts w:cs="Times New Roman"/>
        </w:rPr>
        <w:tab/>
      </w:r>
      <w:r w:rsidR="004001CA" w:rsidRPr="00272775">
        <w:rPr>
          <w:rFonts w:cs="Times New Roman"/>
        </w:rPr>
        <w:tab/>
      </w:r>
      <w:r w:rsidR="004001CA" w:rsidRPr="00272775">
        <w:rPr>
          <w:rFonts w:cs="Times New Roman"/>
        </w:rPr>
        <w:tab/>
      </w:r>
      <w:r w:rsidR="004001CA" w:rsidRPr="00272775">
        <w:rPr>
          <w:rFonts w:cs="Times New Roman"/>
        </w:rPr>
        <w:tab/>
      </w:r>
      <w:r w:rsidR="004001CA" w:rsidRPr="00272775">
        <w:rPr>
          <w:rFonts w:cs="Times New Roman"/>
        </w:rPr>
        <w:tab/>
      </w:r>
      <w:r w:rsidR="004001CA"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46" w:rsidRDefault="00007746" w:rsidP="000425BE">
      <w:pPr>
        <w:spacing w:after="0" w:line="240" w:lineRule="auto"/>
      </w:pPr>
      <w:r>
        <w:separator/>
      </w:r>
    </w:p>
  </w:endnote>
  <w:endnote w:type="continuationSeparator" w:id="0">
    <w:p w:rsidR="00007746" w:rsidRDefault="00007746" w:rsidP="000425BE">
      <w:pPr>
        <w:spacing w:after="0" w:line="240" w:lineRule="auto"/>
      </w:pPr>
      <w:r>
        <w:continuationSeparator/>
      </w:r>
    </w:p>
  </w:endnote>
  <w:endnote w:type="continuationNotice" w:id="1">
    <w:p w:rsidR="00007746" w:rsidRDefault="0000774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F70855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F70855" w:rsidRPr="004001CA">
              <w:rPr>
                <w:bCs/>
                <w:sz w:val="20"/>
                <w:szCs w:val="20"/>
              </w:rPr>
              <w:fldChar w:fldCharType="separate"/>
            </w:r>
            <w:r w:rsidR="00100EC0">
              <w:rPr>
                <w:bCs/>
                <w:noProof/>
                <w:sz w:val="20"/>
                <w:szCs w:val="20"/>
              </w:rPr>
              <w:t>3</w:t>
            </w:r>
            <w:r w:rsidR="00F70855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F70855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F70855" w:rsidRPr="004001CA">
              <w:rPr>
                <w:bCs/>
                <w:sz w:val="20"/>
                <w:szCs w:val="20"/>
              </w:rPr>
              <w:fldChar w:fldCharType="separate"/>
            </w:r>
            <w:r w:rsidR="00100EC0">
              <w:rPr>
                <w:bCs/>
                <w:noProof/>
                <w:sz w:val="20"/>
                <w:szCs w:val="20"/>
              </w:rPr>
              <w:t>3</w:t>
            </w:r>
            <w:r w:rsidR="00F70855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46" w:rsidRDefault="00007746" w:rsidP="000425BE">
      <w:pPr>
        <w:spacing w:after="0" w:line="240" w:lineRule="auto"/>
      </w:pPr>
      <w:r>
        <w:separator/>
      </w:r>
    </w:p>
  </w:footnote>
  <w:footnote w:type="continuationSeparator" w:id="0">
    <w:p w:rsidR="00007746" w:rsidRDefault="00007746" w:rsidP="000425BE">
      <w:pPr>
        <w:spacing w:after="0" w:line="240" w:lineRule="auto"/>
      </w:pPr>
      <w:r>
        <w:continuationSeparator/>
      </w:r>
    </w:p>
  </w:footnote>
  <w:footnote w:type="continuationNotice" w:id="1">
    <w:p w:rsidR="00007746" w:rsidRDefault="0000774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07746"/>
    <w:rsid w:val="000225E5"/>
    <w:rsid w:val="000425BE"/>
    <w:rsid w:val="00053702"/>
    <w:rsid w:val="00062CC7"/>
    <w:rsid w:val="000B3D3A"/>
    <w:rsid w:val="000B5DDB"/>
    <w:rsid w:val="000D1B38"/>
    <w:rsid w:val="000D7CEB"/>
    <w:rsid w:val="000E636C"/>
    <w:rsid w:val="000E6750"/>
    <w:rsid w:val="00100EC0"/>
    <w:rsid w:val="00102AB3"/>
    <w:rsid w:val="0011645D"/>
    <w:rsid w:val="00121B0B"/>
    <w:rsid w:val="00124686"/>
    <w:rsid w:val="00131AF0"/>
    <w:rsid w:val="001419D1"/>
    <w:rsid w:val="00153DCB"/>
    <w:rsid w:val="001C7929"/>
    <w:rsid w:val="00201653"/>
    <w:rsid w:val="00206B23"/>
    <w:rsid w:val="002129E8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25E1A"/>
    <w:rsid w:val="00380960"/>
    <w:rsid w:val="00386B00"/>
    <w:rsid w:val="00390602"/>
    <w:rsid w:val="003931FB"/>
    <w:rsid w:val="003F380B"/>
    <w:rsid w:val="004001CA"/>
    <w:rsid w:val="00416B1D"/>
    <w:rsid w:val="0042172D"/>
    <w:rsid w:val="00447360"/>
    <w:rsid w:val="00455BE6"/>
    <w:rsid w:val="00460111"/>
    <w:rsid w:val="004918F9"/>
    <w:rsid w:val="004951D8"/>
    <w:rsid w:val="004963AB"/>
    <w:rsid w:val="004B538A"/>
    <w:rsid w:val="004D7D90"/>
    <w:rsid w:val="00512111"/>
    <w:rsid w:val="00533DF5"/>
    <w:rsid w:val="005826C5"/>
    <w:rsid w:val="005955D9"/>
    <w:rsid w:val="005B52F9"/>
    <w:rsid w:val="005B7287"/>
    <w:rsid w:val="005C43B7"/>
    <w:rsid w:val="005C50FE"/>
    <w:rsid w:val="005C76D5"/>
    <w:rsid w:val="0060005C"/>
    <w:rsid w:val="0060225F"/>
    <w:rsid w:val="00605F37"/>
    <w:rsid w:val="00645C69"/>
    <w:rsid w:val="00646936"/>
    <w:rsid w:val="00657C9A"/>
    <w:rsid w:val="00661BC1"/>
    <w:rsid w:val="006706EB"/>
    <w:rsid w:val="006A0D50"/>
    <w:rsid w:val="006C73EF"/>
    <w:rsid w:val="006E04CD"/>
    <w:rsid w:val="006F03E2"/>
    <w:rsid w:val="007136A2"/>
    <w:rsid w:val="00751C06"/>
    <w:rsid w:val="0076441C"/>
    <w:rsid w:val="00764D6E"/>
    <w:rsid w:val="00780045"/>
    <w:rsid w:val="007925D3"/>
    <w:rsid w:val="00795CBA"/>
    <w:rsid w:val="007C10D7"/>
    <w:rsid w:val="007C2013"/>
    <w:rsid w:val="007E6519"/>
    <w:rsid w:val="008077E9"/>
    <w:rsid w:val="00820335"/>
    <w:rsid w:val="00831D69"/>
    <w:rsid w:val="00842104"/>
    <w:rsid w:val="00883254"/>
    <w:rsid w:val="00891D56"/>
    <w:rsid w:val="008B79A1"/>
    <w:rsid w:val="008C7116"/>
    <w:rsid w:val="009019E3"/>
    <w:rsid w:val="00923086"/>
    <w:rsid w:val="00945718"/>
    <w:rsid w:val="00966923"/>
    <w:rsid w:val="00976EA9"/>
    <w:rsid w:val="00992F81"/>
    <w:rsid w:val="009D6EBF"/>
    <w:rsid w:val="009E3904"/>
    <w:rsid w:val="009F039B"/>
    <w:rsid w:val="00A02EE0"/>
    <w:rsid w:val="00A13AD4"/>
    <w:rsid w:val="00AC1A91"/>
    <w:rsid w:val="00B34EE7"/>
    <w:rsid w:val="00B44D23"/>
    <w:rsid w:val="00B50F8A"/>
    <w:rsid w:val="00B76655"/>
    <w:rsid w:val="00BA1775"/>
    <w:rsid w:val="00BE29DE"/>
    <w:rsid w:val="00C06FA1"/>
    <w:rsid w:val="00C22135"/>
    <w:rsid w:val="00C25167"/>
    <w:rsid w:val="00C31C11"/>
    <w:rsid w:val="00C40933"/>
    <w:rsid w:val="00C44ECA"/>
    <w:rsid w:val="00C45E77"/>
    <w:rsid w:val="00C75F60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31332"/>
    <w:rsid w:val="00D613F7"/>
    <w:rsid w:val="00D91A9A"/>
    <w:rsid w:val="00DE6866"/>
    <w:rsid w:val="00E12EF9"/>
    <w:rsid w:val="00E23C42"/>
    <w:rsid w:val="00E25DF2"/>
    <w:rsid w:val="00E433FE"/>
    <w:rsid w:val="00E54B0A"/>
    <w:rsid w:val="00E86FEC"/>
    <w:rsid w:val="00EB379E"/>
    <w:rsid w:val="00EE2DE9"/>
    <w:rsid w:val="00F430A6"/>
    <w:rsid w:val="00F70855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CE29-F318-4AE6-AB94-3BB359F9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16</cp:revision>
  <cp:lastPrinted>2021-04-16T07:14:00Z</cp:lastPrinted>
  <dcterms:created xsi:type="dcterms:W3CDTF">2021-03-05T11:00:00Z</dcterms:created>
  <dcterms:modified xsi:type="dcterms:W3CDTF">2021-04-19T06:52:00Z</dcterms:modified>
</cp:coreProperties>
</file>