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864"/>
        <w:gridCol w:w="437"/>
      </w:tblGrid>
      <w:tr w:rsidR="00536653">
        <w:trPr>
          <w:trHeight w:hRule="exact" w:val="389"/>
        </w:trPr>
        <w:tc>
          <w:tcPr>
            <w:tcW w:w="1416" w:type="dxa"/>
            <w:shd w:val="clear" w:color="auto" w:fill="888984"/>
            <w:vAlign w:val="bottom"/>
          </w:tcPr>
          <w:p w:rsidR="00536653" w:rsidRDefault="00054C01">
            <w:pPr>
              <w:pStyle w:val="Other10"/>
              <w:framePr w:w="2717" w:h="1123" w:wrap="none" w:hAnchor="page" w:x="2314" w:y="20"/>
              <w:pBdr>
                <w:top w:val="single" w:sz="0" w:space="0" w:color="878883"/>
                <w:left w:val="single" w:sz="0" w:space="0" w:color="878883"/>
                <w:bottom w:val="single" w:sz="0" w:space="0" w:color="878883"/>
                <w:right w:val="single" w:sz="0" w:space="0" w:color="878883"/>
              </w:pBdr>
              <w:shd w:val="clear" w:color="auto" w:fill="878883"/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FFFFFF"/>
                <w:sz w:val="24"/>
                <w:szCs w:val="24"/>
              </w:rPr>
              <w:t>FAKULTA|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6653" w:rsidRDefault="00054C01">
            <w:pPr>
              <w:pStyle w:val="Other10"/>
              <w:framePr w:w="2717" w:h="1123" w:wrap="none" w:hAnchor="page" w:x="2314" w:y="20"/>
              <w:spacing w:after="0"/>
            </w:pPr>
            <w:r>
              <w:t>ústav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536653" w:rsidRDefault="00536653">
            <w:pPr>
              <w:framePr w:w="2717" w:h="1123" w:wrap="none" w:hAnchor="page" w:x="2314" w:y="20"/>
              <w:rPr>
                <w:sz w:val="10"/>
                <w:szCs w:val="10"/>
              </w:rPr>
            </w:pPr>
          </w:p>
        </w:tc>
      </w:tr>
      <w:tr w:rsidR="00536653">
        <w:trPr>
          <w:trHeight w:hRule="exact" w:val="331"/>
        </w:trPr>
        <w:tc>
          <w:tcPr>
            <w:tcW w:w="1416" w:type="dxa"/>
            <w:shd w:val="clear" w:color="auto" w:fill="888984"/>
            <w:vAlign w:val="bottom"/>
          </w:tcPr>
          <w:p w:rsidR="00536653" w:rsidRDefault="00054C01">
            <w:pPr>
              <w:pStyle w:val="Other10"/>
              <w:framePr w:w="2717" w:h="1123" w:wrap="none" w:hAnchor="page" w:x="2314" w:y="20"/>
              <w:pBdr>
                <w:top w:val="single" w:sz="0" w:space="0" w:color="888984"/>
                <w:left w:val="single" w:sz="0" w:space="0" w:color="888984"/>
                <w:bottom w:val="single" w:sz="0" w:space="0" w:color="888984"/>
                <w:right w:val="single" w:sz="0" w:space="0" w:color="888984"/>
              </w:pBdr>
              <w:shd w:val="clear" w:color="auto" w:fill="888984"/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STAVEBNÍ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653" w:rsidRDefault="00054C01">
            <w:pPr>
              <w:pStyle w:val="Other10"/>
              <w:framePr w:w="2717" w:h="1123" w:wrap="none" w:hAnchor="page" w:x="2314" w:y="20"/>
              <w:spacing w:after="0"/>
            </w:pPr>
            <w:r>
              <w:t>vodního</w:t>
            </w:r>
          </w:p>
        </w:tc>
      </w:tr>
      <w:tr w:rsidR="00536653">
        <w:trPr>
          <w:trHeight w:hRule="exact" w:val="403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36653" w:rsidRDefault="00054C01">
            <w:pPr>
              <w:pStyle w:val="Other10"/>
              <w:framePr w:w="2717" w:h="1123" w:wrap="none" w:hAnchor="page" w:x="2314" w:y="20"/>
              <w:spacing w:after="0"/>
            </w:pPr>
            <w:r>
              <w:t>hospodářství kraji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653" w:rsidRDefault="00536653">
            <w:pPr>
              <w:pStyle w:val="Other10"/>
              <w:framePr w:w="2717" w:h="1123" w:wrap="none" w:hAnchor="page" w:x="2314" w:y="20"/>
              <w:spacing w:after="0"/>
            </w:pPr>
          </w:p>
        </w:tc>
      </w:tr>
    </w:tbl>
    <w:p w:rsidR="00536653" w:rsidRDefault="00536653">
      <w:pPr>
        <w:framePr w:w="2717" w:h="1123" w:wrap="none" w:hAnchor="page" w:x="2314" w:y="20"/>
        <w:spacing w:line="1" w:lineRule="exact"/>
      </w:pPr>
    </w:p>
    <w:p w:rsidR="00536653" w:rsidRDefault="00054C0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718820</wp:posOffset>
            </wp:positionH>
            <wp:positionV relativeFrom="margin">
              <wp:posOffset>0</wp:posOffset>
            </wp:positionV>
            <wp:extent cx="73152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15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653" w:rsidRDefault="00536653">
      <w:pPr>
        <w:spacing w:line="360" w:lineRule="exact"/>
      </w:pPr>
    </w:p>
    <w:p w:rsidR="00536653" w:rsidRDefault="00536653">
      <w:pPr>
        <w:spacing w:after="436" w:line="1" w:lineRule="exact"/>
      </w:pPr>
    </w:p>
    <w:p w:rsidR="00536653" w:rsidRDefault="00536653">
      <w:pPr>
        <w:spacing w:line="1" w:lineRule="exact"/>
        <w:sectPr w:rsidR="00536653">
          <w:pgSz w:w="11900" w:h="16840"/>
          <w:pgMar w:top="1319" w:right="1720" w:bottom="2049" w:left="1070" w:header="891" w:footer="1621" w:gutter="0"/>
          <w:pgNumType w:start="1"/>
          <w:cols w:space="720"/>
          <w:noEndnote/>
          <w:docGrid w:linePitch="360"/>
        </w:sectPr>
      </w:pPr>
    </w:p>
    <w:p w:rsidR="00536653" w:rsidRDefault="00536653">
      <w:pPr>
        <w:spacing w:line="240" w:lineRule="exact"/>
        <w:rPr>
          <w:sz w:val="19"/>
          <w:szCs w:val="19"/>
        </w:rPr>
      </w:pPr>
    </w:p>
    <w:p w:rsidR="00536653" w:rsidRDefault="00536653">
      <w:pPr>
        <w:spacing w:line="240" w:lineRule="exact"/>
        <w:rPr>
          <w:sz w:val="19"/>
          <w:szCs w:val="19"/>
        </w:rPr>
      </w:pPr>
    </w:p>
    <w:p w:rsidR="00536653" w:rsidRDefault="00536653">
      <w:pPr>
        <w:spacing w:before="69" w:after="69" w:line="240" w:lineRule="exact"/>
        <w:rPr>
          <w:sz w:val="19"/>
          <w:szCs w:val="19"/>
        </w:rPr>
      </w:pPr>
    </w:p>
    <w:p w:rsidR="00536653" w:rsidRDefault="00536653">
      <w:pPr>
        <w:spacing w:line="1" w:lineRule="exact"/>
        <w:sectPr w:rsidR="00536653">
          <w:type w:val="continuous"/>
          <w:pgSz w:w="11900" w:h="16840"/>
          <w:pgMar w:top="1329" w:right="0" w:bottom="2053" w:left="0" w:header="0" w:footer="3" w:gutter="0"/>
          <w:cols w:space="720"/>
          <w:noEndnote/>
          <w:docGrid w:linePitch="360"/>
        </w:sectPr>
      </w:pPr>
    </w:p>
    <w:p w:rsidR="009B223B" w:rsidRDefault="00054C0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3700"/>
      </w:pPr>
      <w:r>
        <w:rPr>
          <w:lang w:val="en-US" w:eastAsia="en-US" w:bidi="en-US"/>
        </w:rPr>
        <w:t xml:space="preserve">Ing. Simona </w:t>
      </w:r>
      <w:r>
        <w:t xml:space="preserve">Prečanová </w:t>
      </w:r>
    </w:p>
    <w:p w:rsidR="009B223B" w:rsidRDefault="00054C0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3700"/>
      </w:pPr>
      <w:r>
        <w:t xml:space="preserve">Odbor regionálního rozvoje </w:t>
      </w:r>
    </w:p>
    <w:p w:rsidR="009B223B" w:rsidRDefault="00054C0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3700"/>
      </w:pPr>
      <w:r>
        <w:t xml:space="preserve">Městský úřad Kroměříž </w:t>
      </w:r>
    </w:p>
    <w:p w:rsidR="009B223B" w:rsidRDefault="00054C0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3700"/>
      </w:pPr>
      <w:r>
        <w:t xml:space="preserve">Riegrovo náměstí 149/33 </w:t>
      </w:r>
    </w:p>
    <w:p w:rsidR="00536653" w:rsidRDefault="00054C0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ind w:left="3700"/>
      </w:pPr>
      <w:r>
        <w:t>Kroměříž</w:t>
      </w:r>
    </w:p>
    <w:p w:rsidR="00536653" w:rsidRDefault="00054C01">
      <w:pPr>
        <w:pStyle w:val="Bodytext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60"/>
        <w:ind w:left="3700"/>
      </w:pPr>
      <w:r>
        <w:t>767 01</w:t>
      </w:r>
    </w:p>
    <w:p w:rsidR="00536653" w:rsidRDefault="009B223B">
      <w:pPr>
        <w:pStyle w:val="Bodytext10"/>
        <w:numPr>
          <w:ilvl w:val="0"/>
          <w:numId w:val="1"/>
        </w:numPr>
        <w:tabs>
          <w:tab w:val="left" w:pos="274"/>
        </w:tabs>
      </w:pPr>
      <w:bookmarkStart w:id="1" w:name="bookmark0"/>
      <w:bookmarkEnd w:id="1"/>
      <w:r>
        <w:t xml:space="preserve">Brně dne 16. </w:t>
      </w:r>
      <w:r w:rsidR="00054C01">
        <w:t>dubna 2021</w:t>
      </w:r>
    </w:p>
    <w:p w:rsidR="00536653" w:rsidRDefault="00054C01">
      <w:pPr>
        <w:pStyle w:val="Bodytext10"/>
        <w:jc w:val="both"/>
      </w:pPr>
      <w:r>
        <w:t xml:space="preserve">Věc: Cenová nabídka - I Etapa Rešerše studie Návrhy </w:t>
      </w:r>
      <w:r w:rsidR="008320F1">
        <w:t>efektivních opatření pro snížení povodň</w:t>
      </w:r>
      <w:r>
        <w:t>ových rizik v dílčím povodí Moravy - lokalita Kroměříž</w:t>
      </w:r>
    </w:p>
    <w:p w:rsidR="00536653" w:rsidRDefault="00054C01">
      <w:pPr>
        <w:pStyle w:val="Bodytext10"/>
        <w:jc w:val="both"/>
      </w:pPr>
      <w:r>
        <w:t>Zájmová oblast představuje z hlediska průtočných p</w:t>
      </w:r>
      <w:r w:rsidR="008320F1">
        <w:t>oměru poměrné komplikované území</w:t>
      </w:r>
      <w:r>
        <w:t xml:space="preserve"> Kromě úseků toku s významným povodňovým riz</w:t>
      </w:r>
      <w:r w:rsidR="008320F1">
        <w:t>ikem zahrnujících Moravu a Moště</w:t>
      </w:r>
      <w:r w:rsidR="00303760">
        <w:t xml:space="preserve">nku se zde </w:t>
      </w:r>
      <w:r>
        <w:t>nachází rovněž řada drob</w:t>
      </w:r>
      <w:r w:rsidR="008320F1">
        <w:t>ných vodních toků Pro dané území</w:t>
      </w:r>
      <w:r>
        <w:t xml:space="preserve"> jsou aktuálně k dispozici mapy povodňového nebezpečí, ohroženi a rizik, které indikují značné množství ploch s překročenou přijatelnou mírou povodňového rizika vč. tzv. citlivých objektů.</w:t>
      </w:r>
    </w:p>
    <w:p w:rsidR="00536653" w:rsidRDefault="00054C01">
      <w:pPr>
        <w:pStyle w:val="Bodytext10"/>
        <w:numPr>
          <w:ilvl w:val="0"/>
          <w:numId w:val="1"/>
        </w:numPr>
        <w:tabs>
          <w:tab w:val="left" w:pos="279"/>
        </w:tabs>
        <w:jc w:val="both"/>
      </w:pPr>
      <w:bookmarkStart w:id="2" w:name="bookmark1"/>
      <w:bookmarkEnd w:id="2"/>
      <w:r>
        <w:t>aktuálním plánu pro zvládání povodňových rizik je v této souvislosti zařazeno opatření ID: MOV217026 (Realizace protipovodňových opatření Kroměříž vycházející ze studie návrhy efektivních opatření pro sn</w:t>
      </w:r>
      <w:r w:rsidR="008320F1">
        <w:t>ížení</w:t>
      </w:r>
      <w:r>
        <w:t xml:space="preserve"> povodňových rizik v dílčím povodí Moravy • lokalita Kroměříž) Zmiňovaná studie zahrnuje poměrně rozsáhlý systém opatření </w:t>
      </w:r>
      <w:r w:rsidR="008320F1">
        <w:t>na vodních tocích Morava a Moště</w:t>
      </w:r>
      <w:r>
        <w:t>nka v podobě ochranných liniových prvků (hráze, zídky) a dalších souvisejících hydrotechnických objektu.</w:t>
      </w:r>
    </w:p>
    <w:p w:rsidR="00536653" w:rsidRDefault="00054C01">
      <w:pPr>
        <w:pStyle w:val="Bodytext10"/>
        <w:jc w:val="both"/>
      </w:pPr>
      <w:r>
        <w:t>Příprava opatření na dalších drobných vodních tocích v zájmovém území je, dle dostupných informaci, pouze ve fázi ideových návrhu Vzhledem k tomu že příprava opatření na jednotlivých zájmových tocích je aktuálně v různých fázích rozpracovanosti doporučujeme v první fázi shromáždění veškerých dostupných podkladů a jejich vyhodnoceni z hlediska jejich možného dalšího využití</w:t>
      </w:r>
    </w:p>
    <w:p w:rsidR="00536653" w:rsidRDefault="008320F1">
      <w:pPr>
        <w:pStyle w:val="Bodytext10"/>
        <w:spacing w:after="0"/>
        <w:jc w:val="both"/>
      </w:pPr>
      <w:r>
        <w:t>Jedná se především o posouzení</w:t>
      </w:r>
      <w:r w:rsidR="00054C01">
        <w:t>:</w:t>
      </w:r>
    </w:p>
    <w:p w:rsidR="00536653" w:rsidRDefault="00054C01">
      <w:pPr>
        <w:pStyle w:val="Bodytext10"/>
        <w:numPr>
          <w:ilvl w:val="0"/>
          <w:numId w:val="2"/>
        </w:numPr>
        <w:tabs>
          <w:tab w:val="left" w:pos="675"/>
        </w:tabs>
        <w:spacing w:after="0"/>
        <w:ind w:left="660" w:hanging="320"/>
        <w:jc w:val="both"/>
      </w:pPr>
      <w:bookmarkStart w:id="3" w:name="bookmark2"/>
      <w:bookmarkEnd w:id="3"/>
      <w:r>
        <w:t>aktuálnosti a rozsahu dostupných podkladu (hydrologických, mapových, geodetických, projektových atd ),</w:t>
      </w:r>
    </w:p>
    <w:p w:rsidR="00536653" w:rsidRDefault="00054C01">
      <w:pPr>
        <w:pStyle w:val="Bodytext10"/>
        <w:numPr>
          <w:ilvl w:val="0"/>
          <w:numId w:val="2"/>
        </w:numPr>
        <w:tabs>
          <w:tab w:val="left" w:pos="675"/>
        </w:tabs>
        <w:spacing w:after="0"/>
        <w:ind w:left="660" w:hanging="320"/>
        <w:jc w:val="both"/>
      </w:pPr>
      <w:bookmarkStart w:id="4" w:name="bookmark3"/>
      <w:bookmarkEnd w:id="4"/>
      <w:r>
        <w:t>požadavku na provedení hydraulických výpočtů pro účely posouzeni stávajícího a návrhového stavu z hlediska průtočných poměrů, s tím souvisí posouzení případných požadavku na aktualizaci resp</w:t>
      </w:r>
      <w:r w:rsidR="008320F1">
        <w:t>.</w:t>
      </w:r>
      <w:r>
        <w:t xml:space="preserve"> vytvoření nových numerických modelu</w:t>
      </w:r>
    </w:p>
    <w:p w:rsidR="00536653" w:rsidRDefault="00054C01">
      <w:pPr>
        <w:pStyle w:val="Bodytext10"/>
        <w:numPr>
          <w:ilvl w:val="0"/>
          <w:numId w:val="2"/>
        </w:numPr>
        <w:tabs>
          <w:tab w:val="left" w:pos="675"/>
        </w:tabs>
        <w:spacing w:after="0"/>
        <w:ind w:left="660" w:hanging="320"/>
        <w:jc w:val="both"/>
      </w:pPr>
      <w:bookmarkStart w:id="5" w:name="bookmark4"/>
      <w:bookmarkEnd w:id="5"/>
      <w:r>
        <w:t>požadavku na aktualizaci resp</w:t>
      </w:r>
      <w:r w:rsidR="008320F1">
        <w:t>.</w:t>
      </w:r>
      <w:r>
        <w:t xml:space="preserve"> zpracováni doplňujících návrhů protipovodňových opatření především na drobných vodních tocích,</w:t>
      </w:r>
    </w:p>
    <w:p w:rsidR="00536653" w:rsidRDefault="008320F1">
      <w:pPr>
        <w:pStyle w:val="Bodytext10"/>
        <w:numPr>
          <w:ilvl w:val="0"/>
          <w:numId w:val="2"/>
        </w:numPr>
        <w:tabs>
          <w:tab w:val="left" w:pos="675"/>
        </w:tabs>
        <w:ind w:left="660" w:hanging="320"/>
        <w:jc w:val="both"/>
      </w:pPr>
      <w:bookmarkStart w:id="6" w:name="bookmark5"/>
      <w:bookmarkEnd w:id="6"/>
      <w:r>
        <w:t>požadavku na provedení</w:t>
      </w:r>
      <w:r w:rsidR="00054C01">
        <w:t xml:space="preserve"> etapizace a stanoveni priorit realizace dílčích úseků protipovodňových opatření.</w:t>
      </w:r>
      <w:r w:rsidR="00054C01">
        <w:br w:type="page"/>
      </w:r>
    </w:p>
    <w:tbl>
      <w:tblPr>
        <w:tblpPr w:leftFromText="141" w:rightFromText="141" w:vertAnchor="page" w:horzAnchor="page" w:tblpX="2626" w:tblpY="10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864"/>
        <w:gridCol w:w="437"/>
      </w:tblGrid>
      <w:tr w:rsidR="00FB751D" w:rsidRPr="00FB751D" w:rsidTr="00FB751D">
        <w:trPr>
          <w:trHeight w:hRule="exact" w:val="389"/>
        </w:trPr>
        <w:tc>
          <w:tcPr>
            <w:tcW w:w="1416" w:type="dxa"/>
            <w:shd w:val="clear" w:color="auto" w:fill="888984"/>
            <w:vAlign w:val="bottom"/>
          </w:tcPr>
          <w:p w:rsidR="00FB751D" w:rsidRPr="00FB751D" w:rsidRDefault="00FB751D" w:rsidP="00FB751D">
            <w:pPr>
              <w:pBdr>
                <w:top w:val="single" w:sz="0" w:space="0" w:color="878883"/>
                <w:left w:val="single" w:sz="0" w:space="0" w:color="878883"/>
                <w:bottom w:val="single" w:sz="0" w:space="0" w:color="878883"/>
                <w:right w:val="single" w:sz="0" w:space="0" w:color="878883"/>
              </w:pBdr>
              <w:shd w:val="clear" w:color="auto" w:fill="878883"/>
              <w:rPr>
                <w:rFonts w:ascii="Arial" w:eastAsia="Arial" w:hAnsi="Arial" w:cs="Arial"/>
                <w:color w:val="auto"/>
              </w:rPr>
            </w:pPr>
            <w:r w:rsidRPr="00FB751D">
              <w:rPr>
                <w:rFonts w:ascii="Arial" w:eastAsia="Arial" w:hAnsi="Arial" w:cs="Arial"/>
                <w:b/>
                <w:bCs/>
                <w:color w:val="FFFFFF"/>
              </w:rPr>
              <w:lastRenderedPageBreak/>
              <w:t>FAKULTA|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751D" w:rsidRPr="00FB751D" w:rsidRDefault="00FB751D" w:rsidP="00FB751D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B751D">
              <w:rPr>
                <w:rFonts w:ascii="Arial" w:eastAsia="Arial" w:hAnsi="Arial" w:cs="Arial"/>
                <w:sz w:val="22"/>
                <w:szCs w:val="22"/>
              </w:rPr>
              <w:t>ústav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FB751D" w:rsidRPr="00FB751D" w:rsidRDefault="00FB751D" w:rsidP="00FB751D">
            <w:pPr>
              <w:rPr>
                <w:sz w:val="10"/>
                <w:szCs w:val="10"/>
              </w:rPr>
            </w:pPr>
          </w:p>
        </w:tc>
      </w:tr>
      <w:tr w:rsidR="00FB751D" w:rsidRPr="00FB751D" w:rsidTr="00FB751D">
        <w:trPr>
          <w:trHeight w:hRule="exact" w:val="331"/>
        </w:trPr>
        <w:tc>
          <w:tcPr>
            <w:tcW w:w="1416" w:type="dxa"/>
            <w:shd w:val="clear" w:color="auto" w:fill="888984"/>
            <w:vAlign w:val="bottom"/>
          </w:tcPr>
          <w:p w:rsidR="00FB751D" w:rsidRPr="00FB751D" w:rsidRDefault="00FB751D" w:rsidP="00FB751D">
            <w:pPr>
              <w:pBdr>
                <w:top w:val="single" w:sz="0" w:space="0" w:color="888984"/>
                <w:left w:val="single" w:sz="0" w:space="0" w:color="888984"/>
                <w:bottom w:val="single" w:sz="0" w:space="0" w:color="888984"/>
                <w:right w:val="single" w:sz="0" w:space="0" w:color="888984"/>
              </w:pBdr>
              <w:shd w:val="clear" w:color="auto" w:fill="888984"/>
              <w:rPr>
                <w:rFonts w:ascii="Arial" w:eastAsia="Arial" w:hAnsi="Arial" w:cs="Arial"/>
                <w:color w:val="auto"/>
              </w:rPr>
            </w:pPr>
            <w:r w:rsidRPr="00FB751D">
              <w:rPr>
                <w:rFonts w:ascii="Arial" w:eastAsia="Arial" w:hAnsi="Arial" w:cs="Arial"/>
                <w:b/>
                <w:bCs/>
                <w:color w:val="FFFFFF"/>
              </w:rPr>
              <w:t>STAVEBNÍ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1D" w:rsidRPr="00FB751D" w:rsidRDefault="00FB751D" w:rsidP="00FB751D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B751D">
              <w:rPr>
                <w:rFonts w:ascii="Arial" w:eastAsia="Arial" w:hAnsi="Arial" w:cs="Arial"/>
                <w:sz w:val="22"/>
                <w:szCs w:val="22"/>
              </w:rPr>
              <w:t>vodního</w:t>
            </w:r>
          </w:p>
        </w:tc>
      </w:tr>
      <w:tr w:rsidR="00FB751D" w:rsidRPr="00FB751D" w:rsidTr="00FB751D">
        <w:trPr>
          <w:trHeight w:hRule="exact" w:val="403"/>
        </w:trPr>
        <w:tc>
          <w:tcPr>
            <w:tcW w:w="2280" w:type="dxa"/>
            <w:gridSpan w:val="2"/>
            <w:shd w:val="clear" w:color="auto" w:fill="FFFFFF"/>
            <w:vAlign w:val="bottom"/>
          </w:tcPr>
          <w:p w:rsidR="00FB751D" w:rsidRPr="00FB751D" w:rsidRDefault="00FB751D" w:rsidP="00FB751D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FB751D">
              <w:rPr>
                <w:rFonts w:ascii="Arial" w:eastAsia="Arial" w:hAnsi="Arial" w:cs="Arial"/>
                <w:sz w:val="22"/>
                <w:szCs w:val="22"/>
              </w:rPr>
              <w:t>hospodářství kraji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B751D" w:rsidRPr="00FB751D" w:rsidRDefault="00FB751D" w:rsidP="00FB751D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  <w:tr w:rsidR="00FB751D" w:rsidRPr="00FB751D" w:rsidTr="00FB751D">
        <w:trPr>
          <w:trHeight w:hRule="exact" w:val="403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FB751D" w:rsidRPr="00FB751D" w:rsidRDefault="00FB751D" w:rsidP="00FB751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51D" w:rsidRPr="00FB751D" w:rsidRDefault="00FB751D" w:rsidP="00FB751D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</w:tr>
    </w:tbl>
    <w:p w:rsidR="00536653" w:rsidRDefault="00FB751D">
      <w:pPr>
        <w:pStyle w:val="Bodytext10"/>
        <w:spacing w:after="40"/>
        <w:ind w:left="27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1463675</wp:posOffset>
                </wp:positionH>
                <wp:positionV relativeFrom="margin">
                  <wp:posOffset>505460</wp:posOffset>
                </wp:positionV>
                <wp:extent cx="1715770" cy="27749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6653" w:rsidRDefault="00054C01">
                            <w:pPr>
                              <w:pStyle w:val="Picturecaption10"/>
                              <w:spacing w:line="240" w:lineRule="auto"/>
                            </w:pPr>
                            <w:r>
                              <w:t xml:space="preserve">I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15.25pt;margin-top:39.8pt;width:135.1pt;height:21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" filled="f" stroked="f">
                <v:textbox inset="0,0,0,0">
                  <w:txbxContent>
                    <w:p w:rsidR="00536653" w:rsidRDefault="00054C01">
                      <w:pPr>
                        <w:pStyle w:val="Picturecaption10"/>
                        <w:spacing w:line="240" w:lineRule="auto"/>
                      </w:pPr>
                      <w:r>
                        <w:t xml:space="preserve">I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54C01">
        <w:rPr>
          <w:noProof/>
          <w:lang w:bidi="ar-SA"/>
        </w:rPr>
        <w:drawing>
          <wp:anchor distT="0" distB="508000" distL="0" distR="1697990" simplePos="0" relativeHeight="125829378" behindDoc="0" locked="0" layoutInCell="1" allowOverlap="1">
            <wp:simplePos x="0" y="0"/>
            <wp:positionH relativeFrom="page">
              <wp:posOffset>709930</wp:posOffset>
            </wp:positionH>
            <wp:positionV relativeFrom="margin">
              <wp:posOffset>-6350</wp:posOffset>
            </wp:positionV>
            <wp:extent cx="755650" cy="73787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556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536653" w:rsidRDefault="00FB751D" w:rsidP="00FB751D">
      <w:pPr>
        <w:pStyle w:val="Bodytext10"/>
        <w:spacing w:before="100"/>
        <w:ind w:left="360"/>
        <w:jc w:val="both"/>
      </w:pPr>
      <w:r>
        <w:t>• požadavku na začlenění</w:t>
      </w:r>
      <w:r w:rsidR="00054C01">
        <w:t xml:space="preserve"> protipovodňových opatření do územně plánovací dokumentace atd</w:t>
      </w:r>
      <w:r w:rsidR="009B223B">
        <w:t>.</w:t>
      </w:r>
    </w:p>
    <w:p w:rsidR="00536653" w:rsidRDefault="00054C01">
      <w:pPr>
        <w:pStyle w:val="Bodytext10"/>
        <w:jc w:val="both"/>
      </w:pPr>
      <w:r>
        <w:t xml:space="preserve">Výše uvedené práce navrhujeme začlenit </w:t>
      </w:r>
      <w:r>
        <w:rPr>
          <w:lang w:val="en-US" w:eastAsia="en-US" w:bidi="en-US"/>
        </w:rPr>
        <w:t xml:space="preserve">do </w:t>
      </w:r>
      <w:r>
        <w:t>I etapy řešení zakázky, s cílem vyhotoveni zprávy resp</w:t>
      </w:r>
      <w:r w:rsidR="009B223B">
        <w:t>.</w:t>
      </w:r>
      <w:r w:rsidR="006D7C69">
        <w:t xml:space="preserve"> studie, která bude </w:t>
      </w:r>
      <w:r>
        <w:t>zahrnovat doporučení vhodného postupu směřujícího k návrhu koncepce protipovodňových opatřeni v lokalitě Kr</w:t>
      </w:r>
      <w:r w:rsidR="009B223B">
        <w:t>oměříž K tomu účelu budou využit</w:t>
      </w:r>
      <w:r>
        <w:t>y aktuální dostupné údaje k zájmovému území, tj</w:t>
      </w:r>
      <w:r w:rsidR="009B223B">
        <w:t>.</w:t>
      </w:r>
      <w:r>
        <w:t xml:space="preserve"> zejména topografické podklady, hydrologická data, výsledky v minulosti realizovaných hydraulických výpočtů, dokumentace návrhů protipovodňových opatření. Součástí I etapy bude rovněž realizace místních šetřeni v zájmové lokalitě.</w:t>
      </w:r>
    </w:p>
    <w:p w:rsidR="00536653" w:rsidRDefault="00054C01">
      <w:pPr>
        <w:pStyle w:val="Bodytext10"/>
        <w:spacing w:after="0" w:line="252" w:lineRule="auto"/>
        <w:jc w:val="both"/>
      </w:pPr>
      <w:r>
        <w:t>Zpráva bude dokumentovat výsledky následujících činnosti</w:t>
      </w:r>
    </w:p>
    <w:p w:rsidR="00536653" w:rsidRDefault="00054C01">
      <w:pPr>
        <w:pStyle w:val="Bodytext10"/>
        <w:numPr>
          <w:ilvl w:val="0"/>
          <w:numId w:val="2"/>
        </w:numPr>
        <w:tabs>
          <w:tab w:val="left" w:pos="684"/>
        </w:tabs>
        <w:spacing w:after="0" w:line="252" w:lineRule="auto"/>
        <w:ind w:firstLine="360"/>
        <w:jc w:val="both"/>
      </w:pPr>
      <w:bookmarkStart w:id="7" w:name="bookmark6"/>
      <w:bookmarkEnd w:id="7"/>
      <w:r>
        <w:t>rešerše a vyhodnoceni dostupných podkladu souvisejících s předmětem zakázky</w:t>
      </w:r>
    </w:p>
    <w:p w:rsidR="00536653" w:rsidRDefault="00054C01">
      <w:pPr>
        <w:pStyle w:val="Bodytext10"/>
        <w:numPr>
          <w:ilvl w:val="0"/>
          <w:numId w:val="2"/>
        </w:numPr>
        <w:tabs>
          <w:tab w:val="left" w:pos="684"/>
        </w:tabs>
        <w:spacing w:after="0" w:line="252" w:lineRule="auto"/>
        <w:ind w:left="680" w:hanging="320"/>
      </w:pPr>
      <w:bookmarkStart w:id="8" w:name="bookmark7"/>
      <w:bookmarkEnd w:id="8"/>
      <w:r>
        <w:t>popis aktuálního stavu v zájmovém území vč</w:t>
      </w:r>
      <w:r w:rsidR="009B223B">
        <w:t>.</w:t>
      </w:r>
      <w:r>
        <w:t xml:space="preserve"> výsledku provedených místních šetření.</w:t>
      </w:r>
    </w:p>
    <w:p w:rsidR="00536653" w:rsidRDefault="00054C01">
      <w:pPr>
        <w:pStyle w:val="Bodytext10"/>
        <w:numPr>
          <w:ilvl w:val="0"/>
          <w:numId w:val="2"/>
        </w:numPr>
        <w:tabs>
          <w:tab w:val="left" w:pos="684"/>
        </w:tabs>
        <w:spacing w:after="0" w:line="252" w:lineRule="auto"/>
        <w:ind w:left="680" w:hanging="320"/>
      </w:pPr>
      <w:bookmarkStart w:id="9" w:name="bookmark8"/>
      <w:bookmarkEnd w:id="9"/>
      <w:r>
        <w:t>rešerše návrhů protipovodňových opatřeni v zájmovém území na základě dostupných podkladu (stud</w:t>
      </w:r>
      <w:r w:rsidR="009B223B">
        <w:t>ie, projektová dokumentace apod.</w:t>
      </w:r>
      <w:r>
        <w:t>)</w:t>
      </w:r>
    </w:p>
    <w:p w:rsidR="00536653" w:rsidRDefault="00054C01">
      <w:pPr>
        <w:pStyle w:val="Bodytext10"/>
        <w:numPr>
          <w:ilvl w:val="0"/>
          <w:numId w:val="2"/>
        </w:numPr>
        <w:tabs>
          <w:tab w:val="left" w:pos="684"/>
        </w:tabs>
        <w:spacing w:after="0" w:line="252" w:lineRule="auto"/>
        <w:ind w:left="680" w:hanging="320"/>
      </w:pPr>
      <w:bookmarkStart w:id="10" w:name="bookmark9"/>
      <w:bookmarkEnd w:id="10"/>
      <w:r>
        <w:t xml:space="preserve">doporučeni rozsahu a postupu řešeni </w:t>
      </w:r>
      <w:r w:rsidR="00E13444">
        <w:t>II. etapy řešení</w:t>
      </w:r>
      <w:r>
        <w:t xml:space="preserve"> zakázky v návaznosti na zjištěných skutečnostech,</w:t>
      </w:r>
    </w:p>
    <w:p w:rsidR="00536653" w:rsidRDefault="009B223B">
      <w:pPr>
        <w:pStyle w:val="Bodytext10"/>
        <w:numPr>
          <w:ilvl w:val="0"/>
          <w:numId w:val="2"/>
        </w:numPr>
        <w:tabs>
          <w:tab w:val="left" w:pos="684"/>
        </w:tabs>
        <w:spacing w:line="252" w:lineRule="auto"/>
        <w:ind w:firstLine="360"/>
        <w:jc w:val="both"/>
      </w:pPr>
      <w:bookmarkStart w:id="11" w:name="bookmark10"/>
      <w:bookmarkEnd w:id="11"/>
      <w:r>
        <w:t>doporučení k doplnění</w:t>
      </w:r>
      <w:r w:rsidR="00054C01">
        <w:t xml:space="preserve"> podkladu pro realizaci II</w:t>
      </w:r>
      <w:r w:rsidR="00E13444">
        <w:t>.</w:t>
      </w:r>
      <w:r w:rsidR="00054C01">
        <w:t xml:space="preserve"> etapy</w:t>
      </w:r>
    </w:p>
    <w:p w:rsidR="00536653" w:rsidRDefault="00054C01">
      <w:pPr>
        <w:pStyle w:val="Bodytext10"/>
        <w:spacing w:after="0"/>
      </w:pPr>
      <w:r>
        <w:t>Cena 199 tis Kč bez DPH</w:t>
      </w:r>
    </w:p>
    <w:p w:rsidR="00536653" w:rsidRDefault="00054C01">
      <w:pPr>
        <w:pStyle w:val="Bodytext10"/>
        <w:spacing w:after="0"/>
      </w:pPr>
      <w:r>
        <w:t>Navrhovaný termín plnění: 30 9 2021.</w:t>
      </w:r>
    </w:p>
    <w:p w:rsidR="00536653" w:rsidRDefault="00054C01">
      <w:pPr>
        <w:pStyle w:val="Bodytext10"/>
      </w:pPr>
      <w:r>
        <w:t>Forma zprávy bude vyhotovena elektronické verzi ve formátu PDF</w:t>
      </w:r>
    </w:p>
    <w:p w:rsidR="00536653" w:rsidRDefault="00054C01">
      <w:pPr>
        <w:pStyle w:val="Bodytext10"/>
        <w:spacing w:after="0"/>
      </w:pPr>
      <w:r>
        <w:t>Fakturační údaje</w:t>
      </w:r>
    </w:p>
    <w:p w:rsidR="00536653" w:rsidRDefault="00054C01">
      <w:pPr>
        <w:pStyle w:val="Bodytext10"/>
        <w:spacing w:after="0"/>
      </w:pPr>
      <w:r>
        <w:t>Vysoké učení technické v Brně</w:t>
      </w:r>
    </w:p>
    <w:p w:rsidR="00536653" w:rsidRDefault="00054C01">
      <w:pPr>
        <w:pStyle w:val="Bodytext10"/>
        <w:spacing w:after="0"/>
      </w:pPr>
      <w:r>
        <w:t>Fakulta stavební</w:t>
      </w:r>
    </w:p>
    <w:p w:rsidR="00536653" w:rsidRDefault="00054C01">
      <w:pPr>
        <w:pStyle w:val="Bodytext10"/>
        <w:spacing w:after="0"/>
      </w:pPr>
      <w:r>
        <w:t>Ustav vodního hospodářství krajiny</w:t>
      </w:r>
    </w:p>
    <w:p w:rsidR="00536653" w:rsidRDefault="00054C01">
      <w:pPr>
        <w:pStyle w:val="Bodytext10"/>
        <w:spacing w:after="0"/>
      </w:pPr>
      <w:r>
        <w:t>Veveří 331/95</w:t>
      </w:r>
    </w:p>
    <w:p w:rsidR="00536653" w:rsidRDefault="00054C01">
      <w:pPr>
        <w:pStyle w:val="Bodytext10"/>
        <w:spacing w:after="0"/>
      </w:pPr>
      <w:r>
        <w:t>602 00 Brno</w:t>
      </w:r>
    </w:p>
    <w:p w:rsidR="00536653" w:rsidRDefault="00054C01">
      <w:pPr>
        <w:pStyle w:val="Bodytext10"/>
        <w:spacing w:after="1260"/>
      </w:pPr>
      <w:r>
        <w:t>IČ:00216305 DIČ CZ00216305</w:t>
      </w:r>
    </w:p>
    <w:p w:rsidR="00536653" w:rsidRDefault="009B223B">
      <w:pPr>
        <w:pStyle w:val="Bodytext10"/>
        <w:spacing w:after="0" w:line="233" w:lineRule="auto"/>
        <w:jc w:val="center"/>
      </w:pPr>
      <w:r>
        <w:rPr>
          <w:lang w:val="en-US" w:eastAsia="en-US" w:bidi="en-US"/>
        </w:rPr>
        <w:t>xxx</w:t>
      </w:r>
      <w:r w:rsidR="00054C01">
        <w:br/>
        <w:t>ve</w:t>
      </w:r>
      <w:r>
        <w:t>doucí Ústav vodního hospodářství</w:t>
      </w:r>
      <w:r w:rsidR="00054C01">
        <w:t xml:space="preserve"> krajiny</w:t>
      </w:r>
    </w:p>
    <w:sectPr w:rsidR="00536653">
      <w:type w:val="continuous"/>
      <w:pgSz w:w="11900" w:h="16840"/>
      <w:pgMar w:top="1329" w:right="1700" w:bottom="2053" w:left="1070" w:header="901" w:footer="16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9D" w:rsidRDefault="006B169D">
      <w:r>
        <w:separator/>
      </w:r>
    </w:p>
  </w:endnote>
  <w:endnote w:type="continuationSeparator" w:id="0">
    <w:p w:rsidR="006B169D" w:rsidRDefault="006B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9D" w:rsidRDefault="006B169D"/>
  </w:footnote>
  <w:footnote w:type="continuationSeparator" w:id="0">
    <w:p w:rsidR="006B169D" w:rsidRDefault="006B16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B4490"/>
    <w:multiLevelType w:val="multilevel"/>
    <w:tmpl w:val="02560A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8F4F41"/>
    <w:multiLevelType w:val="multilevel"/>
    <w:tmpl w:val="79FE846A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53"/>
    <w:rsid w:val="00054C01"/>
    <w:rsid w:val="001364D5"/>
    <w:rsid w:val="00303760"/>
    <w:rsid w:val="00536653"/>
    <w:rsid w:val="006B169D"/>
    <w:rsid w:val="006D7C69"/>
    <w:rsid w:val="008320F1"/>
    <w:rsid w:val="009B223B"/>
    <w:rsid w:val="00AE3628"/>
    <w:rsid w:val="00BA72A5"/>
    <w:rsid w:val="00E13444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95879-2445-485B-8DDD-FB4ED952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B751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Other10">
    <w:name w:val="Other|1"/>
    <w:basedOn w:val="Normln"/>
    <w:link w:val="Other1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Picturecaption10">
    <w:name w:val="Picture caption|1"/>
    <w:basedOn w:val="Normln"/>
    <w:link w:val="Picturecaption1"/>
    <w:pPr>
      <w:spacing w:line="326" w:lineRule="auto"/>
    </w:pPr>
    <w:rPr>
      <w:rFonts w:ascii="Arial" w:eastAsia="Arial" w:hAnsi="Arial" w:cs="Arial"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24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2021-04-21T12:08:00Z</dcterms:created>
  <dcterms:modified xsi:type="dcterms:W3CDTF">2021-04-21T12:08:00Z</dcterms:modified>
</cp:coreProperties>
</file>