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6D0B77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0388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6D0B7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6218/U/2021-HSPH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6D0B7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UZSVM/U/4364/2021-HSPH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61759" w:rsidRPr="00901BA6" w:rsidRDefault="006D0B77" w:rsidP="00E617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1BA6">
        <w:rPr>
          <w:rFonts w:ascii="Arial" w:hAnsi="Arial" w:cs="Arial"/>
          <w:b/>
          <w:sz w:val="22"/>
          <w:szCs w:val="22"/>
        </w:rPr>
        <w:t>N006/21/V00003708</w:t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8A272F" w:rsidRDefault="006D0B77" w:rsidP="008A272F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- Úřad pro zastupování státu ve věcech majetkových</w:t>
      </w:r>
    </w:p>
    <w:p w:rsidR="008A272F" w:rsidRDefault="006D0B77" w:rsidP="008A272F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Rašínovo </w:t>
      </w:r>
      <w:r>
        <w:rPr>
          <w:rFonts w:ascii="Arial" w:hAnsi="Arial" w:cs="Arial"/>
          <w:sz w:val="22"/>
          <w:szCs w:val="22"/>
        </w:rPr>
        <w:t>nábřeží 390/42, Nové Město, 128 00 Praha 2,</w:t>
      </w:r>
    </w:p>
    <w:p w:rsidR="008A272F" w:rsidRDefault="006D0B77" w:rsidP="008A272F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PhDr. Marie Ševelová, ředitelka Územního pracoviště Ústí nad Labem,</w:t>
      </w:r>
    </w:p>
    <w:p w:rsidR="008A272F" w:rsidRDefault="006D0B77" w:rsidP="008A272F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generálního ředitele č. 6/2019 v platném znění,</w:t>
      </w:r>
    </w:p>
    <w:p w:rsidR="008A272F" w:rsidRDefault="006D0B77" w:rsidP="008A272F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69797111,</w:t>
      </w:r>
    </w:p>
    <w:p w:rsidR="008A272F" w:rsidRDefault="006D0B77" w:rsidP="008A272F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„objednatel"),</w:t>
      </w:r>
    </w:p>
    <w:p w:rsidR="008A272F" w:rsidRDefault="006D0B77" w:rsidP="008A272F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A272F" w:rsidRDefault="006D0B77" w:rsidP="008A272F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Milan L</w:t>
      </w:r>
      <w:r>
        <w:rPr>
          <w:rFonts w:ascii="Arial" w:hAnsi="Arial" w:cs="Arial"/>
          <w:b/>
          <w:sz w:val="22"/>
          <w:szCs w:val="22"/>
        </w:rPr>
        <w:t>ang</w:t>
      </w:r>
    </w:p>
    <w:p w:rsidR="008A272F" w:rsidRDefault="006D0B77" w:rsidP="008A272F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Zívrova 14, 163 00 Praha 6 - Řepy</w:t>
      </w:r>
    </w:p>
    <w:p w:rsidR="008A272F" w:rsidRDefault="006D0B77" w:rsidP="008A272F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05612900</w:t>
      </w:r>
    </w:p>
    <w:p w:rsidR="008A272F" w:rsidRDefault="008A272F" w:rsidP="008A272F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</w:p>
    <w:p w:rsidR="008A272F" w:rsidRDefault="006D0B77" w:rsidP="008A272F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„zhotovitel"),</w:t>
      </w:r>
    </w:p>
    <w:p w:rsidR="008A272F" w:rsidRDefault="006D0B77" w:rsidP="008A272F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21 a § 1746 zákona č. 89/2012 Sb., občanský zákoník, ve znění zákona č. 460/2016 Sb., a zákona č. 137/2006 Sb., o veřejných zakázkách, ve zn</w:t>
      </w:r>
      <w:r>
        <w:rPr>
          <w:rFonts w:ascii="Arial" w:hAnsi="Arial" w:cs="Arial"/>
          <w:sz w:val="22"/>
          <w:szCs w:val="22"/>
        </w:rPr>
        <w:t>ění pozdějších předpisů, tuto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Smlouvu o dílo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  48/2021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8A272F" w:rsidRDefault="006D0B77" w:rsidP="008A272F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zhotovitele provést dílo spočívající v oceňování nemovitých věcí v soudních okresech</w:t>
      </w:r>
      <w:r w:rsidRPr="00862E2C">
        <w:rPr>
          <w:rFonts w:ascii="Arial" w:hAnsi="Arial" w:cs="Arial"/>
          <w:iCs/>
          <w:color w:val="000000"/>
          <w:sz w:val="22"/>
          <w:szCs w:val="22"/>
        </w:rPr>
        <w:t xml:space="preserve"> Louny, Litoměřice,  Ústí</w:t>
      </w:r>
      <w:r w:rsidRPr="00862E2C">
        <w:rPr>
          <w:rFonts w:ascii="Arial" w:hAnsi="Arial" w:cs="Arial"/>
          <w:iCs/>
          <w:color w:val="000000"/>
          <w:sz w:val="22"/>
          <w:szCs w:val="22"/>
        </w:rPr>
        <w:t xml:space="preserve"> nad Labem, Děčín, Česká Lípa, Liberec a Jablonec n</w:t>
      </w:r>
      <w:r>
        <w:rPr>
          <w:rFonts w:ascii="Arial" w:hAnsi="Arial" w:cs="Arial"/>
          <w:iCs/>
          <w:color w:val="000000"/>
          <w:sz w:val="22"/>
          <w:szCs w:val="22"/>
        </w:rPr>
        <w:t>ad Nisou</w:t>
      </w:r>
      <w:r>
        <w:rPr>
          <w:rFonts w:ascii="Arial" w:hAnsi="Arial" w:cs="Arial"/>
          <w:sz w:val="22"/>
          <w:szCs w:val="22"/>
        </w:rPr>
        <w:t xml:space="preserve"> pro potřeby objednatele, jehož výsledkem je znalecký posudek. </w:t>
      </w:r>
    </w:p>
    <w:p w:rsidR="008A272F" w:rsidRDefault="006D0B77" w:rsidP="008A272F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Znalecký posudek zhotovitel zpracuje pouze na základě písemné nebo elektronické objednávky vystavené objednatelem. Součástí objednávk</w:t>
      </w:r>
      <w:r>
        <w:rPr>
          <w:rFonts w:ascii="Arial" w:hAnsi="Arial" w:cs="Arial"/>
          <w:sz w:val="22"/>
          <w:szCs w:val="22"/>
        </w:rPr>
        <w:t>y je specifikace oceňované nemovité věci včetně přiložené kopie listu vlastnictví, požadovaný rozsah ocenění, termín doručení znaleckého posudku objednateli, který bez předchozí dohody se zhotovitelem nesmí být kratší než lhůta uvedená v čl. II. této smlou</w:t>
      </w:r>
      <w:r>
        <w:rPr>
          <w:rFonts w:ascii="Arial" w:hAnsi="Arial" w:cs="Arial"/>
          <w:sz w:val="22"/>
          <w:szCs w:val="22"/>
        </w:rPr>
        <w:t xml:space="preserve">vy, a nejvýše přípustná cena za zpracování znaleckého posudku stanovená v souladu s čl. III. této smlouvy. </w:t>
      </w:r>
    </w:p>
    <w:p w:rsidR="008A272F" w:rsidRDefault="006D0B77" w:rsidP="008A272F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Neodmítne-li zhotovitel písemně nebo elektronicky bez zbytečného odkladu objednávku, zavazuje se tím zejména provést dílo a doručit objednateli znal</w:t>
      </w:r>
      <w:r>
        <w:rPr>
          <w:rFonts w:ascii="Arial" w:hAnsi="Arial" w:cs="Arial"/>
          <w:sz w:val="22"/>
          <w:szCs w:val="22"/>
        </w:rPr>
        <w:t>ecký posudek řádně zpracovaný podle objednávky objednatele v místě plnění v termínu stanoveném objednatelem.</w:t>
      </w:r>
    </w:p>
    <w:p w:rsidR="008A272F" w:rsidRDefault="006D0B77" w:rsidP="008A272F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Vyskytnou-li se v průběhu provádění díla překážky bránící zhotoviteli zpracovat znalecký posudek ve stanoveném termínu, oznámí tuto skutečnost obje</w:t>
      </w:r>
      <w:r>
        <w:rPr>
          <w:rFonts w:ascii="Arial" w:hAnsi="Arial" w:cs="Arial"/>
          <w:sz w:val="22"/>
          <w:szCs w:val="22"/>
        </w:rPr>
        <w:t>dnateli. Po posouzení povahy překážky se smluvní strany mohou dohodnout na dalších podmínkách provádění díla.</w:t>
      </w:r>
    </w:p>
    <w:p w:rsid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Zhotovitel oceňuje nemovité věci a zpracovává znalecký posudek v souladu s platnými právními předpisy, zejména v souladu se zákonem 254/2019 Sb.,</w:t>
      </w:r>
      <w:r>
        <w:rPr>
          <w:rFonts w:ascii="Arial" w:hAnsi="Arial" w:cs="Arial"/>
          <w:sz w:val="22"/>
          <w:szCs w:val="22"/>
        </w:rPr>
        <w:t xml:space="preserve"> o znalcích, znaleckých kancelářích a znaleckých ústavech, se zákonem č. 151/1997 Sb., o oceňování majetku a o změně některých zákonů (zákon o oceňování majetku), ve znění pozdějších předpisů, a vyhláškou č. 441/2013 Sb., k provedení zákona o oceňování maj</w:t>
      </w:r>
      <w:r>
        <w:rPr>
          <w:rFonts w:ascii="Arial" w:hAnsi="Arial" w:cs="Arial"/>
          <w:sz w:val="22"/>
          <w:szCs w:val="22"/>
        </w:rPr>
        <w:t xml:space="preserve">etku (oceňovací vyhláška), ve znění pozdějších předpisů. </w:t>
      </w:r>
    </w:p>
    <w:p w:rsid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v objednávce stanoveno jinak, zhotovitel oceňuje nemovité věci a zpracovává znalecký posudek v souladu se „Specifikací požadavků na zpracování znaleckého posudku“, která je součástí objednáv</w:t>
      </w:r>
      <w:r>
        <w:rPr>
          <w:rFonts w:ascii="Arial" w:hAnsi="Arial" w:cs="Arial"/>
          <w:sz w:val="22"/>
          <w:szCs w:val="22"/>
        </w:rPr>
        <w:t>ky.</w:t>
      </w:r>
    </w:p>
    <w:p w:rsid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v objednávce stanoveno jinak, znalecký posudek musí mít strukturu a charakter potřebné pro stanovení ceny v místě a čase obvyklé dle zákona č. 219/2000 Sb., o majetku České republiky a jejím vystupování v právních vztazích, ve znění pozdějších </w:t>
      </w:r>
      <w:r>
        <w:rPr>
          <w:rFonts w:ascii="Arial" w:hAnsi="Arial" w:cs="Arial"/>
          <w:sz w:val="22"/>
          <w:szCs w:val="22"/>
        </w:rPr>
        <w:t xml:space="preserve">předpisů. </w:t>
      </w:r>
    </w:p>
    <w:p w:rsid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musí obsahovat doložku znalce podle ustanovení § 127a zákona č. 99/1963 Sb., občanský soudní řád, ve znění pozdějších předpisů. </w:t>
      </w:r>
    </w:p>
    <w:p w:rsid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souhlasí se zveřejněním znaleckých posudků.</w:t>
      </w:r>
    </w:p>
    <w:p w:rsid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poskytnout bezplatně </w:t>
      </w:r>
      <w:r>
        <w:rPr>
          <w:rFonts w:ascii="Arial" w:hAnsi="Arial" w:cs="Arial"/>
          <w:sz w:val="22"/>
          <w:szCs w:val="22"/>
        </w:rPr>
        <w:t>součinnost objednateli v případě řešení připomínek ke znaleckému posudku ze strany třetích osob nebo organizačních složek státu.</w:t>
      </w:r>
    </w:p>
    <w:p w:rsid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provádět dílo vlastním jménem a na vlastní odpovědnost, v nejvyšší kvalitě, odpovídající účelu smlouvy a</w:t>
      </w:r>
      <w:r>
        <w:rPr>
          <w:rFonts w:ascii="Arial" w:hAnsi="Arial" w:cs="Arial"/>
          <w:sz w:val="22"/>
          <w:szCs w:val="22"/>
        </w:rPr>
        <w:t xml:space="preserve"> právním předpisům.</w:t>
      </w:r>
    </w:p>
    <w:p w:rsidR="008A272F" w:rsidRPr="00E53485" w:rsidRDefault="006D0B77" w:rsidP="00E53485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zhotovitel použije byť i jen k plnění určité části díla další osobu, odpovídá objednateli za plnění poskytnuté další osobou, jako by toto plnění poskytoval zhotovitel sám.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a čas plnění</w:t>
      </w:r>
    </w:p>
    <w:p w:rsidR="008A272F" w:rsidRDefault="006D0B77" w:rsidP="008A272F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plnění předmětu </w:t>
      </w:r>
      <w:r>
        <w:rPr>
          <w:rFonts w:ascii="Arial" w:hAnsi="Arial" w:cs="Arial"/>
          <w:sz w:val="22"/>
          <w:szCs w:val="22"/>
        </w:rPr>
        <w:t>smlouvy je to pracoviště objednatele, do něhož je zařazena osoba oprávněná za objednatele učinit objednávku podle této smlouvy.</w:t>
      </w:r>
    </w:p>
    <w:p w:rsidR="008A272F" w:rsidRDefault="006D0B77" w:rsidP="008A272F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zpracovat znalecký posudek ve lhůtě </w:t>
      </w:r>
      <w:r w:rsidRPr="00B71B32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dnů počítané ode dne doručení písemné nebo elektronické objednávky</w:t>
      </w:r>
      <w:r>
        <w:rPr>
          <w:rFonts w:ascii="Arial" w:hAnsi="Arial" w:cs="Arial"/>
          <w:sz w:val="22"/>
          <w:szCs w:val="22"/>
        </w:rPr>
        <w:t xml:space="preserve"> zhotoviteli. </w:t>
      </w:r>
    </w:p>
    <w:p w:rsidR="008A272F" w:rsidRDefault="006D0B77" w:rsidP="008A272F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Závazek zhotovitele provést dílo je splněn tím, že zhotovitel doručí objednateli znalecký posudek řádně zpracovaný podle objednávky objednatele v místě plnění v termínu stanoveném objednatelem. Znalecký posudek se považuje za řádně zpracovan</w:t>
      </w:r>
      <w:r>
        <w:rPr>
          <w:rFonts w:ascii="Arial" w:hAnsi="Arial" w:cs="Arial"/>
          <w:sz w:val="22"/>
          <w:szCs w:val="22"/>
        </w:rPr>
        <w:t>ý, jestliže nemá žádné vady a nedodělky. Má-li znalecký posudek vady a nedodělky, vrátí jej objednatel zhotoviteli, který je povinen jej přepracovat, a to na vlastní náklady zhotovitele. Není-li jiné dohody mezi objednatelem a zhotovitelem, termín pro prov</w:t>
      </w:r>
      <w:r>
        <w:rPr>
          <w:rFonts w:ascii="Arial" w:hAnsi="Arial" w:cs="Arial"/>
          <w:sz w:val="22"/>
          <w:szCs w:val="22"/>
        </w:rPr>
        <w:t xml:space="preserve">edení díla se tím prodlužuje pouze o lhůtu, odpovídající počtem dní době od odevzdání vadného posudku objednateli do doručení vráceného znaleckého posudku zhotoviteli. 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díla</w:t>
      </w:r>
    </w:p>
    <w:p w:rsidR="008A272F" w:rsidRDefault="006D0B77" w:rsidP="008A272F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činí </w:t>
      </w:r>
      <w:r w:rsidRPr="00B71B32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87</w:t>
      </w:r>
      <w:r w:rsidRPr="00B71B32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2</w:t>
      </w:r>
      <w:r w:rsidRPr="00B71B32">
        <w:rPr>
          <w:rFonts w:ascii="Arial" w:hAnsi="Arial" w:cs="Arial"/>
          <w:b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 xml:space="preserve"> včetně DPH za každou hodinu potřebnou pro z</w:t>
      </w:r>
      <w:r>
        <w:rPr>
          <w:rFonts w:ascii="Arial" w:hAnsi="Arial" w:cs="Arial"/>
          <w:sz w:val="22"/>
          <w:szCs w:val="22"/>
        </w:rPr>
        <w:t>pracování znaleckého posudku.</w:t>
      </w:r>
    </w:p>
    <w:p w:rsidR="008A272F" w:rsidRDefault="006D0B77" w:rsidP="008A272F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hodin potřebných ke zpracování znaleckého posudku se stanoví dle cenové nabídky předložené zhotovitelem na základě výzvy zadavatele se specifikací konkrétních oceňovaných nemovitostí.  </w:t>
      </w:r>
    </w:p>
    <w:p w:rsidR="008A272F" w:rsidRDefault="006D0B77" w:rsidP="008A272F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Uvedená smluvní cena je stanovena </w:t>
      </w:r>
      <w:r>
        <w:rPr>
          <w:rFonts w:ascii="Arial" w:hAnsi="Arial" w:cs="Arial"/>
          <w:sz w:val="22"/>
          <w:szCs w:val="22"/>
        </w:rPr>
        <w:t>jako cena nejvýše přípustná a konečná. V této smluvní ceně jsou již započteny veškeré náklady zhotovitele související se zpracováním znaleckého posudku (tj. např. materiál, doprava, poplatky, pojištění, diety, služby, dodávky).</w:t>
      </w:r>
    </w:p>
    <w:p w:rsidR="008A272F" w:rsidRDefault="006D0B77" w:rsidP="008A272F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cena je platná v </w:t>
      </w:r>
      <w:r>
        <w:rPr>
          <w:rFonts w:ascii="Arial" w:hAnsi="Arial" w:cs="Arial"/>
          <w:sz w:val="22"/>
          <w:szCs w:val="22"/>
        </w:rPr>
        <w:t>nezměněné výši od data nabytí účinnosti nebo platnosti smlouvy až do ukončení platnosti nebo účinnosti smlouvy.</w:t>
      </w:r>
    </w:p>
    <w:p w:rsidR="008A272F" w:rsidRDefault="006D0B77" w:rsidP="008A272F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zhotovitel plátcem daně z přidané hodnoty, k ceně bude připočtena daň z přidané hodnoty v zákonné výši.</w:t>
      </w:r>
    </w:p>
    <w:p w:rsidR="008A272F" w:rsidRDefault="006D0B77" w:rsidP="008A272F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služby nebo související do</w:t>
      </w:r>
      <w:r>
        <w:rPr>
          <w:rFonts w:ascii="Arial" w:hAnsi="Arial" w:cs="Arial"/>
          <w:sz w:val="22"/>
          <w:szCs w:val="22"/>
        </w:rPr>
        <w:t xml:space="preserve">dávky musí být poskytnuty objednateli v požadovaném rozsahu, a to bez jakéhokoliv omezení; zhotovitel není oprávněn „doúčtovat“ objednateli jakékoliv dodatečné práce, služby či dodávky, byť nezbytné pro řádné splnění ucelené části díla nebo celého díla, a </w:t>
      </w:r>
      <w:r>
        <w:rPr>
          <w:rFonts w:ascii="Arial" w:hAnsi="Arial" w:cs="Arial"/>
          <w:sz w:val="22"/>
          <w:szCs w:val="22"/>
        </w:rPr>
        <w:t>to např. i z důvodu, že zhotovitel chybně odhadl nabídkovou (smluvní) cenu anebo poskytl nekvalitní práci, dodávku či službu, v jejichž důsledku bylo nezbytné poskytnout další plnění pro komplexní a řádné zpracování znaleckého posudku.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</w:t>
      </w:r>
      <w:r>
        <w:rPr>
          <w:rFonts w:ascii="Arial" w:hAnsi="Arial" w:cs="Arial"/>
          <w:b/>
          <w:sz w:val="22"/>
          <w:szCs w:val="22"/>
        </w:rPr>
        <w:t>mínky a fakturace</w:t>
      </w:r>
    </w:p>
    <w:p w:rsidR="008A272F" w:rsidRDefault="006D0B77" w:rsidP="008A272F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vystaví fakturu za objednávku až po řádném zpracování znaleckého posudku. Faktura musí mít náležitosti účetního dokladu podle platných právních předpisů. Objednatel si vyhrazuje právo vrátit fakturu zhotoviteli k vystavení nové</w:t>
      </w:r>
      <w:r>
        <w:rPr>
          <w:rFonts w:ascii="Arial" w:hAnsi="Arial" w:cs="Arial"/>
          <w:sz w:val="22"/>
          <w:szCs w:val="22"/>
        </w:rPr>
        <w:t>, pokud nebude faktura takové náležitosti obsahovat. Objednatel si dále vyhrazuje právo vrátit fakturu zhotoviteli, pokud zpracovaný znalecký posudek nebude odpovídat kvalitou či rozsahem objednávce.</w:t>
      </w:r>
    </w:p>
    <w:p w:rsidR="008A272F" w:rsidRDefault="006D0B77" w:rsidP="008A272F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musí být vystavena a předána objednateli n</w:t>
      </w:r>
      <w:r>
        <w:rPr>
          <w:rFonts w:ascii="Arial" w:hAnsi="Arial" w:cs="Arial"/>
          <w:sz w:val="22"/>
          <w:szCs w:val="22"/>
        </w:rPr>
        <w:t>ejpozději do 10 pracovních dnů od řádného dokončení ucelené části díla.</w:t>
      </w:r>
    </w:p>
    <w:p w:rsidR="008A272F" w:rsidRDefault="006D0B77" w:rsidP="008A272F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faktury činí 21 kalendářních dnů ode dne jejího prokazatelného převzetí objednatelem.</w:t>
      </w:r>
    </w:p>
    <w:p w:rsidR="008A272F" w:rsidRDefault="006D0B77" w:rsidP="008A272F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i platby jsou prováděny v české měně v souladu s platnými daňovými předpisy.</w:t>
      </w:r>
    </w:p>
    <w:p w:rsidR="008A272F" w:rsidRDefault="006D0B77" w:rsidP="008A272F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 neposkytuje zálohové plnění.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Mlčenlivost</w:t>
      </w:r>
    </w:p>
    <w:p w:rsidR="008A272F" w:rsidRDefault="006D0B77" w:rsidP="008A272F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zachovávat mlčenlivost o všech skutečnostech, o kterých se dozvěděl při plnění této smlouvy a bez písemného souhlasu objednatele je nesmí zpřístupnit třetí osobě ani je použít </w:t>
      </w:r>
      <w:r>
        <w:rPr>
          <w:rFonts w:ascii="Arial" w:hAnsi="Arial" w:cs="Arial"/>
          <w:sz w:val="22"/>
          <w:szCs w:val="22"/>
        </w:rPr>
        <w:t>v rozporu s účelem této smlouvy, ledaže se jedná o skutečnosti veřejně přístupné nebo o případ, kdy je zpřístupnění informace vyžadováno na základě právního předpisu.</w:t>
      </w:r>
    </w:p>
    <w:p w:rsidR="008A272F" w:rsidRDefault="006D0B77" w:rsidP="008A272F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zavázat povinností mlčenlivosti všechny osoby, které se budou </w:t>
      </w:r>
      <w:r>
        <w:rPr>
          <w:rFonts w:ascii="Arial" w:hAnsi="Arial" w:cs="Arial"/>
          <w:sz w:val="22"/>
          <w:szCs w:val="22"/>
        </w:rPr>
        <w:t>podílet na provádění díla podle této smlouvy. Zhotovitel odpovídá za porušení povinnosti mlčenlivosti těchto osob, jako by povinnost porušil sám.</w:t>
      </w:r>
    </w:p>
    <w:p w:rsidR="008A272F" w:rsidRDefault="006D0B77" w:rsidP="008A272F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mlčenlivosti trvá i po skončení účinnosti této smlouvy.</w:t>
      </w:r>
    </w:p>
    <w:p w:rsidR="008A272F" w:rsidRDefault="008A272F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</w:p>
    <w:p w:rsidR="008A272F" w:rsidRDefault="008A272F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</w:p>
    <w:p w:rsidR="00503422" w:rsidRDefault="00503422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</w:p>
    <w:p w:rsidR="00503422" w:rsidRDefault="00503422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VI.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Ukončení smluvního vztahu</w:t>
      </w:r>
    </w:p>
    <w:p w:rsidR="00244DB7" w:rsidRDefault="006D0B77" w:rsidP="00244DB7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81D1A">
        <w:rPr>
          <w:rFonts w:ascii="Arial" w:hAnsi="Arial" w:cs="Arial"/>
          <w:b/>
          <w:sz w:val="22"/>
          <w:szCs w:val="22"/>
        </w:rPr>
        <w:t>Smlouv</w:t>
      </w:r>
      <w:r w:rsidRPr="00081D1A">
        <w:rPr>
          <w:rFonts w:ascii="Arial" w:hAnsi="Arial" w:cs="Arial"/>
          <w:b/>
          <w:sz w:val="22"/>
          <w:szCs w:val="22"/>
        </w:rPr>
        <w:t>a je uzavřena na dobu určitou, a to do vyčerpání finančního limitu ve výši 605 000,00 Kč včetně DPH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Do tohoto finančního limitu jsou započítávány veškeré úhrady za oceňování nemovitého majetku poskytované všem zhotovitelům dle smluv uzavřených na základě </w:t>
      </w:r>
      <w:r>
        <w:rPr>
          <w:rFonts w:ascii="Arial" w:hAnsi="Arial" w:cs="Arial"/>
          <w:sz w:val="22"/>
          <w:szCs w:val="22"/>
        </w:rPr>
        <w:t>veřejné zakázky s názvem „Oceňování nemovitého majetku pro odbory Územního pracoviště Ústí nad Labem, 2021“ (jednou z těchto smluv je i tato smlouva). O dosažení finančního limitu bude objednatel zhotovitele písemně informovat.</w:t>
      </w:r>
    </w:p>
    <w:p w:rsidR="008A272F" w:rsidRDefault="006D0B77" w:rsidP="008A272F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si vyhrazuje právo pozastavit průběh plnění této smlouvy a rovněž smlouvu písemně vypovědět bez výpovědní doby, bez udání důvodu, a to bez jakékoliv sankce či náhrady za nedokončené plnění. Výpověď je účinná okamžikem jejího doručení zhotoviteli</w:t>
      </w:r>
      <w:r>
        <w:rPr>
          <w:rFonts w:ascii="Arial" w:hAnsi="Arial" w:cs="Arial"/>
          <w:sz w:val="22"/>
          <w:szCs w:val="22"/>
        </w:rPr>
        <w:t>. Objednatel se zavazuje, že dílčí plnění poskytnuté zhotovitelem přede dnem ukončením smlouvy uhradí v souladu se smlouvou.</w:t>
      </w:r>
    </w:p>
    <w:p w:rsidR="008A272F" w:rsidRDefault="006D0B77" w:rsidP="008A272F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rovněž ukončena dohodu smluvních stran.</w:t>
      </w:r>
    </w:p>
    <w:p w:rsidR="008A272F" w:rsidRDefault="006D0B77" w:rsidP="008A272F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Prodlení zhotovitele se splněním povinnosti podle této smlouvy o více jak </w:t>
      </w:r>
      <w:r>
        <w:rPr>
          <w:rFonts w:ascii="Arial" w:hAnsi="Arial" w:cs="Arial"/>
          <w:sz w:val="22"/>
          <w:szCs w:val="22"/>
        </w:rPr>
        <w:t>15 pracovních dnů je považováno za podstatné porušení smlouvy ze strany zhotovitele, v takovém případě je objednatel oprávněn od této smlouvy odstoupit. Odstoupení od smlouvy je účinné okamžikem doručení písemného odstoupení od smlouvy zhotoviteli.</w:t>
      </w:r>
    </w:p>
    <w:p w:rsidR="008A272F" w:rsidRDefault="006D0B77" w:rsidP="008A272F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zán</w:t>
      </w:r>
      <w:r>
        <w:rPr>
          <w:rFonts w:ascii="Arial" w:hAnsi="Arial" w:cs="Arial"/>
          <w:sz w:val="22"/>
          <w:szCs w:val="22"/>
        </w:rPr>
        <w:t>iku této smlouvy provedou smluvní strany vypořádání vzájemných práv a závazků plynoucích z této smlouvy nejpozději do 30 dnů od skončení účinnosti smlouvy.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:rsidR="008A272F" w:rsidRDefault="006D0B77" w:rsidP="008A272F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nedoručí objednateli řádně zpracovaný znalecký posudek včas</w:t>
      </w:r>
      <w:r>
        <w:rPr>
          <w:rFonts w:ascii="Arial" w:hAnsi="Arial" w:cs="Arial"/>
          <w:sz w:val="22"/>
          <w:szCs w:val="22"/>
        </w:rPr>
        <w:t>, zavazuje se zhotovitel zaplatit objednateli smluvní pokutu ve výši 300 Kč za každý kalendářní den prodlení.</w:t>
      </w:r>
    </w:p>
    <w:p w:rsidR="008A272F" w:rsidRDefault="006D0B77" w:rsidP="008A272F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Poruší-li zhotovitel povinnosti stanovené v čl. V. této smlouvy, je povinen objednateli zaplatit smluvní pokutu ve výši 1 000 Kč za každý jednotli</w:t>
      </w:r>
      <w:r>
        <w:rPr>
          <w:rFonts w:ascii="Arial" w:hAnsi="Arial" w:cs="Arial"/>
          <w:sz w:val="22"/>
          <w:szCs w:val="22"/>
        </w:rPr>
        <w:t>vý případ porušení povinnosti.</w:t>
      </w:r>
    </w:p>
    <w:p w:rsidR="008A272F" w:rsidRDefault="006D0B77" w:rsidP="008A272F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nese plnou odpovědnost za škodu způsobenou objednateli v souvislosti s plněním předmětu této smlouvy a je povinen jakoukoliv škodu objednateli uhradit. Výše náhrady škody nebo výše sankce není omezena. </w:t>
      </w:r>
    </w:p>
    <w:p w:rsidR="008A272F" w:rsidRDefault="006D0B77" w:rsidP="008A272F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Zaplacením </w:t>
      </w:r>
      <w:r>
        <w:rPr>
          <w:rFonts w:ascii="Arial" w:hAnsi="Arial" w:cs="Arial"/>
          <w:sz w:val="22"/>
          <w:szCs w:val="22"/>
        </w:rPr>
        <w:t>smluvní pokuty nezaniká nárok objednatele na náhradu škody v plné výši.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VIII.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Součinnost smluvních stran</w:t>
      </w:r>
    </w:p>
    <w:p w:rsidR="008A272F" w:rsidRDefault="006D0B77" w:rsidP="008A272F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uzavření této smlouvy jsou osobami oprávněnými za objednatele učinit objednávku podle této smlouvy a jednat ve věcech provádění díla podle t</w:t>
      </w:r>
      <w:r>
        <w:rPr>
          <w:rFonts w:ascii="Arial" w:hAnsi="Arial" w:cs="Arial"/>
          <w:sz w:val="22"/>
          <w:szCs w:val="22"/>
        </w:rPr>
        <w:t>éto smlouvy: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Stanislava Konášová, ředitelka odboru Hospodářsko správního, Mírové nám. 3129/36, Ústí nad Labem-centrum, 40001 Ústí nad Labem, telefon 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Aleš Václav Kratochvíl, ředitel odboru Právních </w:t>
      </w:r>
      <w:r>
        <w:rPr>
          <w:rFonts w:ascii="Arial" w:hAnsi="Arial" w:cs="Arial"/>
          <w:sz w:val="22"/>
          <w:szCs w:val="22"/>
        </w:rPr>
        <w:t xml:space="preserve">služeb, Mírové nám. 3129/36, Ústí nad Labem-centrum, 40001 Ústí nad Labem, telefon 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Karel Pekárek, ředitel odboru Hospodaření s majetkem státu, Mírové náměstí 3129/36, 40001 Ústí nad Labem, telefon 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Ing. Zdeňka Vinařová, ředitelka odboru Odloučené pracoviště Česká Lípa, Děčínská 389/4, 47001 Česká Lípa, telefon 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Edita Chládková, ředitelka odboru Odloučené pracoviště Lib</w:t>
      </w:r>
      <w:r>
        <w:rPr>
          <w:rFonts w:ascii="Arial" w:hAnsi="Arial" w:cs="Arial"/>
          <w:sz w:val="22"/>
          <w:szCs w:val="22"/>
        </w:rPr>
        <w:t xml:space="preserve">erec, nám.  Dr. E. Beneše 585/26, Liberec I-Staré Město, 46001 Liberec, telefon 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Němeček, ředitel odboru Odloučené pracoviště Litoměřice, Na Valech 525/12, Předměstí, 41201 Litoměřice, telefon 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Miloš Tajtl, ředitel odboru Odloučené pracoviště Louny, Pod Nemocnicí 2381, 44001 Louny, telefon </w:t>
      </w:r>
    </w:p>
    <w:p w:rsidR="008A272F" w:rsidRDefault="006D0B77" w:rsidP="008A272F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Ivana Kozáková, ředitelka odboru Odloučené pracoviště Teplice, Husitská 107</w:t>
      </w:r>
      <w:r>
        <w:rPr>
          <w:rFonts w:ascii="Arial" w:hAnsi="Arial" w:cs="Arial"/>
          <w:sz w:val="22"/>
          <w:szCs w:val="22"/>
        </w:rPr>
        <w:t xml:space="preserve">1/2, 41501 Teplice, telefon </w:t>
      </w:r>
    </w:p>
    <w:p w:rsidR="008A272F" w:rsidRDefault="006D0B77" w:rsidP="008A272F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uzavření této smlouvy jsou osobami oprávněnými za zhotovitele jednat ve věcech provádění díla podle této smlouvy: Ing.  Milan Lang.</w:t>
      </w:r>
    </w:p>
    <w:p w:rsidR="008A272F" w:rsidRDefault="006D0B77" w:rsidP="008A272F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Strany smlouvy si bez zbytečného odkladu písemně nebo elektronicky sdělí změny v údajích o osobě oprávněné za objednatele učinit objednávku podle této smlouvy a jednat ve věcech provádění díla podle této smlouvy a v údajích o osobě oprávněné za zhotovitele</w:t>
      </w:r>
      <w:r>
        <w:rPr>
          <w:rFonts w:ascii="Arial" w:hAnsi="Arial" w:cs="Arial"/>
          <w:sz w:val="22"/>
          <w:szCs w:val="22"/>
        </w:rPr>
        <w:t xml:space="preserve"> jednat ve věcech provádění díla podle této smlouvy. 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IX.</w:t>
      </w:r>
    </w:p>
    <w:p w:rsidR="008A272F" w:rsidRDefault="006D0B77" w:rsidP="008A272F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8A272F" w:rsidRDefault="006D0B77" w:rsidP="008A272F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poslední smluvní stranou.</w:t>
      </w:r>
    </w:p>
    <w:p w:rsidR="008A272F" w:rsidRDefault="006D0B77" w:rsidP="008A272F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pěti stejnopisech, z nichž čtyři obdrží objednatel a jeden zhotovitel. </w:t>
      </w:r>
    </w:p>
    <w:p w:rsidR="008A272F" w:rsidRDefault="006D0B77" w:rsidP="008A272F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vyslovuje souhlas s tím, že objednatel zveřejní smlouvu (včetně případných dodatků) na internetových stránkách objednatele a na profilu veřejného zadavatele. Tato smlouva podléhá rovněž zveřejnění v registru smluv podle zákona č. 340/2015 Sb., o</w:t>
      </w:r>
      <w:r>
        <w:rPr>
          <w:rFonts w:ascii="Arial" w:hAnsi="Arial" w:cs="Arial"/>
          <w:sz w:val="22"/>
          <w:szCs w:val="22"/>
        </w:rPr>
        <w:t xml:space="preserve"> zvláštních podmínkách účinnosti některých smluv, uveřejňování těchto smluv a o registru smluv. Zveřejnění v registru smluv zajistí objednatel. Tato smlouva nabývá účinnosti dnem uveřejnění v registru smluv.</w:t>
      </w:r>
    </w:p>
    <w:p w:rsidR="008A272F" w:rsidRDefault="006D0B77" w:rsidP="008A272F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Jakékoliv změny či doplnění této smlouvy je možn</w:t>
      </w:r>
      <w:r>
        <w:rPr>
          <w:rFonts w:ascii="Arial" w:hAnsi="Arial" w:cs="Arial"/>
          <w:sz w:val="22"/>
          <w:szCs w:val="22"/>
        </w:rPr>
        <w:t xml:space="preserve">é činit výhradně formou písemných a číselně označených dodatků ke smlouvě schválených oběma smluvními stranami. Tím není dotčeno ustanovení čl. VIII. odst. 3 této smlouvy. </w:t>
      </w:r>
    </w:p>
    <w:p w:rsidR="008A272F" w:rsidRDefault="006D0B77" w:rsidP="008A272F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Smluvní strany prohlašují, že si tuto smlouvu před podpisem přečetly, s jejím obsa</w:t>
      </w:r>
      <w:r>
        <w:rPr>
          <w:rFonts w:ascii="Arial" w:hAnsi="Arial" w:cs="Arial"/>
          <w:sz w:val="22"/>
          <w:szCs w:val="22"/>
        </w:rPr>
        <w:t>hem souhlasí a na důkaz toho připojují své vlastnoruční podpisy.</w:t>
      </w:r>
    </w:p>
    <w:p w:rsidR="00503422" w:rsidRDefault="00503422" w:rsidP="00503422">
      <w:pPr>
        <w:pStyle w:val="Odstavecseseznamem"/>
        <w:rPr>
          <w:rFonts w:ascii="Arial" w:hAnsi="Arial" w:cs="Arial"/>
          <w:sz w:val="22"/>
          <w:szCs w:val="22"/>
        </w:rPr>
      </w:pPr>
    </w:p>
    <w:p w:rsidR="00503422" w:rsidRDefault="00503422" w:rsidP="00503422">
      <w:pPr>
        <w:pStyle w:val="Prosttext"/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6"/>
        <w:gridCol w:w="4856"/>
      </w:tblGrid>
      <w:tr w:rsidR="003A7E14" w:rsidTr="003147DD">
        <w:tc>
          <w:tcPr>
            <w:tcW w:w="4927" w:type="dxa"/>
            <w:hideMark/>
          </w:tcPr>
          <w:p w:rsidR="008A272F" w:rsidRDefault="006D0B77" w:rsidP="003147D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V Ústí nad Labem dne 1.4.2021</w:t>
            </w:r>
          </w:p>
        </w:tc>
        <w:tc>
          <w:tcPr>
            <w:tcW w:w="4927" w:type="dxa"/>
            <w:hideMark/>
          </w:tcPr>
          <w:p w:rsidR="008A272F" w:rsidRDefault="006D0B77" w:rsidP="003147D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V          Praze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dne  8.4.2021</w:t>
            </w:r>
            <w:bookmarkStart w:id="0" w:name="_GoBack"/>
            <w:bookmarkEnd w:id="0"/>
          </w:p>
        </w:tc>
      </w:tr>
      <w:tr w:rsidR="003A7E14" w:rsidTr="003147DD">
        <w:tc>
          <w:tcPr>
            <w:tcW w:w="4927" w:type="dxa"/>
          </w:tcPr>
          <w:p w:rsidR="008A272F" w:rsidRDefault="008A272F" w:rsidP="003147D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8A272F" w:rsidRDefault="008A272F" w:rsidP="003147D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A7E14" w:rsidTr="003147DD">
        <w:tc>
          <w:tcPr>
            <w:tcW w:w="4927" w:type="dxa"/>
            <w:hideMark/>
          </w:tcPr>
          <w:p w:rsidR="008A272F" w:rsidRDefault="006D0B77" w:rsidP="003147D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927" w:type="dxa"/>
            <w:hideMark/>
          </w:tcPr>
          <w:p w:rsidR="008A272F" w:rsidRDefault="008A272F" w:rsidP="003147D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7E14" w:rsidTr="003147DD">
        <w:trPr>
          <w:trHeight w:val="2146"/>
        </w:trPr>
        <w:tc>
          <w:tcPr>
            <w:tcW w:w="4927" w:type="dxa"/>
          </w:tcPr>
          <w:p w:rsidR="008A272F" w:rsidRDefault="008A272F" w:rsidP="003147D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8A272F" w:rsidRDefault="008A272F" w:rsidP="003147D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A7E14" w:rsidTr="003147DD">
        <w:tc>
          <w:tcPr>
            <w:tcW w:w="4927" w:type="dxa"/>
            <w:hideMark/>
          </w:tcPr>
          <w:p w:rsidR="008A272F" w:rsidRDefault="006D0B77" w:rsidP="003147D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927" w:type="dxa"/>
            <w:hideMark/>
          </w:tcPr>
          <w:p w:rsidR="008A272F" w:rsidRDefault="006D0B77" w:rsidP="003147D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</w:tc>
      </w:tr>
      <w:tr w:rsidR="003A7E14" w:rsidTr="003147DD">
        <w:tc>
          <w:tcPr>
            <w:tcW w:w="4927" w:type="dxa"/>
            <w:hideMark/>
          </w:tcPr>
          <w:p w:rsidR="008A272F" w:rsidRDefault="006D0B77" w:rsidP="003147D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PhDr. Marie Ševelová</w:t>
            </w:r>
          </w:p>
        </w:tc>
        <w:tc>
          <w:tcPr>
            <w:tcW w:w="4927" w:type="dxa"/>
            <w:hideMark/>
          </w:tcPr>
          <w:p w:rsidR="008A272F" w:rsidRDefault="006D0B77" w:rsidP="003147D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Milan Lang</w:t>
            </w:r>
          </w:p>
        </w:tc>
      </w:tr>
      <w:tr w:rsidR="003A7E14" w:rsidTr="003147DD">
        <w:tc>
          <w:tcPr>
            <w:tcW w:w="4927" w:type="dxa"/>
            <w:hideMark/>
          </w:tcPr>
          <w:p w:rsidR="008A272F" w:rsidRDefault="006D0B77" w:rsidP="003147D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Územního pracoviště</w:t>
            </w:r>
          </w:p>
        </w:tc>
        <w:tc>
          <w:tcPr>
            <w:tcW w:w="4927" w:type="dxa"/>
          </w:tcPr>
          <w:p w:rsidR="008A272F" w:rsidRDefault="008A272F" w:rsidP="003147D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A7E14" w:rsidTr="003147DD">
        <w:tc>
          <w:tcPr>
            <w:tcW w:w="4927" w:type="dxa"/>
            <w:hideMark/>
          </w:tcPr>
          <w:p w:rsidR="008A272F" w:rsidRDefault="006D0B77" w:rsidP="003147D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  <w:tc>
          <w:tcPr>
            <w:tcW w:w="4927" w:type="dxa"/>
          </w:tcPr>
          <w:p w:rsidR="008A272F" w:rsidRDefault="008A272F" w:rsidP="003147D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A272F" w:rsidRDefault="008A272F" w:rsidP="008A272F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</w:p>
    <w:p w:rsidR="008A272F" w:rsidRDefault="008A272F" w:rsidP="008A272F">
      <w:pPr>
        <w:rPr>
          <w:rFonts w:ascii="Arial" w:hAnsi="Arial" w:cs="Arial"/>
          <w:sz w:val="22"/>
          <w:szCs w:val="22"/>
        </w:rPr>
      </w:pPr>
    </w:p>
    <w:p w:rsidR="008A272F" w:rsidRPr="00A43C1C" w:rsidRDefault="008A272F" w:rsidP="008A272F">
      <w:pPr>
        <w:rPr>
          <w:rFonts w:ascii="Arial" w:hAnsi="Arial" w:cs="Arial"/>
          <w:sz w:val="22"/>
          <w:szCs w:val="22"/>
        </w:rPr>
      </w:pPr>
    </w:p>
    <w:p w:rsidR="008A272F" w:rsidRPr="00A43C1C" w:rsidRDefault="008A272F" w:rsidP="006B5A0C">
      <w:pPr>
        <w:rPr>
          <w:rFonts w:ascii="Arial" w:hAnsi="Arial" w:cs="Arial"/>
          <w:sz w:val="22"/>
          <w:szCs w:val="22"/>
        </w:rPr>
      </w:pPr>
    </w:p>
    <w:sectPr w:rsidR="008A272F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6FB7"/>
    <w:multiLevelType w:val="hybridMultilevel"/>
    <w:tmpl w:val="04FA55AA"/>
    <w:lvl w:ilvl="0" w:tplc="9C8C2486">
      <w:start w:val="1"/>
      <w:numFmt w:val="decimal"/>
      <w:lvlText w:val="%1."/>
      <w:lvlJc w:val="left"/>
      <w:pPr>
        <w:ind w:left="360" w:hanging="360"/>
      </w:pPr>
    </w:lvl>
    <w:lvl w:ilvl="1" w:tplc="94A2A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B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8F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6E7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E3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A9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E9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66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66A14"/>
    <w:multiLevelType w:val="hybridMultilevel"/>
    <w:tmpl w:val="9FAE4CE0"/>
    <w:lvl w:ilvl="0" w:tplc="8F16D53A">
      <w:start w:val="1"/>
      <w:numFmt w:val="decimal"/>
      <w:lvlText w:val="%1."/>
      <w:lvlJc w:val="left"/>
      <w:pPr>
        <w:ind w:left="360" w:hanging="360"/>
      </w:pPr>
    </w:lvl>
    <w:lvl w:ilvl="1" w:tplc="BD9A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A9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C7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06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26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E3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65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A6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1268A"/>
    <w:multiLevelType w:val="hybridMultilevel"/>
    <w:tmpl w:val="57A02616"/>
    <w:lvl w:ilvl="0" w:tplc="3496DD18">
      <w:start w:val="1"/>
      <w:numFmt w:val="decimal"/>
      <w:lvlText w:val="%1."/>
      <w:lvlJc w:val="left"/>
      <w:pPr>
        <w:ind w:left="360" w:hanging="360"/>
      </w:pPr>
    </w:lvl>
    <w:lvl w:ilvl="1" w:tplc="5CC44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65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C1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C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45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6D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C7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EB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C0F26"/>
    <w:multiLevelType w:val="hybridMultilevel"/>
    <w:tmpl w:val="B3E4DDC6"/>
    <w:lvl w:ilvl="0" w:tplc="FFDA0014">
      <w:start w:val="1"/>
      <w:numFmt w:val="decimal"/>
      <w:lvlText w:val="%1."/>
      <w:lvlJc w:val="left"/>
      <w:pPr>
        <w:ind w:left="360" w:hanging="360"/>
      </w:pPr>
    </w:lvl>
    <w:lvl w:ilvl="1" w:tplc="365E1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2A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05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08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83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A9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EB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E5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63C36"/>
    <w:multiLevelType w:val="hybridMultilevel"/>
    <w:tmpl w:val="37E4900C"/>
    <w:lvl w:ilvl="0" w:tplc="26D66442">
      <w:start w:val="1"/>
      <w:numFmt w:val="decimal"/>
      <w:lvlText w:val="%1."/>
      <w:lvlJc w:val="left"/>
      <w:pPr>
        <w:ind w:left="360" w:hanging="360"/>
      </w:pPr>
    </w:lvl>
    <w:lvl w:ilvl="1" w:tplc="951A7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CC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A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C9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E3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E3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60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27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D1CE4"/>
    <w:multiLevelType w:val="hybridMultilevel"/>
    <w:tmpl w:val="356A9A80"/>
    <w:lvl w:ilvl="0" w:tplc="CE7056C0">
      <w:start w:val="1"/>
      <w:numFmt w:val="decimal"/>
      <w:lvlText w:val="%1."/>
      <w:lvlJc w:val="left"/>
      <w:pPr>
        <w:ind w:left="360" w:hanging="360"/>
      </w:pPr>
    </w:lvl>
    <w:lvl w:ilvl="1" w:tplc="82661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27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AA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2A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2F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A2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C3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4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C1CC2"/>
    <w:multiLevelType w:val="hybridMultilevel"/>
    <w:tmpl w:val="F418FBC4"/>
    <w:lvl w:ilvl="0" w:tplc="EDBE4352">
      <w:start w:val="1"/>
      <w:numFmt w:val="decimal"/>
      <w:lvlText w:val="%1."/>
      <w:lvlJc w:val="left"/>
      <w:pPr>
        <w:ind w:left="360" w:hanging="360"/>
      </w:pPr>
    </w:lvl>
    <w:lvl w:ilvl="1" w:tplc="37BCB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40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84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E7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02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2E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00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5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1340C"/>
    <w:multiLevelType w:val="hybridMultilevel"/>
    <w:tmpl w:val="136C5938"/>
    <w:lvl w:ilvl="0" w:tplc="D20225C2">
      <w:start w:val="1"/>
      <w:numFmt w:val="lowerLetter"/>
      <w:lvlText w:val="%1)"/>
      <w:lvlJc w:val="left"/>
      <w:pPr>
        <w:ind w:left="1080" w:hanging="360"/>
      </w:pPr>
    </w:lvl>
    <w:lvl w:ilvl="1" w:tplc="1194D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48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85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A6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E7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CC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E0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6D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03C26"/>
    <w:multiLevelType w:val="hybridMultilevel"/>
    <w:tmpl w:val="8FB82F62"/>
    <w:lvl w:ilvl="0" w:tplc="DA0A53DC">
      <w:start w:val="1"/>
      <w:numFmt w:val="decimal"/>
      <w:lvlText w:val="%1."/>
      <w:lvlJc w:val="left"/>
      <w:pPr>
        <w:ind w:left="360" w:hanging="360"/>
      </w:pPr>
    </w:lvl>
    <w:lvl w:ilvl="1" w:tplc="8BBE6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81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AE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CF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86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03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CF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CE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1636A"/>
    <w:multiLevelType w:val="hybridMultilevel"/>
    <w:tmpl w:val="538C7B4E"/>
    <w:lvl w:ilvl="0" w:tplc="A824F634">
      <w:start w:val="1"/>
      <w:numFmt w:val="decimal"/>
      <w:lvlText w:val="%1."/>
      <w:lvlJc w:val="left"/>
      <w:pPr>
        <w:ind w:left="360" w:hanging="360"/>
      </w:pPr>
    </w:lvl>
    <w:lvl w:ilvl="1" w:tplc="EE18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A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CE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00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2E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80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0A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CD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1D1A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4DB7"/>
    <w:rsid w:val="00245AA4"/>
    <w:rsid w:val="003147DD"/>
    <w:rsid w:val="003326BF"/>
    <w:rsid w:val="00340C2E"/>
    <w:rsid w:val="00345881"/>
    <w:rsid w:val="003810A5"/>
    <w:rsid w:val="00397BA0"/>
    <w:rsid w:val="003A32E9"/>
    <w:rsid w:val="003A7E14"/>
    <w:rsid w:val="003C27D2"/>
    <w:rsid w:val="003E45C2"/>
    <w:rsid w:val="00423D91"/>
    <w:rsid w:val="0043735F"/>
    <w:rsid w:val="00442699"/>
    <w:rsid w:val="00442F87"/>
    <w:rsid w:val="00451A6A"/>
    <w:rsid w:val="00465355"/>
    <w:rsid w:val="00470BDF"/>
    <w:rsid w:val="00486F1B"/>
    <w:rsid w:val="004C4F20"/>
    <w:rsid w:val="004E3209"/>
    <w:rsid w:val="004F0D3F"/>
    <w:rsid w:val="00503422"/>
    <w:rsid w:val="00514E1D"/>
    <w:rsid w:val="00555134"/>
    <w:rsid w:val="00572A14"/>
    <w:rsid w:val="005E7EA1"/>
    <w:rsid w:val="006119F4"/>
    <w:rsid w:val="0061384E"/>
    <w:rsid w:val="00630907"/>
    <w:rsid w:val="00652748"/>
    <w:rsid w:val="006B5A0C"/>
    <w:rsid w:val="006D0B77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62E2C"/>
    <w:rsid w:val="008706FC"/>
    <w:rsid w:val="0087674F"/>
    <w:rsid w:val="00885F6E"/>
    <w:rsid w:val="008A272F"/>
    <w:rsid w:val="008B1374"/>
    <w:rsid w:val="008C06E2"/>
    <w:rsid w:val="008D63AD"/>
    <w:rsid w:val="008D750B"/>
    <w:rsid w:val="008E2E34"/>
    <w:rsid w:val="00901BA6"/>
    <w:rsid w:val="00935FFB"/>
    <w:rsid w:val="00960620"/>
    <w:rsid w:val="00975498"/>
    <w:rsid w:val="0098294A"/>
    <w:rsid w:val="009C0B16"/>
    <w:rsid w:val="009F15C0"/>
    <w:rsid w:val="00A34317"/>
    <w:rsid w:val="00A43C1C"/>
    <w:rsid w:val="00A464E3"/>
    <w:rsid w:val="00A50F67"/>
    <w:rsid w:val="00A57848"/>
    <w:rsid w:val="00A6667F"/>
    <w:rsid w:val="00B03700"/>
    <w:rsid w:val="00B12B3B"/>
    <w:rsid w:val="00B15FE9"/>
    <w:rsid w:val="00B3019C"/>
    <w:rsid w:val="00B63C26"/>
    <w:rsid w:val="00B71B32"/>
    <w:rsid w:val="00BC2E73"/>
    <w:rsid w:val="00BD13C5"/>
    <w:rsid w:val="00BD7B45"/>
    <w:rsid w:val="00BE39EC"/>
    <w:rsid w:val="00BF6E12"/>
    <w:rsid w:val="00C11CA4"/>
    <w:rsid w:val="00C41738"/>
    <w:rsid w:val="00C52A45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C5E97"/>
    <w:rsid w:val="00DD17A3"/>
    <w:rsid w:val="00DF12DF"/>
    <w:rsid w:val="00E07B64"/>
    <w:rsid w:val="00E1670F"/>
    <w:rsid w:val="00E22C86"/>
    <w:rsid w:val="00E23836"/>
    <w:rsid w:val="00E42E14"/>
    <w:rsid w:val="00E53485"/>
    <w:rsid w:val="00E57DD7"/>
    <w:rsid w:val="00E61759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428F"/>
  <w15:docId w15:val="{1976E35B-4FEF-4F11-9D40-8E25272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8A272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A272F"/>
    <w:rPr>
      <w:rFonts w:ascii="Consolas" w:eastAsia="Calibri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0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2021-04-21T08:18:00Z</dcterms:created>
  <dcterms:modified xsi:type="dcterms:W3CDTF">2021-04-21T08:18:00Z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SoD č.  46,47,48,49,50,51,52,53,54/2021 - "Oceňování nemovitého majetku pro odbory Územního pracoviště Ústí nad Labem, ÚZSVM,2021" - URGENTNÍ!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Medáčková Zlata</vt:lpwstr>
  </property>
  <property fmtid="{D5CDD505-2E9C-101B-9397-08002B2CF9AE}" pid="41" name="CUSTOM.VLASTNIK_JMENO_TISK">
    <vt:lpwstr/>
  </property>
  <property fmtid="{D5CDD505-2E9C-101B-9397-08002B2CF9AE}" pid="42" name="CUSTOM.VLASTNIK_MAIL">
    <vt:lpwstr>Zlata.Medackova@uzsvm.cz</vt:lpwstr>
  </property>
  <property fmtid="{D5CDD505-2E9C-101B-9397-08002B2CF9AE}" pid="43" name="CUSTOM.VLASTNIK_TELEFON">
    <vt:lpwstr>+420 416 921 412</vt:lpwstr>
  </property>
  <property fmtid="{D5CDD505-2E9C-101B-9397-08002B2CF9AE}" pid="44" name="CUSTOM.VYTVOREN_DNE">
    <vt:lpwstr>15.03.2021</vt:lpwstr>
  </property>
  <property fmtid="{D5CDD505-2E9C-101B-9397-08002B2CF9AE}" pid="45" name="KOD.KOD_CJ">
    <vt:lpwstr>UZSVM/U/4364/2021-HSPH</vt:lpwstr>
  </property>
  <property fmtid="{D5CDD505-2E9C-101B-9397-08002B2CF9AE}" pid="46" name="KOD.KOD_EVC">
    <vt:lpwstr>6218/U/2021-HSPH</vt:lpwstr>
  </property>
  <property fmtid="{D5CDD505-2E9C-101B-9397-08002B2CF9AE}" pid="47" name="KOD.KOD_EVC_BARCODE">
    <vt:lpwstr>µ#6218/U/2021-HSPH@b¸</vt:lpwstr>
  </property>
  <property fmtid="{D5CDD505-2E9C-101B-9397-08002B2CF9AE}" pid="48" name="KOD.KOD_IU_CODE">
    <vt:lpwstr>4012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a82cc81e-e739-4ac4-9f59-fde50c54b035</vt:lpwstr>
  </property>
  <property fmtid="{D5CDD505-2E9C-101B-9397-08002B2CF9AE}" pid="52" name="KrbDmsIdForm">
    <vt:lpwstr>a82cc81e-e739-4ac4-9f59-fde50c54b035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