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48226C">
        <w:rPr>
          <w:rFonts w:ascii="Arial" w:hAnsi="Arial" w:cs="Arial"/>
          <w:b/>
          <w:sz w:val="22"/>
          <w:szCs w:val="22"/>
        </w:rPr>
        <w:t>379/2021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4D4A5E" w:rsidRDefault="00946CBD" w:rsidP="00E95E53">
      <w:pPr>
        <w:tabs>
          <w:tab w:val="left" w:pos="4080"/>
        </w:tabs>
        <w:jc w:val="center"/>
        <w:rPr>
          <w:rFonts w:ascii="Arial" w:hAnsi="Arial" w:cs="Arial"/>
          <w:b/>
          <w:szCs w:val="24"/>
        </w:rPr>
      </w:pPr>
      <w:proofErr w:type="spellStart"/>
      <w:r w:rsidRPr="00946CBD">
        <w:rPr>
          <w:rFonts w:ascii="Arial" w:hAnsi="Arial" w:cs="Arial"/>
          <w:b/>
          <w:szCs w:val="24"/>
        </w:rPr>
        <w:t>Rožanský</w:t>
      </w:r>
      <w:proofErr w:type="spellEnd"/>
      <w:r w:rsidRPr="00946CBD">
        <w:rPr>
          <w:rFonts w:ascii="Arial" w:hAnsi="Arial" w:cs="Arial"/>
          <w:b/>
          <w:szCs w:val="24"/>
        </w:rPr>
        <w:t xml:space="preserve"> p., Šluknovský p. a </w:t>
      </w:r>
      <w:proofErr w:type="spellStart"/>
      <w:r w:rsidRPr="00946CBD">
        <w:rPr>
          <w:rFonts w:ascii="Arial" w:hAnsi="Arial" w:cs="Arial"/>
          <w:b/>
          <w:szCs w:val="24"/>
        </w:rPr>
        <w:t>Stříbrnný</w:t>
      </w:r>
      <w:proofErr w:type="spellEnd"/>
      <w:r w:rsidRPr="00946CBD">
        <w:rPr>
          <w:rFonts w:ascii="Arial" w:hAnsi="Arial" w:cs="Arial"/>
          <w:b/>
          <w:szCs w:val="24"/>
        </w:rPr>
        <w:t xml:space="preserve"> p. - sekání travních porostů v roce 2021 a 2022</w:t>
      </w:r>
    </w:p>
    <w:p w:rsidR="00946CBD" w:rsidRPr="00454D43" w:rsidRDefault="00946CB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48226C" w:rsidRPr="00663AFE" w:rsidRDefault="0048226C" w:rsidP="0048226C">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48226C" w:rsidRPr="00663AFE" w:rsidRDefault="0048226C" w:rsidP="0048226C">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napToGrid w:val="0"/>
          <w:sz w:val="22"/>
          <w:szCs w:val="22"/>
        </w:rPr>
        <w:t>Leopoldovská 380, 407 78 Velký Šenov</w:t>
      </w:r>
    </w:p>
    <w:p w:rsidR="0048226C" w:rsidRPr="00663AFE" w:rsidRDefault="0048226C" w:rsidP="0048226C">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48226C" w:rsidRDefault="0048226C" w:rsidP="0048226C">
      <w:pPr>
        <w:widowControl w:val="0"/>
        <w:tabs>
          <w:tab w:val="left" w:pos="3828"/>
        </w:tabs>
        <w:jc w:val="both"/>
        <w:rPr>
          <w:rFonts w:ascii="Arial" w:hAnsi="Arial" w:cs="Arial"/>
          <w:sz w:val="22"/>
          <w:szCs w:val="22"/>
        </w:rPr>
      </w:pP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4D4A5E" w:rsidRDefault="00946CBD" w:rsidP="00864AB4">
      <w:pPr>
        <w:jc w:val="both"/>
        <w:rPr>
          <w:rFonts w:ascii="Arial" w:hAnsi="Arial" w:cs="Arial"/>
          <w:b/>
          <w:sz w:val="22"/>
          <w:szCs w:val="22"/>
        </w:rPr>
      </w:pPr>
      <w:proofErr w:type="spellStart"/>
      <w:r w:rsidRPr="00946CBD">
        <w:rPr>
          <w:rFonts w:ascii="Arial" w:hAnsi="Arial" w:cs="Arial"/>
          <w:b/>
          <w:sz w:val="22"/>
          <w:szCs w:val="22"/>
        </w:rPr>
        <w:t>Rožanský</w:t>
      </w:r>
      <w:proofErr w:type="spellEnd"/>
      <w:r w:rsidRPr="00946CBD">
        <w:rPr>
          <w:rFonts w:ascii="Arial" w:hAnsi="Arial" w:cs="Arial"/>
          <w:b/>
          <w:sz w:val="22"/>
          <w:szCs w:val="22"/>
        </w:rPr>
        <w:t xml:space="preserve"> p., Šluknovský p. a </w:t>
      </w:r>
      <w:proofErr w:type="spellStart"/>
      <w:r w:rsidRPr="00946CBD">
        <w:rPr>
          <w:rFonts w:ascii="Arial" w:hAnsi="Arial" w:cs="Arial"/>
          <w:b/>
          <w:sz w:val="22"/>
          <w:szCs w:val="22"/>
        </w:rPr>
        <w:t>Stříbrnný</w:t>
      </w:r>
      <w:proofErr w:type="spellEnd"/>
      <w:r w:rsidRPr="00946CBD">
        <w:rPr>
          <w:rFonts w:ascii="Arial" w:hAnsi="Arial" w:cs="Arial"/>
          <w:b/>
          <w:sz w:val="22"/>
          <w:szCs w:val="22"/>
        </w:rPr>
        <w:t xml:space="preserve"> p. - sekání travních porostů v roce 2021 a 2022</w:t>
      </w:r>
    </w:p>
    <w:p w:rsidR="00946CBD" w:rsidRPr="00454D43" w:rsidRDefault="00946CBD"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8226C" w:rsidRPr="00454D43" w:rsidRDefault="0048226C" w:rsidP="0048226C">
      <w:pPr>
        <w:pStyle w:val="Zkladntext"/>
        <w:widowControl/>
        <w:numPr>
          <w:ilvl w:val="0"/>
          <w:numId w:val="1"/>
        </w:numPr>
        <w:ind w:left="426" w:hanging="426"/>
        <w:jc w:val="both"/>
        <w:rPr>
          <w:rFonts w:cs="Arial"/>
          <w:b/>
          <w:color w:val="auto"/>
          <w:sz w:val="22"/>
          <w:szCs w:val="22"/>
        </w:rPr>
      </w:pPr>
      <w:bookmarkStart w:id="0" w:name="_Hlk67487402"/>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095492021</w:t>
      </w:r>
      <w:r w:rsidRPr="00432702">
        <w:rPr>
          <w:rFonts w:cs="Arial"/>
          <w:sz w:val="22"/>
          <w:szCs w:val="22"/>
        </w:rPr>
        <w:br/>
        <w:t xml:space="preserve">dne </w:t>
      </w:r>
      <w:r>
        <w:rPr>
          <w:rFonts w:cs="Arial"/>
          <w:sz w:val="22"/>
          <w:szCs w:val="22"/>
        </w:rPr>
        <w:t xml:space="preserve">24.2.2021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w:t>
      </w:r>
      <w:r>
        <w:rPr>
          <w:rFonts w:cs="Arial"/>
          <w:sz w:val="22"/>
          <w:szCs w:val="22"/>
        </w:rPr>
        <w:t xml:space="preserve"> </w:t>
      </w:r>
      <w:r w:rsidRPr="00DD391D">
        <w:rPr>
          <w:rFonts w:cs="Arial"/>
          <w:sz w:val="22"/>
          <w:szCs w:val="22"/>
        </w:rPr>
        <w:t xml:space="preserve">ze dne </w:t>
      </w:r>
      <w:r>
        <w:rPr>
          <w:rFonts w:cs="Arial"/>
          <w:sz w:val="22"/>
          <w:szCs w:val="22"/>
        </w:rPr>
        <w:t>14.3.2021.</w:t>
      </w:r>
    </w:p>
    <w:bookmarkEnd w:id="0"/>
    <w:p w:rsidR="00864AB4" w:rsidRPr="00454D43" w:rsidRDefault="00864AB4"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E91B96" w:rsidRDefault="00BE33C7" w:rsidP="00E91B96">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00E91B96">
        <w:rPr>
          <w:rFonts w:ascii="Arial" w:hAnsi="Arial" w:cs="Arial"/>
          <w:color w:val="000000"/>
          <w:sz w:val="22"/>
          <w:szCs w:val="22"/>
        </w:rPr>
        <w:tab/>
        <w:t xml:space="preserve">Zhotovitel se zavazuje provést dílo v následujících termínech: </w:t>
      </w:r>
    </w:p>
    <w:p w:rsidR="00E91B96" w:rsidRPr="00751842" w:rsidRDefault="00E91B96" w:rsidP="00E91B96">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nejdříve od 1.6.2021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1. seče 2021</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30.6.2021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2. seče 2021</w:t>
      </w:r>
      <w:r w:rsidRPr="00751842">
        <w:rPr>
          <w:rFonts w:ascii="Arial" w:hAnsi="Arial" w:cs="Arial"/>
          <w:b/>
          <w:bCs/>
          <w:color w:val="auto"/>
          <w:sz w:val="22"/>
          <w:szCs w:val="22"/>
        </w:rPr>
        <w:t>:</w:t>
      </w:r>
      <w:r>
        <w:rPr>
          <w:rFonts w:ascii="Arial" w:hAnsi="Arial" w:cs="Arial"/>
          <w:b/>
          <w:bCs/>
          <w:color w:val="auto"/>
          <w:sz w:val="22"/>
          <w:szCs w:val="22"/>
        </w:rPr>
        <w:tab/>
      </w:r>
      <w:r>
        <w:rPr>
          <w:rFonts w:ascii="Arial" w:hAnsi="Arial" w:cs="Arial"/>
          <w:b/>
          <w:bCs/>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29.10.2021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1. seče 2022</w:t>
      </w:r>
      <w:r w:rsidRPr="00751842">
        <w:rPr>
          <w:rFonts w:ascii="Arial" w:hAnsi="Arial" w:cs="Arial"/>
          <w:b/>
          <w:bCs/>
          <w:color w:val="auto"/>
          <w:sz w:val="22"/>
          <w:szCs w:val="22"/>
        </w:rPr>
        <w:t>:</w:t>
      </w:r>
      <w:r>
        <w:rPr>
          <w:rFonts w:ascii="Arial" w:hAnsi="Arial" w:cs="Arial"/>
          <w:b/>
          <w:bCs/>
          <w:color w:val="auto"/>
          <w:sz w:val="22"/>
          <w:szCs w:val="22"/>
        </w:rPr>
        <w:tab/>
      </w:r>
      <w:r>
        <w:rPr>
          <w:rFonts w:ascii="Arial" w:hAnsi="Arial" w:cs="Arial"/>
          <w:b/>
          <w:bCs/>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30.6.2022</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31</w:t>
      </w:r>
      <w:r w:rsidRPr="00937B32">
        <w:rPr>
          <w:rFonts w:ascii="Arial" w:hAnsi="Arial" w:cs="Arial"/>
          <w:b/>
          <w:color w:val="auto"/>
          <w:sz w:val="22"/>
          <w:szCs w:val="22"/>
        </w:rPr>
        <w:t>.1</w:t>
      </w:r>
      <w:r>
        <w:rPr>
          <w:rFonts w:ascii="Arial" w:hAnsi="Arial" w:cs="Arial"/>
          <w:b/>
          <w:color w:val="auto"/>
          <w:sz w:val="22"/>
          <w:szCs w:val="22"/>
        </w:rPr>
        <w:t>0</w:t>
      </w:r>
      <w:r w:rsidRPr="00937B32">
        <w:rPr>
          <w:rFonts w:ascii="Arial" w:hAnsi="Arial" w:cs="Arial"/>
          <w:b/>
          <w:color w:val="auto"/>
          <w:sz w:val="22"/>
          <w:szCs w:val="22"/>
        </w:rPr>
        <w:t>.202</w:t>
      </w:r>
      <w:r>
        <w:rPr>
          <w:rFonts w:ascii="Arial" w:hAnsi="Arial" w:cs="Arial"/>
          <w:b/>
          <w:color w:val="auto"/>
          <w:sz w:val="22"/>
          <w:szCs w:val="22"/>
        </w:rPr>
        <w:t>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w:t>
      </w:r>
      <w:r w:rsidR="005978F4">
        <w:rPr>
          <w:rFonts w:ascii="Arial" w:hAnsi="Arial" w:cs="Arial"/>
          <w:color w:val="000000"/>
          <w:sz w:val="22"/>
          <w:szCs w:val="22"/>
        </w:rPr>
        <w:t>e</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48226C" w:rsidRDefault="0048226C" w:rsidP="0048226C">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2021 bez DPH</w:t>
      </w:r>
      <w:r w:rsidRPr="00E62B9B">
        <w:rPr>
          <w:rFonts w:ascii="Arial" w:hAnsi="Arial" w:cs="Arial"/>
          <w:sz w:val="22"/>
          <w:szCs w:val="22"/>
        </w:rPr>
        <w:t>:</w:t>
      </w:r>
      <w:r>
        <w:rPr>
          <w:rFonts w:ascii="Arial" w:hAnsi="Arial" w:cs="Arial"/>
          <w:sz w:val="22"/>
          <w:szCs w:val="22"/>
        </w:rPr>
        <w:t xml:space="preserve">         49.000,00 Kč</w:t>
      </w:r>
    </w:p>
    <w:p w:rsidR="0048226C" w:rsidRDefault="0048226C" w:rsidP="0048226C">
      <w:pPr>
        <w:ind w:firstLine="360"/>
        <w:jc w:val="both"/>
        <w:rPr>
          <w:rFonts w:ascii="Arial" w:hAnsi="Arial" w:cs="Arial"/>
          <w:sz w:val="22"/>
          <w:szCs w:val="22"/>
        </w:rPr>
      </w:pPr>
      <w:r w:rsidRPr="00E62B9B">
        <w:rPr>
          <w:rFonts w:ascii="Arial" w:hAnsi="Arial" w:cs="Arial"/>
          <w:sz w:val="22"/>
          <w:szCs w:val="22"/>
        </w:rPr>
        <w:t xml:space="preserve">Dílčí cena za </w:t>
      </w:r>
      <w:r>
        <w:rPr>
          <w:rFonts w:ascii="Arial" w:hAnsi="Arial" w:cs="Arial"/>
          <w:sz w:val="22"/>
          <w:szCs w:val="22"/>
        </w:rPr>
        <w:t>2</w:t>
      </w:r>
      <w:r w:rsidRPr="00E62B9B">
        <w:rPr>
          <w:rFonts w:ascii="Arial" w:hAnsi="Arial" w:cs="Arial"/>
          <w:sz w:val="22"/>
          <w:szCs w:val="22"/>
        </w:rPr>
        <w:t>. seč</w:t>
      </w:r>
      <w:r>
        <w:rPr>
          <w:rFonts w:ascii="Arial" w:hAnsi="Arial" w:cs="Arial"/>
          <w:sz w:val="22"/>
          <w:szCs w:val="22"/>
        </w:rPr>
        <w:t xml:space="preserve"> 2021 bez DPH</w:t>
      </w:r>
      <w:r w:rsidRPr="00E62B9B">
        <w:rPr>
          <w:rFonts w:ascii="Arial" w:hAnsi="Arial" w:cs="Arial"/>
          <w:sz w:val="22"/>
          <w:szCs w:val="22"/>
        </w:rPr>
        <w:t>:</w:t>
      </w:r>
      <w:r>
        <w:rPr>
          <w:rFonts w:ascii="Arial" w:hAnsi="Arial" w:cs="Arial"/>
          <w:sz w:val="22"/>
          <w:szCs w:val="22"/>
        </w:rPr>
        <w:t xml:space="preserve">         49.000,00 Kč</w:t>
      </w:r>
    </w:p>
    <w:p w:rsidR="0048226C" w:rsidRDefault="0048226C" w:rsidP="0048226C">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2022 bez DPH</w:t>
      </w:r>
      <w:r w:rsidRPr="00E62B9B">
        <w:rPr>
          <w:rFonts w:ascii="Arial" w:hAnsi="Arial" w:cs="Arial"/>
          <w:sz w:val="22"/>
          <w:szCs w:val="22"/>
        </w:rPr>
        <w:t>:</w:t>
      </w:r>
      <w:r>
        <w:rPr>
          <w:rFonts w:ascii="Arial" w:hAnsi="Arial" w:cs="Arial"/>
          <w:sz w:val="22"/>
          <w:szCs w:val="22"/>
        </w:rPr>
        <w:t xml:space="preserve">         50.000,00 Kč</w:t>
      </w:r>
    </w:p>
    <w:p w:rsidR="0048226C" w:rsidRDefault="0048226C" w:rsidP="0048226C">
      <w:pPr>
        <w:ind w:firstLine="360"/>
        <w:jc w:val="both"/>
        <w:rPr>
          <w:rFonts w:ascii="Arial" w:hAnsi="Arial" w:cs="Arial"/>
          <w:sz w:val="22"/>
          <w:szCs w:val="22"/>
          <w:u w:val="single"/>
        </w:rPr>
      </w:pPr>
      <w:r w:rsidRPr="005978F4">
        <w:rPr>
          <w:rFonts w:ascii="Arial" w:hAnsi="Arial" w:cs="Arial"/>
          <w:sz w:val="22"/>
          <w:szCs w:val="22"/>
          <w:u w:val="single"/>
        </w:rPr>
        <w:t xml:space="preserve">Dílčí cena za </w:t>
      </w:r>
      <w:r>
        <w:rPr>
          <w:rFonts w:ascii="Arial" w:hAnsi="Arial" w:cs="Arial"/>
          <w:sz w:val="22"/>
          <w:szCs w:val="22"/>
          <w:u w:val="single"/>
        </w:rPr>
        <w:t>2</w:t>
      </w:r>
      <w:r w:rsidRPr="005978F4">
        <w:rPr>
          <w:rFonts w:ascii="Arial" w:hAnsi="Arial" w:cs="Arial"/>
          <w:sz w:val="22"/>
          <w:szCs w:val="22"/>
          <w:u w:val="single"/>
        </w:rPr>
        <w:t xml:space="preserve">. seč 2022 bez DPH:    </w:t>
      </w:r>
      <w:r>
        <w:rPr>
          <w:rFonts w:ascii="Arial" w:hAnsi="Arial" w:cs="Arial"/>
          <w:sz w:val="22"/>
          <w:szCs w:val="22"/>
          <w:u w:val="single"/>
        </w:rPr>
        <w:t xml:space="preserve">     50.000,00</w:t>
      </w:r>
      <w:r w:rsidRPr="005978F4">
        <w:rPr>
          <w:rFonts w:ascii="Arial" w:hAnsi="Arial" w:cs="Arial"/>
          <w:sz w:val="22"/>
          <w:szCs w:val="22"/>
          <w:u w:val="single"/>
        </w:rPr>
        <w:t xml:space="preserve"> Kč</w:t>
      </w:r>
    </w:p>
    <w:p w:rsidR="0048226C" w:rsidRDefault="0048226C" w:rsidP="0048226C">
      <w:pPr>
        <w:ind w:firstLine="360"/>
        <w:jc w:val="both"/>
        <w:rPr>
          <w:rFonts w:ascii="Arial" w:hAnsi="Arial" w:cs="Arial"/>
          <w:b/>
          <w:sz w:val="22"/>
          <w:szCs w:val="22"/>
        </w:rPr>
      </w:pPr>
      <w:bookmarkStart w:id="2" w:name="_Hlk67572355"/>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t xml:space="preserve">           198.000,00</w:t>
      </w:r>
      <w:r w:rsidRPr="00A248F5">
        <w:rPr>
          <w:rFonts w:ascii="Arial" w:hAnsi="Arial" w:cs="Arial"/>
          <w:b/>
          <w:sz w:val="22"/>
          <w:szCs w:val="22"/>
        </w:rPr>
        <w:t xml:space="preserve"> Kč</w:t>
      </w:r>
    </w:p>
    <w:p w:rsidR="0048226C" w:rsidRPr="00386410" w:rsidRDefault="0048226C" w:rsidP="0048226C">
      <w:pPr>
        <w:ind w:firstLine="360"/>
        <w:jc w:val="both"/>
        <w:rPr>
          <w:rFonts w:ascii="Arial" w:hAnsi="Arial" w:cs="Arial"/>
          <w:sz w:val="22"/>
          <w:szCs w:val="22"/>
        </w:rPr>
      </w:pPr>
      <w:r>
        <w:rPr>
          <w:rFonts w:ascii="Arial" w:hAnsi="Arial" w:cs="Arial"/>
          <w:sz w:val="22"/>
          <w:szCs w:val="22"/>
        </w:rPr>
        <w:t>Vyčíslení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41.580,00 Kč</w:t>
      </w:r>
    </w:p>
    <w:p w:rsidR="0048226C" w:rsidRPr="00683133" w:rsidRDefault="0048226C" w:rsidP="0048226C">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A248F5">
        <w:rPr>
          <w:rFonts w:ascii="Arial" w:hAnsi="Arial" w:cs="Arial"/>
          <w:b/>
          <w:sz w:val="22"/>
          <w:szCs w:val="22"/>
          <w:u w:val="single"/>
        </w:rPr>
        <w:t xml:space="preserve">                    </w:t>
      </w:r>
      <w:r>
        <w:rPr>
          <w:rFonts w:ascii="Arial" w:hAnsi="Arial" w:cs="Arial"/>
          <w:b/>
          <w:sz w:val="22"/>
          <w:szCs w:val="22"/>
          <w:u w:val="single"/>
        </w:rPr>
        <w:t xml:space="preserve">   239.580,00 </w:t>
      </w:r>
      <w:r w:rsidRPr="00683133">
        <w:rPr>
          <w:rFonts w:ascii="Arial" w:hAnsi="Arial" w:cs="Arial"/>
          <w:b/>
          <w:sz w:val="22"/>
          <w:szCs w:val="22"/>
          <w:u w:val="single"/>
        </w:rPr>
        <w:t>Kč s DPH</w:t>
      </w:r>
    </w:p>
    <w:bookmarkEnd w:id="2"/>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2C24A4">
        <w:rPr>
          <w:rFonts w:ascii="Arial" w:hAnsi="Arial" w:cs="Arial"/>
          <w:b/>
          <w:i w:val="0"/>
          <w:color w:val="auto"/>
          <w:sz w:val="22"/>
          <w:szCs w:val="22"/>
        </w:rPr>
        <w:t>………………..</w:t>
      </w:r>
    </w:p>
    <w:p w:rsidR="0079147E" w:rsidRPr="006643C5" w:rsidRDefault="0079147E" w:rsidP="0079147E"/>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lastRenderedPageBreak/>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E91B96"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E91B96" w:rsidRDefault="00E91B96" w:rsidP="00E91B96">
      <w:pPr>
        <w:pStyle w:val="Odstavecseseznamem"/>
        <w:rPr>
          <w:b/>
        </w:rPr>
      </w:pPr>
    </w:p>
    <w:p w:rsidR="00366AFA" w:rsidRDefault="00366AFA" w:rsidP="00E91B96">
      <w:pPr>
        <w:pStyle w:val="Odstavecseseznamem"/>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5978F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9450C5">
        <w:rPr>
          <w:rFonts w:ascii="Arial" w:hAnsi="Arial" w:cs="Arial"/>
          <w:sz w:val="22"/>
          <w:szCs w:val="22"/>
        </w:rPr>
        <w:lastRenderedPageBreak/>
        <w:t xml:space="preserve">vodoprávnímu úřadu a objednateli. Nepřetržitá služba pro příjem hlášení havárií je zajišťována u Povodí Ohře, s. p., na odboru VH-dispečinku, tel. </w:t>
      </w:r>
      <w:r w:rsidR="002C24A4">
        <w:rPr>
          <w:rFonts w:ascii="Arial" w:hAnsi="Arial" w:cs="Arial"/>
          <w:sz w:val="22"/>
          <w:szCs w:val="22"/>
        </w:rPr>
        <w:t>……………..</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7D516F">
        <w:rPr>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5978F4" w:rsidRPr="00454D43" w:rsidRDefault="005978F4" w:rsidP="002D1039">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keepNext/>
        <w:jc w:val="both"/>
        <w:rPr>
          <w:rFonts w:ascii="Arial" w:hAnsi="Arial" w:cs="Arial"/>
          <w:sz w:val="22"/>
          <w:szCs w:val="22"/>
        </w:rPr>
      </w:pPr>
    </w:p>
    <w:p w:rsidR="0048226C" w:rsidRPr="00432702" w:rsidRDefault="0048226C" w:rsidP="0048226C">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w:t>
      </w:r>
      <w:r w:rsidRPr="00432702">
        <w:rPr>
          <w:rFonts w:cs="Arial"/>
          <w:sz w:val="22"/>
          <w:szCs w:val="22"/>
        </w:rPr>
        <w:tab/>
      </w:r>
      <w:r w:rsidRPr="00432702">
        <w:rPr>
          <w:rFonts w:cs="Arial"/>
          <w:sz w:val="22"/>
          <w:szCs w:val="22"/>
        </w:rPr>
        <w:tab/>
      </w:r>
      <w:r w:rsidRPr="00432702">
        <w:rPr>
          <w:rFonts w:cs="Arial"/>
          <w:sz w:val="22"/>
          <w:szCs w:val="22"/>
        </w:rPr>
        <w:tab/>
        <w:t>……………………………………</w:t>
      </w:r>
    </w:p>
    <w:p w:rsidR="0048226C" w:rsidRPr="00432702" w:rsidRDefault="0048226C" w:rsidP="0048226C">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oprávněný zástupce objednatele</w:t>
      </w:r>
      <w:r w:rsidRPr="00432702">
        <w:rPr>
          <w:rFonts w:cs="Arial"/>
          <w:sz w:val="22"/>
          <w:szCs w:val="22"/>
        </w:rPr>
        <w:tab/>
      </w:r>
      <w:r w:rsidRPr="00432702">
        <w:rPr>
          <w:rFonts w:cs="Arial"/>
          <w:sz w:val="22"/>
          <w:szCs w:val="22"/>
        </w:rPr>
        <w:tab/>
      </w:r>
      <w:r w:rsidRPr="00432702">
        <w:rPr>
          <w:rFonts w:cs="Arial"/>
          <w:sz w:val="22"/>
          <w:szCs w:val="22"/>
        </w:rPr>
        <w:tab/>
      </w:r>
      <w:r>
        <w:rPr>
          <w:rFonts w:cs="Arial"/>
          <w:sz w:val="22"/>
          <w:szCs w:val="22"/>
        </w:rPr>
        <w:t>zhotovitel</w:t>
      </w:r>
    </w:p>
    <w:p w:rsidR="0048226C" w:rsidRPr="00432702" w:rsidRDefault="0048226C" w:rsidP="0048226C">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ab/>
      </w:r>
      <w:r w:rsidRPr="00432702">
        <w:rPr>
          <w:rFonts w:cs="Arial"/>
          <w:sz w:val="22"/>
          <w:szCs w:val="22"/>
        </w:rPr>
        <w:tab/>
      </w:r>
      <w:r w:rsidRPr="00432702">
        <w:rPr>
          <w:rFonts w:cs="Arial"/>
          <w:sz w:val="22"/>
          <w:szCs w:val="22"/>
        </w:rPr>
        <w:tab/>
      </w:r>
      <w:r w:rsidRPr="00432702">
        <w:rPr>
          <w:rFonts w:cs="Arial"/>
          <w:sz w:val="22"/>
          <w:szCs w:val="22"/>
        </w:rPr>
        <w:tab/>
      </w:r>
      <w:r w:rsidR="002C24A4">
        <w:rPr>
          <w:rFonts w:cs="Arial"/>
          <w:sz w:val="22"/>
          <w:szCs w:val="22"/>
        </w:rPr>
        <w:tab/>
      </w:r>
      <w:r w:rsidR="002C24A4">
        <w:rPr>
          <w:rFonts w:cs="Arial"/>
          <w:sz w:val="22"/>
          <w:szCs w:val="22"/>
        </w:rPr>
        <w:tab/>
      </w:r>
      <w:r w:rsidR="002C24A4">
        <w:rPr>
          <w:rFonts w:cs="Arial"/>
          <w:sz w:val="22"/>
          <w:szCs w:val="22"/>
        </w:rPr>
        <w:tab/>
      </w:r>
      <w:bookmarkStart w:id="3" w:name="_GoBack"/>
      <w:bookmarkEnd w:id="3"/>
      <w:r w:rsidRPr="001C4B2C">
        <w:rPr>
          <w:rFonts w:cs="Arial"/>
          <w:sz w:val="22"/>
          <w:szCs w:val="22"/>
        </w:rPr>
        <w:t>Marek Klofáč</w:t>
      </w:r>
    </w:p>
    <w:p w:rsidR="0048226C" w:rsidRDefault="0048226C" w:rsidP="0048226C">
      <w:pPr>
        <w:pStyle w:val="Zkladntext"/>
        <w:keepNext/>
        <w:widowControl/>
        <w:tabs>
          <w:tab w:val="left" w:pos="360"/>
        </w:tabs>
        <w:jc w:val="both"/>
        <w:rPr>
          <w:rFonts w:cs="Arial"/>
          <w:sz w:val="22"/>
          <w:szCs w:val="22"/>
        </w:rPr>
      </w:pPr>
      <w:r>
        <w:rPr>
          <w:rFonts w:cs="Arial"/>
          <w:sz w:val="22"/>
          <w:szCs w:val="22"/>
        </w:rPr>
        <w:tab/>
      </w:r>
      <w:r>
        <w:rPr>
          <w:rFonts w:cs="Arial"/>
          <w:sz w:val="22"/>
          <w:szCs w:val="22"/>
        </w:rPr>
        <w:tab/>
      </w:r>
      <w:r>
        <w:rPr>
          <w:rFonts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446" w:rsidRDefault="00111446">
      <w:r>
        <w:separator/>
      </w:r>
    </w:p>
  </w:endnote>
  <w:endnote w:type="continuationSeparator" w:id="0">
    <w:p w:rsidR="00111446" w:rsidRDefault="001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446" w:rsidRDefault="00111446">
      <w:r>
        <w:separator/>
      </w:r>
    </w:p>
  </w:footnote>
  <w:footnote w:type="continuationSeparator" w:id="0">
    <w:p w:rsidR="00111446" w:rsidRDefault="0011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3"/>
  </w:num>
  <w:num w:numId="4">
    <w:abstractNumId w:val="29"/>
  </w:num>
  <w:num w:numId="5">
    <w:abstractNumId w:val="31"/>
  </w:num>
  <w:num w:numId="6">
    <w:abstractNumId w:val="22"/>
  </w:num>
  <w:num w:numId="7">
    <w:abstractNumId w:val="23"/>
  </w:num>
  <w:num w:numId="8">
    <w:abstractNumId w:val="26"/>
  </w:num>
  <w:num w:numId="9">
    <w:abstractNumId w:val="13"/>
  </w:num>
  <w:num w:numId="10">
    <w:abstractNumId w:val="35"/>
  </w:num>
  <w:num w:numId="11">
    <w:abstractNumId w:val="5"/>
  </w:num>
  <w:num w:numId="12">
    <w:abstractNumId w:val="36"/>
  </w:num>
  <w:num w:numId="13">
    <w:abstractNumId w:val="28"/>
  </w:num>
  <w:num w:numId="14">
    <w:abstractNumId w:val="1"/>
  </w:num>
  <w:num w:numId="15">
    <w:abstractNumId w:val="25"/>
  </w:num>
  <w:num w:numId="16">
    <w:abstractNumId w:val="19"/>
  </w:num>
  <w:num w:numId="17">
    <w:abstractNumId w:val="34"/>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
  </w:num>
  <w:num w:numId="41">
    <w:abstractNumId w:val="10"/>
  </w:num>
  <w:num w:numId="42">
    <w:abstractNumId w:val="9"/>
  </w:num>
  <w:num w:numId="43">
    <w:abstractNumId w:val="9"/>
  </w:num>
  <w:num w:numId="44">
    <w:abstractNumId w:val="9"/>
  </w:num>
  <w:num w:numId="45">
    <w:abstractNumId w:val="16"/>
  </w:num>
  <w:num w:numId="46">
    <w:abstractNumId w:val="8"/>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1446"/>
    <w:rsid w:val="00114CFD"/>
    <w:rsid w:val="00115540"/>
    <w:rsid w:val="00123974"/>
    <w:rsid w:val="00123B05"/>
    <w:rsid w:val="00133429"/>
    <w:rsid w:val="001431E3"/>
    <w:rsid w:val="00145445"/>
    <w:rsid w:val="00147B93"/>
    <w:rsid w:val="00151C33"/>
    <w:rsid w:val="00152D2A"/>
    <w:rsid w:val="001556E2"/>
    <w:rsid w:val="00161861"/>
    <w:rsid w:val="0018631C"/>
    <w:rsid w:val="00191A3B"/>
    <w:rsid w:val="001B036C"/>
    <w:rsid w:val="001B07ED"/>
    <w:rsid w:val="001B6B5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24A4"/>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66AFA"/>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0D78"/>
    <w:rsid w:val="004237EB"/>
    <w:rsid w:val="004258CF"/>
    <w:rsid w:val="004263A6"/>
    <w:rsid w:val="004306A9"/>
    <w:rsid w:val="00431AB2"/>
    <w:rsid w:val="004335FB"/>
    <w:rsid w:val="004372A1"/>
    <w:rsid w:val="00437893"/>
    <w:rsid w:val="004433D8"/>
    <w:rsid w:val="004511E9"/>
    <w:rsid w:val="00451D8C"/>
    <w:rsid w:val="00454D43"/>
    <w:rsid w:val="00466A78"/>
    <w:rsid w:val="004765B5"/>
    <w:rsid w:val="0048226C"/>
    <w:rsid w:val="00492DC3"/>
    <w:rsid w:val="004943EB"/>
    <w:rsid w:val="004A2984"/>
    <w:rsid w:val="004B1199"/>
    <w:rsid w:val="004B2043"/>
    <w:rsid w:val="004D4A5E"/>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978F4"/>
    <w:rsid w:val="005A52EE"/>
    <w:rsid w:val="005A58B1"/>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915A8"/>
    <w:rsid w:val="006A302C"/>
    <w:rsid w:val="006C4B77"/>
    <w:rsid w:val="006C64E2"/>
    <w:rsid w:val="006D29A4"/>
    <w:rsid w:val="006D4CF2"/>
    <w:rsid w:val="006D6504"/>
    <w:rsid w:val="006E5F9A"/>
    <w:rsid w:val="006F41C0"/>
    <w:rsid w:val="007111BD"/>
    <w:rsid w:val="00714263"/>
    <w:rsid w:val="00734FF3"/>
    <w:rsid w:val="00740AD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603D"/>
    <w:rsid w:val="00946CB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27EDB"/>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D3761"/>
    <w:rsid w:val="00AE6E47"/>
    <w:rsid w:val="00AF0169"/>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A6EB0"/>
    <w:rsid w:val="00DC10D8"/>
    <w:rsid w:val="00DC32B3"/>
    <w:rsid w:val="00DC579B"/>
    <w:rsid w:val="00DC6ACE"/>
    <w:rsid w:val="00DD0E1B"/>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1B96"/>
    <w:rsid w:val="00E95E53"/>
    <w:rsid w:val="00E97587"/>
    <w:rsid w:val="00EA48DE"/>
    <w:rsid w:val="00EA6E4C"/>
    <w:rsid w:val="00EB418C"/>
    <w:rsid w:val="00EB6A5C"/>
    <w:rsid w:val="00ED1285"/>
    <w:rsid w:val="00ED1664"/>
    <w:rsid w:val="00ED2006"/>
    <w:rsid w:val="00ED24D8"/>
    <w:rsid w:val="00ED33E2"/>
    <w:rsid w:val="00EE43D6"/>
    <w:rsid w:val="00EF1AB7"/>
    <w:rsid w:val="00EF1E4B"/>
    <w:rsid w:val="00EF2804"/>
    <w:rsid w:val="00EF744B"/>
    <w:rsid w:val="00F05460"/>
    <w:rsid w:val="00F072C5"/>
    <w:rsid w:val="00F22DC0"/>
    <w:rsid w:val="00F24E79"/>
    <w:rsid w:val="00F25381"/>
    <w:rsid w:val="00F27BE3"/>
    <w:rsid w:val="00F352E0"/>
    <w:rsid w:val="00F52D0A"/>
    <w:rsid w:val="00F54D46"/>
    <w:rsid w:val="00F5552E"/>
    <w:rsid w:val="00F67B02"/>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BE73"/>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3BF1-5C8B-49BF-B77F-D2B44700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2255</Words>
  <Characters>13307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2021-04-20T12:05:00Z</dcterms:created>
  <dcterms:modified xsi:type="dcterms:W3CDTF">2021-04-20T12:06:00Z</dcterms:modified>
</cp:coreProperties>
</file>