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4632325</wp:posOffset>
                </wp:positionH>
                <wp:positionV relativeFrom="paragraph">
                  <wp:posOffset>12700</wp:posOffset>
                </wp:positionV>
                <wp:extent cx="1700530" cy="29273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053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Metrostav Infrastructure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Koželužská 2246/5, Libeň, 180 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4.75pt;margin-top:1.pt;width:133.90000000000001pt;height:23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Metrostav Infrastructure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Koželužská 2246/5, Libeň, 180 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Metrostav a. 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Koželužská 2450/4, Libeň, 180 00 Praha 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 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IČ:00090450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PSČ:586 01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6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 1. 9. 2020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6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Č.J.: MI/872/20/STE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Oznámení věřitelům a dlužníkům společnosti Metrostav a.s.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souladu s ustanovením § 2177 odst. 2 zákona č. 89/2012 Sb., občanský zákoník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„občanský zákoník")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si Vám tímto dovolujeme oznámit, že dne 25. 8. 2020 uzavřela společnost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Metrostav Infrastructure a.s.,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242 04 005, se sídlem Koželužská 2246/5, Libeň, 180 00, Praha 8, zapsaná v obchodním rejstříku vedeném Městským soudem v Praze pod sp. zn. B 17819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„Metrostav Infrastructure"),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jako kupující, se společností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Metrostav a.s.,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00014915, se sídlem Koželužská 2450/4, Libeň, 180 00 Praha 8, zapsanou v obchodním rejstříku vedeném Městským soudem v Praze pod sp. zn. B 758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„Metrostav"),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jako prodávajícím,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smlouvu o prodeji části závodu,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je prodej části závodu v podobě části organizačního útvaru společnosti Metrostav nazývaného „Divize 4".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7" w:val="left"/>
        </w:tabs>
        <w:bidi w:val="0"/>
        <w:spacing w:before="0" w:after="10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souladu s ustanovením § 2180 odst. 1 občanského zákoníku přechází vlastnické právo k části závodu na kupujícího dnem zveřejnění údaje o uložení dokladu o koupi závodu do sbírky listin obchodního rejstříku, ke kterému došlo dne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září 2020.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Metrostav Infrastructure patří stejně jako společnost Metrostav do koncernu „Skupina Metrostav". Převodem části závodu společnost Metrostav Infrastructure nabyla jmění, které náleží k převáděné části závodu. Došlo k přechodu práv a povinností, jakož i pohledávek a dluhů, které k části závodu náleží. Metrostav Infrastructure se tak stala věřitelem pohledávek a dlužníkem dluhů náležejících k převáděné části závodu, a to dnem 1. září 2020.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to, že společnost Metrostav Infrastructure vstoupila do všech platných právních vztahů týkajících se převáděné části závodu, zůstávají samozřejmě bez jakýchkoliv změn nadále platné a účinné veškeré smluvní vztahy, přičemž jejich smluvní stranou se stala Metrostav Infrastructure. Jedná se zejména, ne však výlučně, o smluvních vztahy s Vaší společností specifikované v příloze č. 1 tohoto oznámení.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7" w:val="left"/>
        </w:tabs>
        <w:bidi w:val="0"/>
        <w:spacing w:before="0" w:after="2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souvislosti s výše uvedeným si Vás tímto dovolujeme požádat, abyste adresovali veškerou korespondenci včetně faktur za období od 1. září 2020 na společnost Metrostav Infrastructure, a to na adresu jejího sídla Koželužská 2246/5, Libeň, 180 00 Praha 8. Zároveň uvádíme emailovou adresu pro doručování elektronických faktur vystavených na Metrostav Infrastructure: </w:t>
      </w:r>
      <w:r>
        <w:fldChar w:fldCharType="begin"/>
      </w:r>
      <w:r>
        <w:rPr/>
        <w:instrText> HYPERLINK "mailto:faktury@m-infra.cz"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faktury@m-infra.cz</w:t>
      </w:r>
      <w:r>
        <w:fldChar w:fldCharType="end"/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Oznamujeme Vám též číslo účtu Metrostav Infrastructure, a to 107-82140217/0100 s tím že na tento účet je potřebné provádět platby pohledávek ze smluvních vztahů s Vaší společností, jejichž věřitelem se na základě převodu části závodu stala Metrostav Infrastructure.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znění tohoto oznámení připojujeme pro informaci i pravidla pro vystavování řádných a opravných daňových dokladů, která jsou součástí přílohy č. 2.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budete mít jakékoliv dotazy, neváhejte se na nás kdykoliv obrátit, a to prostřednictvím pověřené osoby za Metrostav a Metrostav Infrastructure, kterou je: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člen představenstva a ekonomický náměstek Metrostav Infrastructure a.s.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za spolupráci a věříme, že budete ve spolupráci pokračovat i se společností Metrostav Infrastructure.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78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20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52" w:left="1338" w:right="1394" w:bottom="1786" w:header="924" w:footer="135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347345" distL="120650" distR="714375" simplePos="0" relativeHeight="125829380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ragraph">
                  <wp:posOffset>12700</wp:posOffset>
                </wp:positionV>
                <wp:extent cx="868680" cy="17970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868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Metrostav a.s.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849999999999994pt;margin-top:1.pt;width:68.400000000000006pt;height:14.15pt;z-index:-125829373;mso-wrap-distance-left:9.5pt;mso-wrap-distance-right:56.25pt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Metrostav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47345" distB="0" distL="114300" distR="114300" simplePos="0" relativeHeight="125829382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ragraph">
                  <wp:posOffset>360045</wp:posOffset>
                </wp:positionV>
                <wp:extent cx="1475105" cy="17970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510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předseda představenstva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4.349999999999994pt;margin-top:28.350000000000001pt;width:116.15000000000001pt;height:14.15pt;z-index:-125829371;mso-wrap-distance-left:9.pt;mso-wrap-distance-top:27.3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 představenstva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Metrostav á.s. </w:t>
      </w:r>
      <w:r>
        <w:rPr>
          <w:color w:val="2A2F64"/>
          <w:spacing w:val="0"/>
          <w:w w:val="100"/>
          <w:position w:val="0"/>
          <w:shd w:val="clear" w:color="auto" w:fill="auto"/>
          <w:lang w:val="cs-CZ" w:eastAsia="cs-CZ" w:bidi="cs-CZ"/>
        </w:rPr>
        <w:t>/</w:t>
      </w:r>
      <w:bookmarkEnd w:id="2"/>
      <w:bookmarkEnd w:id="3"/>
      <w:r>
        <w:rPr>
          <w:color w:val="2A2F64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rStyle w:val="CharStyle6"/>
          <w:b w:val="0"/>
          <w:bCs w:val="0"/>
        </w:rPr>
        <w:t>místopředseda představenstva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9" w:left="0" w:right="0" w:bottom="38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Metrostav Infrastructure a.s.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Metro^táv iWfrastriictjíire a.s.</w:t>
      </w:r>
      <w:bookmarkEnd w:id="6"/>
      <w:bookmarkEnd w:id="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27" w:lineRule="auto"/>
        <w:ind w:left="180" w:right="0" w:hanging="1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9" w:left="1453" w:right="3127" w:bottom="3869" w:header="0" w:footer="3" w:gutter="0"/>
          <w:cols w:num="2" w:space="173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místopředseda představenstva </w:t>
      </w:r>
      <w:r>
        <w:rPr>
          <w:color w:val="2A2F64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widowControl w:val="0"/>
        <w:spacing w:line="194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9" w:left="0" w:right="0" w:bottom="40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57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77" w:val="left"/>
        </w:tabs>
        <w:bidi w:val="0"/>
        <w:spacing w:before="0" w:after="120" w:line="257" w:lineRule="auto"/>
        <w:ind w:left="17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Přehled některých smluvních vztahů, do kterých od 1. září 2020 vstoupila v důsledku prodeje části závodu místo společnosti Metrostav a.s. společnost Metrostav Infrastructure a.s.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77" w:val="left"/>
        </w:tabs>
        <w:bidi w:val="0"/>
        <w:spacing w:before="0" w:after="120" w:line="240" w:lineRule="auto"/>
        <w:ind w:left="140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9" w:left="301" w:right="554" w:bottom="40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Pravidla pro vystavování řádných a opravných daňových dokladů</w:t>
      </w:r>
    </w:p>
    <w:tbl>
      <w:tblPr>
        <w:tblOverlap w:val="never"/>
        <w:jc w:val="center"/>
        <w:tblLayout w:type="fixed"/>
      </w:tblPr>
      <w:tblGrid>
        <w:gridCol w:w="1085"/>
        <w:gridCol w:w="744"/>
        <w:gridCol w:w="2472"/>
        <w:gridCol w:w="2438"/>
        <w:gridCol w:w="1666"/>
        <w:gridCol w:w="2640"/>
      </w:tblGrid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Číslo smlouvy Metrostav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Org. prvek Metrostav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Smluvní strana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Číslo smlouvy investora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Název zakázky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D4/71/2020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4007040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SNENÍ K DISPOZICI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Rámcová dohoda na realizaci oprav na silnicích II. a III. tříd v Kraji Vysočina 2020 - 2021, Část 1 Rámcová dohoda pro oblast okresu Havlíčkův Brod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D4/72/2020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4007040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#NENÍ K DISPOZICI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Rámcová dohoda na realizaci oprav na silnicích II. a III. tříd v Kraji Vysočina 2020 - 2021, Část 2 Rámcová dohoda pro oblast okresu Jihlava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D4/73/2020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4007040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#NENÍ K DISPOZICI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N-ST-1-2020-3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Rámcová dohoda na realizaci oprav na silnicích II. a III. tříd v Kraji Vysočina 2020 - 2021, Část 3 Rámcová dohoda pro oblast okresu Pelhřimov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D4/74/2020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4007040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#NENÍ K DISPOZICI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Rámcová dohoda na realizaci oprav na silnicích II. a III. tříd v Kraji Vysočina 2020 - 2021, Část 4 Rámcová dohoda pro oblast okresu Třebíč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D4/75/2020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4007040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#NENÍ K DISPOZICI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Rámcová dohoda na realizaci oprav na silnicích II. a III. tříd v Kraji Vysočina 2020 - 2021, Část 5 Rámcová dohoda pro oblast okresu Žďár nad Sázavou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D4/55/2020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4005070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#NEN(K DISPOZICI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N-ST-1-2020-5-7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11/390 Rozseč-Vidonín</w:t>
            </w:r>
          </w:p>
        </w:tc>
      </w:tr>
    </w:tbl>
    <w:p>
      <w:p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539" w:left="301" w:right="554" w:bottom="4069" w:header="0" w:footer="3641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Postup při vystavování daňových dokladů v souvislosti s převodem obchodního závodu mezi společnostmi Metrostav a.s. IČO 000 14 915, se sídlem Koželužská 2450/4, Libeň, 180 00 Praha 8 (dále jen „Převodce") a Metrostav Infrastructure a.s., IČO 242 04 005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30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Koželužská 2246/5, Libeň, 180 00 Praha 8 (dále jen „Nabyvatel")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Cílem tohoto shrnutí je upozornit na základní pravidla vystavování daňových dokladů v souladu se zákonem č. 235/2004 Sb., o dani z přidané hodnoty („ZDPH"), které se budou týkat činností souvisejících s převáděným obchodním závodem.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Rozhodujícím kritériem je datum uskutečnění zdanitelného plnění, a to i v případech, kdy jsou daňové doklady vystavovány po datu účinnosti převodu obchodního závodu. Bude-li se jednat o doklady odběratelské i dodavatelské ke smluvním vztahům, ve kterých bude vystupovat jako smluvní strana Převodce, měl by být použit následující postup:</w:t>
      </w: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286" w:val="left"/>
        </w:tabs>
        <w:bidi w:val="0"/>
        <w:spacing w:before="0" w:after="0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Doklady dodavatelské i odběratelské s DUZP do 31.8. včetně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6" w:val="lef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dokladech má být uveden název a DIČ společnosti Převodce, přestože budou fyzicky vystaveny případně i od 1.9. včetně</w:t>
      </w: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Doklady dodavatelské i odběratelské s DUZP od 1.9.</w:t>
      </w:r>
      <w:bookmarkEnd w:id="10"/>
      <w:bookmarkEnd w:id="1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dokladech bude uveden název a DIČ Nabyvatele</w:t>
      </w: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295" w:val="left"/>
        </w:tabs>
        <w:bidi w:val="0"/>
        <w:spacing w:before="0" w:after="0"/>
        <w:ind w:left="0" w:right="0" w:firstLine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Opravné daňové doklady vztahující se k opravě základu daně (typicky např. poskytnuté slevy, reklamace, obratové bonusy aj. podle § 42 ZDPH)</w:t>
      </w:r>
      <w:bookmarkEnd w:id="12"/>
      <w:bookmarkEnd w:id="1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 budou vztahovat k opravě základu daně u plnění dříve uskutečněných nebo přijatých společností Převodce (tj. před 1.9.), jsou považovány přesto za samostatné zdanitelné plnění následujících období. Pokud toto nastane v období od 1.9. včetně., budou již obsahovat název a DIČ Nabyvatele. Pouze odkazovat se budou na předchozí daňové doklady společnosti Převodce.</w:t>
      </w: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00" w:val="left"/>
        </w:tabs>
        <w:bidi w:val="0"/>
        <w:spacing w:before="0" w:after="0"/>
        <w:ind w:left="0" w:right="0" w:firstLine="0"/>
        <w:jc w:val="both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Opravné daňové doklady vztahující se k opravě výše daně (chyby, nesprávné sazby, apod.)</w:t>
      </w:r>
      <w:bookmarkEnd w:id="14"/>
      <w:bookmarkEnd w:id="15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6" w:val="lef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 budou vztahovat k opravě u plnění dříve uskutečněných nebo přijatých společností Převodce, je správným postupem podání dodatečného daňového přiznání a to i v období po převodu obchodního závodu. Na dokladech má být uveden název a DIČ společnosti Převodce.</w:t>
      </w: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00" w:val="left"/>
        </w:tabs>
        <w:bidi w:val="0"/>
        <w:spacing w:before="0" w:after="0" w:line="259" w:lineRule="auto"/>
        <w:ind w:left="0" w:right="0" w:firstLine="0"/>
        <w:jc w:val="both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Zálohy, platby přijaté předem</w:t>
      </w:r>
      <w:bookmarkEnd w:id="16"/>
      <w:bookmarkEnd w:id="17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6" w:val="left"/>
        </w:tabs>
        <w:bidi w:val="0"/>
        <w:spacing w:before="0" w:after="2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byla platba zaplacena před 1.9., na daňovém dokladu k přijaté platbě musí být uvedeny název a DIČ Převodce, i kdyby byl doklad vystaven až od 1.9. Nastane-li v těchto případech DUZP (a tedy „zúčtování zálohy") od 1.9., bude již konečný daňový doklad obsahovat název a DIČ Nabyvatele.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Chtěli bychom upozornit, že výše uvedené shrnutí nelze považovat za poskytnutí daňového poradenství a společnosti Převodce, ani společnosti Nabyvatele, nemůže vznikat z případné nesprávné aplikace zákona o dani z přidané hodnoty jakákoli odpovědnost. V praxi může dojít k řadě specifických situací a z tohoto důvodu doporučujeme kontaktovat vaše daňové oddělení.</w:t>
      </w:r>
    </w:p>
    <w:sectPr>
      <w:headerReference w:type="default" r:id="rId6"/>
      <w:footnotePr>
        <w:pos w:val="pageBottom"/>
        <w:numFmt w:val="decimal"/>
        <w:numRestart w:val="continuous"/>
      </w:footnotePr>
      <w:pgSz w:w="11900" w:h="16840"/>
      <w:pgMar w:top="2091" w:left="1342" w:right="1424" w:bottom="1944" w:header="1663" w:footer="151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212725</wp:posOffset>
              </wp:positionH>
              <wp:positionV relativeFrom="page">
                <wp:posOffset>407670</wp:posOffset>
              </wp:positionV>
              <wp:extent cx="381000" cy="6413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100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Příloha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6.75pt;margin-top:32.100000000000001pt;width:30.pt;height:5.0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6110605</wp:posOffset>
              </wp:positionH>
              <wp:positionV relativeFrom="page">
                <wp:posOffset>480695</wp:posOffset>
              </wp:positionV>
              <wp:extent cx="64135" cy="393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39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•x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81.14999999999998pt;margin-top:37.850000000000001pt;width:5.0499999999999998pt;height:3.10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•x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Základní text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Jiné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after="110"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line="262" w:lineRule="auto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after="110"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