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4632325</wp:posOffset>
                </wp:positionH>
                <wp:positionV relativeFrom="paragraph">
                  <wp:posOffset>12700</wp:posOffset>
                </wp:positionV>
                <wp:extent cx="1700530" cy="29273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0530" cy="292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Metrostav Infrastructure a.s.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Koželužská 2246/5, Libeň, 180 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4.75pt;margin-top:1.pt;width:133.90000000000001pt;height:23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Metrostav Infrastructure 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Koželužská 2246/5, Libeň, 180 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Metrostav a. 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Koželužská 2450/4, Libeň, 180 00 Praha 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Praha 8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IČ:00090450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PSČ:586 01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/>
        <w:ind w:left="6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 1. 9. 2020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/>
        <w:ind w:left="6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Č.J.: MI/872/20/STE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Oznámení věřitelům a dlužníkům společnosti Metrostav a.s.</w:t>
      </w:r>
      <w:bookmarkEnd w:id="0"/>
      <w:bookmarkEnd w:id="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souladu s ustanovením § 2177 odst. 2 zákona č. 89/2012 Sb., občanský zákoník 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„občanský zákoník")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si Vám tímto dovolujeme oznámit, že dne 25. 8. 2020 uzavřela společnost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Metrostav Infrastructure a.s.,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IČO 242 04 005, se sídlem Koželužská 2246/5, Libeň, 180 00, Praha 8, zapsaná v obchodním rejstříku vedeném Městským soudem v Praze pod sp. zn. B 17819 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„Metrostav Infrastructure"),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jako kupující, se společností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Metrostav a.s.,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IČO 00014915, se sídlem Koželužská 2450/4, Libeň, 180 00 Praha 8, zapsanou v obchodním rejstříku vedeném Městským soudem v Praze pod sp. zn. B 758 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„Metrostav"),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jako prodávajícím,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smlouvu o prodeji části závodu,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jejímž předmětem je prodej části závodu v podobě části organizačního útvaru společnosti Metrostav nazývaného „Divize 4".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57" w:val="left"/>
        </w:tabs>
        <w:bidi w:val="0"/>
        <w:spacing w:before="0" w:after="10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souladu s ustanovením § 2180 odst. 1 občanského zákoníku přechází vlastnické právo k části závodu na kupujícího dnem zveřejnění údaje o uložení dokladu o koupi závodu do sbírky listin obchodního rejstříku, ke kterému došlo dne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září 2020.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Metrostav Infrastructure patří stejně jako společnost Metrostav do koncernu „Skupina Metrostav". Převodem části závodu společnost Metrostav Infrastructure nabyla jmění, které náleží k převáděné části závodu. Došlo k přechodu práv a povinností, jakož i pohledávek a dluhů, které k části závodu náleží. Metrostav Infrastructure se tak stala věřitelem pohledávek a dlužníkem dluhů náležejících k převáděné části závodu, a to dnem 1. září 2020.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ohledem na to, že společnost Metrostav Infrastructure vstoupila do všech platných právních vztahů týkajících se převáděné části závodu, zůstávají samozřejmě bez jakýchkoliv změn nadále platné a účinné veškeré smluvní vztahy, přičemž jejich smluvní stranou se stala Metrostav Infrastructure. Jedná se zejména, ne však výlučně, o smluvních vztahy s Vaší společností specifikované v příloze č. 1 tohoto oznámení.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57" w:val="left"/>
        </w:tabs>
        <w:bidi w:val="0"/>
        <w:spacing w:before="0" w:after="26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souvislosti s výše uvedeným si Vás tímto dovolujeme požádat, abyste adresovali veškerou korespondenci včetně faktur za období od 1. září 2020 na společnost Metrostav Infrastructure, a to na adresu jejího sídla Koželužská 2246/5, Libeň, 180 00 Praha 8. Zároveň uvádíme emailovou adresu pro doručování elektronických faktur vystavených na Metrostav Infrastructure: </w:t>
      </w:r>
      <w:r>
        <w:fldChar w:fldCharType="begin"/>
      </w:r>
      <w:r>
        <w:rPr/>
        <w:instrText> HYPERLINK "mailto:faktury@m-infra.cz"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faktury@m-infra.cz</w:t>
      </w:r>
      <w:r>
        <w:fldChar w:fldCharType="end"/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Oznamujeme Vám též číslo účtu Metrostav Infrastructure, a to 107-82140217/0100 s tím že na tento účet je potřebné provádět platby pohledávek ze smluvních vztahů s Vaší společností, jejichž věřitelem se na základě převodu části závodu stala Metrostav Infrastructure.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znění tohoto oznámení připojujeme pro informaci i pravidla pro vystavování řádných a opravných daňových dokladů, která jsou součástí přílohy č. 2.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budete mít jakékoliv dotazy, neváhejte se na nás kdykoliv obrátit, a to prostřednictvím pověřené osoby za Metrostav a Metrostav Infrastructure, kterou je: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1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člen představenstva a ekonomický náměstek Metrostav Infrastructure a.s.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Děkujeme za spolupráci a věříme, že budete ve spolupráci pokračovat i se společností Metrostav Infrastructure.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78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204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352" w:left="1338" w:right="1394" w:bottom="1786" w:header="924" w:footer="1358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347345" distL="120650" distR="714375" simplePos="0" relativeHeight="12582938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ragraph">
                  <wp:posOffset>12700</wp:posOffset>
                </wp:positionV>
                <wp:extent cx="868680" cy="17970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868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Metrostav a.s.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4.849999999999994pt;margin-top:1.pt;width:68.400000000000006pt;height:14.15pt;z-index:-125829373;mso-wrap-distance-left:9.5pt;mso-wrap-distance-right:56.25pt;mso-wrap-distance-bottom:27.35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Metrostav a.s.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347345" distB="0" distL="114300" distR="114300" simplePos="0" relativeHeight="125829382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ragraph">
                  <wp:posOffset>360045</wp:posOffset>
                </wp:positionV>
                <wp:extent cx="1475105" cy="17970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510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předseda představenstva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4.349999999999994pt;margin-top:28.350000000000001pt;width:116.15000000000001pt;height:14.15pt;z-index:-125829371;mso-wrap-distance-left:9.pt;mso-wrap-distance-top:27.35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předseda představenstva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Metrostav á.s. </w:t>
      </w:r>
      <w:r>
        <w:rPr>
          <w:color w:val="2A2F64"/>
          <w:spacing w:val="0"/>
          <w:w w:val="100"/>
          <w:position w:val="0"/>
          <w:shd w:val="clear" w:color="auto" w:fill="auto"/>
          <w:lang w:val="cs-CZ" w:eastAsia="cs-CZ" w:bidi="cs-CZ"/>
        </w:rPr>
        <w:t>/</w:t>
      </w:r>
      <w:bookmarkEnd w:id="2"/>
      <w:bookmarkEnd w:id="3"/>
      <w:r>
        <w:rPr>
          <w:color w:val="2A2F64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rStyle w:val="CharStyle6"/>
          <w:b w:val="0"/>
          <w:bCs w:val="0"/>
        </w:rPr>
        <w:t>místopředseda představenstva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5" w:after="7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39" w:left="0" w:right="0" w:bottom="3869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Metrostav Infrastructure a.s.</w:t>
      </w:r>
      <w:bookmarkEnd w:id="4"/>
      <w:bookmarkEnd w:id="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představenstva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Metro^táv iWfrastriictjíire a.s.</w:t>
      </w:r>
      <w:bookmarkEnd w:id="6"/>
      <w:bookmarkEnd w:id="7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27" w:lineRule="auto"/>
        <w:ind w:left="180" w:right="0" w:hanging="1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39" w:left="1453" w:right="3127" w:bottom="3869" w:header="0" w:footer="3" w:gutter="0"/>
          <w:cols w:num="2" w:space="1733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místopředseda představenstva </w:t>
      </w:r>
      <w:r>
        <w:rPr>
          <w:color w:val="2A2F64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widowControl w:val="0"/>
        <w:spacing w:line="194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39" w:left="0" w:right="0" w:bottom="4069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0" w:line="257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77" w:val="left"/>
        </w:tabs>
        <w:bidi w:val="0"/>
        <w:spacing w:before="0" w:after="120" w:line="257" w:lineRule="auto"/>
        <w:ind w:left="176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Přehled některých smluvních vztahů, do kterých od 1. září 2020 vstoupila v důsledku prodeje části závodu místo společnosti Metrostav a.s. společnost Metrostav Infrastructure a.s.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77" w:val="left"/>
        </w:tabs>
        <w:bidi w:val="0"/>
        <w:spacing w:before="0" w:after="120" w:line="240" w:lineRule="auto"/>
        <w:ind w:left="140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39" w:left="301" w:right="554" w:bottom="406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Pravidla pro vystavování řádných a opravných daňových dokladů</w:t>
      </w:r>
    </w:p>
    <w:tbl>
      <w:tblPr>
        <w:tblOverlap w:val="never"/>
        <w:jc w:val="center"/>
        <w:tblLayout w:type="fixed"/>
      </w:tblPr>
      <w:tblGrid>
        <w:gridCol w:w="1085"/>
        <w:gridCol w:w="744"/>
        <w:gridCol w:w="2472"/>
        <w:gridCol w:w="2438"/>
        <w:gridCol w:w="1666"/>
        <w:gridCol w:w="2640"/>
      </w:tblGrid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Číslo smlouvy Metrostav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Org. prvek Metrostav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Smluvní strana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Číslo smlouvy investora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Název zakázky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D4/71/2020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4007040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SNENÍ K DISPOZICI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Rámcová dohoda na realizaci oprav na silnicích II. a III. tříd v Kraji Vysočina 2020 - 2021, Část 1 Rámcová dohoda pro oblast okresu Havlíčkův Brod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D4/72/2020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4007040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#NENÍ K DISPOZICI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Rámcová dohoda na realizaci oprav na silnicích II. a III. tříd v Kraji Vysočina 2020 - 2021, Část 2 Rámcová dohoda pro oblast okresu Jihlava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D4/73/2020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4007040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#NENÍ K DISPOZICI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N-ST-1-2020-3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Rámcová dohoda na realizaci oprav na silnicích II. a III. tříd v Kraji Vysočina 2020 - 2021, Část 3 Rámcová dohoda pro oblast okresu Pelhřimov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D4/74/2020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4007040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#NENÍ K DISPOZICI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Rámcová dohoda na realizaci oprav na silnicích II. a III. tříd v Kraji Vysočina 2020 - 2021, Část 4 Rámcová dohoda pro oblast okresu Třebíč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D4/75/2020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4007040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#NENÍ K DISPOZICI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Rámcová dohoda na realizaci oprav na silnicích II. a III. tříd v Kraji Vysočina 2020 - 2021, Část 5 Rámcová dohoda pro oblast okresu Žďár nad Sázavou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D4/55/2020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4005070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#NEN(K DISPOZICI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N-ST-1-2020-5-7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11/390 Rozseč-Vidonín</w:t>
            </w:r>
          </w:p>
        </w:tc>
      </w:tr>
    </w:tbl>
    <w:p>
      <w:p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539" w:left="301" w:right="554" w:bottom="4069" w:header="0" w:footer="3641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Postup při vystavování daňových dokladů v souvislosti s převodem obchodního závodu mezi společnostmi Metrostav a.s. IČO 000 14 915, se sídlem Koželužská 2450/4, Libeň, 180 00 Praha 8 (dále jen „Převodce") a Metrostav Infrastructure a.s., IČO 242 04 005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60" w:line="30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Koželužská 2246/5, Libeň, 180 00 Praha 8 (dále jen „Nabyvatel")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Cílem tohoto shrnutí je upozornit na základní pravidla vystavování daňových dokladů v souladu se zákonem č. 235/2004 Sb., o dani z přidané hodnoty („ZDPH"), které se budou týkat činností souvisejících s převáděným obchodním závodem.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Rozhodujícím kritériem je datum uskutečnění zdanitelného plnění, a to i v případech, kdy jsou daňové doklady vystavovány po datu účinnosti převodu obchodního závodu. Bude-li se jednat o doklady odběratelské i dodavatelské ke smluvním vztahům, ve kterých bude vystupovat jako smluvní strana Převodce, měl by být použit následující postup:</w:t>
      </w:r>
    </w:p>
    <w:p>
      <w:pPr>
        <w:pStyle w:val="Style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286" w:val="left"/>
        </w:tabs>
        <w:bidi w:val="0"/>
        <w:spacing w:before="0" w:after="0"/>
        <w:ind w:left="0" w:right="0" w:firstLine="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Doklady dodavatelské i odběratelské s DUZP do 31.8. včetně</w:t>
      </w:r>
      <w:bookmarkEnd w:id="8"/>
      <w:bookmarkEnd w:id="9"/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6" w:val="left"/>
        </w:tabs>
        <w:bidi w:val="0"/>
        <w:spacing w:before="0" w:after="2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dokladech má být uveden název a DIČ společnosti Převodce, přestože budou fyzicky vystaveny případně i od 1.9. včetně</w:t>
      </w:r>
    </w:p>
    <w:p>
      <w:pPr>
        <w:pStyle w:val="Style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295" w:val="left"/>
        </w:tabs>
        <w:bidi w:val="0"/>
        <w:spacing w:before="0" w:after="0"/>
        <w:ind w:left="0" w:right="0" w:firstLine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Doklady dodavatelské i odběratelské s DUZP od 1.9.</w:t>
      </w:r>
      <w:bookmarkEnd w:id="10"/>
      <w:bookmarkEnd w:id="1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dokladech bude uveden název a DIČ Nabyvatele</w:t>
      </w:r>
    </w:p>
    <w:p>
      <w:pPr>
        <w:pStyle w:val="Style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295" w:val="left"/>
        </w:tabs>
        <w:bidi w:val="0"/>
        <w:spacing w:before="0" w:after="0"/>
        <w:ind w:left="0" w:right="0" w:firstLine="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Opravné daňové doklady vztahující se k opravě základu daně (typicky např. poskytnuté slevy, reklamace, obratové bonusy aj. podle § 42 ZDPH)</w:t>
      </w:r>
      <w:bookmarkEnd w:id="12"/>
      <w:bookmarkEnd w:id="1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se budou vztahovat k opravě základu daně u plnění dříve uskutečněných nebo přijatých společností Převodce (tj. před 1.9.), jsou považovány přesto za samostatné zdanitelné plnění následujících období. Pokud toto nastane v období od 1.9. včetně., budou již obsahovat název a DIČ Nabyvatele. Pouze odkazovat se budou na předchozí daňové doklady společnosti Převodce.</w:t>
      </w:r>
    </w:p>
    <w:p>
      <w:pPr>
        <w:pStyle w:val="Style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00" w:val="left"/>
        </w:tabs>
        <w:bidi w:val="0"/>
        <w:spacing w:before="0" w:after="0"/>
        <w:ind w:left="0" w:right="0" w:firstLine="0"/>
        <w:jc w:val="both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Opravné daňové doklady vztahující se k opravě výše daně (chyby, nesprávné sazby, apod.)</w:t>
      </w:r>
      <w:bookmarkEnd w:id="14"/>
      <w:bookmarkEnd w:id="15"/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6" w:val="left"/>
        </w:tabs>
        <w:bidi w:val="0"/>
        <w:spacing w:before="0" w:after="2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se budou vztahovat k opravě u plnění dříve uskutečněných nebo přijatých společností Převodce, je správným postupem podání dodatečného daňového přiznání a to i v období po převodu obchodního závodu. Na dokladech má být uveden název a DIČ společnosti Převodce.</w:t>
      </w:r>
    </w:p>
    <w:p>
      <w:pPr>
        <w:pStyle w:val="Style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00" w:val="left"/>
        </w:tabs>
        <w:bidi w:val="0"/>
        <w:spacing w:before="0" w:after="0" w:line="259" w:lineRule="auto"/>
        <w:ind w:left="0" w:right="0" w:firstLine="0"/>
        <w:jc w:val="both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Zálohy, platby přijaté předem</w:t>
      </w:r>
      <w:bookmarkEnd w:id="16"/>
      <w:bookmarkEnd w:id="17"/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6" w:val="left"/>
        </w:tabs>
        <w:bidi w:val="0"/>
        <w:spacing w:before="0" w:after="26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byla platba zaplacena před 1.9., na daňovém dokladu k přijaté platbě musí být uvedeny název a DIČ Převodce, i kdyby byl doklad vystaven až od 1.9. Nastane-li v těchto případech DUZP (a tedy „zúčtování zálohy") od 1.9., bude již konečný daňový doklad obsahovat název a DIČ Nabyvatele.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Chtěli bychom upozornit, že výše uvedené shrnutí nelze považovat za poskytnutí daňového poradenství a společnosti Převodce, ani společnosti Nabyvatele, nemůže vznikat z případné nesprávné aplikace zákona o dani z přidané hodnoty jakákoli odpovědnost. V praxi může dojít k řadě specifických situací a z tohoto důvodu doporučujeme kontaktovat vaše daňové oddělení.</w:t>
      </w:r>
    </w:p>
    <w:sectPr>
      <w:headerReference w:type="default" r:id="rId6"/>
      <w:footnotePr>
        <w:pos w:val="pageBottom"/>
        <w:numFmt w:val="decimal"/>
        <w:numRestart w:val="continuous"/>
      </w:footnotePr>
      <w:pgSz w:w="11900" w:h="16840"/>
      <w:pgMar w:top="2091" w:left="1342" w:right="1424" w:bottom="1944" w:header="1663" w:footer="151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212725</wp:posOffset>
              </wp:positionH>
              <wp:positionV relativeFrom="page">
                <wp:posOffset>407670</wp:posOffset>
              </wp:positionV>
              <wp:extent cx="381000" cy="6413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1000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Příloha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16.75pt;margin-top:32.100000000000001pt;width:30.pt;height:5.0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6110605</wp:posOffset>
              </wp:positionH>
              <wp:positionV relativeFrom="page">
                <wp:posOffset>480695</wp:posOffset>
              </wp:positionV>
              <wp:extent cx="64135" cy="3937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39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•x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81.14999999999998pt;margin-top:37.850000000000001pt;width:5.0499999999999998pt;height:3.10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•x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V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Základní text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Nadpis #1_"/>
    <w:basedOn w:val="DefaultParagraphFont"/>
    <w:link w:val="Style8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Jiné_"/>
    <w:basedOn w:val="DefaultParagraphFont"/>
    <w:link w:val="Style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Záhlaví nebo zápatí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after="110" w:line="262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line="262" w:lineRule="auto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after="110" w:line="262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Záhlaví nebo zápatí (2)"/>
    <w:basedOn w:val="Normal"/>
    <w:link w:val="CharStyle1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