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4632325</wp:posOffset>
                </wp:positionH>
                <wp:positionV relativeFrom="paragraph">
                  <wp:posOffset>12700</wp:posOffset>
                </wp:positionV>
                <wp:extent cx="1700530" cy="29273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053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cs-CZ" w:eastAsia="cs-CZ" w:bidi="cs-CZ"/>
                              </w:rPr>
                              <w:t>Metrostav Infrastructure a.s.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Koželužská 2246/5, Libeň, 180 00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4.75pt;margin-top:1.pt;width:133.90000000000001pt;height:23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cs-CZ" w:eastAsia="cs-CZ" w:bidi="cs-CZ"/>
                        </w:rPr>
                        <w:t>Metrostav Infrastructure a.s.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Koželužská 2246/5, Libeň, 180 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Metrostav a. 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Koželužská 2450/4, Libeň, 180 00 Praha 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8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IČ:00090450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KOSOVSKÁ 1122/16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JIHLAVA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PSČ:586 01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6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Praze dne 1. 9. 2020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6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Č.J.: MI/872/20/STE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věřitelům a dlužníkům společnosti Metrostav a.s.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Vážení obchodní partneři,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souladu s ustanovením § 2177 odst. 2 zákona č. 89/2012 Sb., občanský zákoník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„občanský zákoník")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si Vám tímto dovolujeme oznámit, že dne 25. 8. 2020 uzavřela společnost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Metrostav Infrastructure a.s.,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IČO 242 04 005, se sídlem Koželužská 2246/5, Libeň, 180 00, Praha 8, zapsaná v obchodním rejstříku vedeném Městským soudem v Praze pod sp. zn. B 17819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„Metrostav Infrastructure"),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kupující, se společností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Metrostav a.s.,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IČO 00014915, se sídlem Koželužská 2450/4, Libeň, 180 00 Praha 8, zapsanou v obchodním rejstříku vedeném Městským soudem v Praze pod sp. zn. B 758 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„Metrostav"),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jako prodávajícím,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smlouvu o prodeji části závodu,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jejímž předmětem je prodej části závodu v podobě části organizačního útvaru společnosti Metrostav nazývaného „Divize 4".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after="1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souladu s ustanovením § 2180 odst. 1 občanského zákoníku přechází vlastnické právo k části závodu na kupujícího dnem zveřejnění údaje o uložení dokladu o koupi závodu do sbírky listin obchodního rejstříku, ke kterému došlo dne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září 2020.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Společnost Metrostav Infrastructure patří stejně jako společnost Metrostav do koncernu „Skupina Metrostav". Převodem části závodu společnost Metrostav Infrastructure nabyla jmění, které náleží k převáděné části závodu. Došlo k přechodu práv a povinností, jakož i pohledávek a dluhů, které k části závodu náleží. Metrostav Infrastructure se tak stala věřitelem pohledávek a dlužníkem dluhů náležejících k převáděné části závodu, a to dnem 1. září 2020.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ohledem na to, že společnost Metrostav Infrastructure vstoupila do všech platných právních vztahů týkajících se převáděné části závodu, zůstávají samozřejmě bez jakýchkoliv změn nadále platné a účinné veškeré smluvní vztahy, přičemž jejich smluvní stranou se stala Metrostav Infrastructure. Jedná se zejména, ne však výlučně, o smluvních vztahy s Vaší společností specifikované v příloze č. 1 tohoto oznámení.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7" w:val="left"/>
        </w:tabs>
        <w:bidi w:val="0"/>
        <w:spacing w:before="0" w:after="2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souvislosti s výše uvedeným si Vás tímto dovolujeme požádat, abyste adresovali veškerou korespondenci včetně faktur za období od 1. září 2020 na společnost Metrostav Infrastructure, a to na adresu jejího sídla Koželužská 2246/5, Libeň, 180 00 Praha 8. Zároveň uvádíme emailovou adresu pro doručování elektronických faktur vystavených na Metrostav Infrastructure: </w:t>
      </w:r>
      <w:r>
        <w:fldChar w:fldCharType="begin"/>
      </w:r>
      <w:r>
        <w:rPr/>
        <w:instrText> HYPERLINK "mailto:faktury@m-infra.cz"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faktury@m-infra.cz</w:t>
      </w:r>
      <w:r>
        <w:fldChar w:fldCharType="end"/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Oznamujeme Vám též číslo účtu Metrostav Infrastructure, a to 107-82140217/0100 s tím že na tento účet je potřebné provádět platby pohledávek ze smluvních vztahů s Vaší společností, jejichž věřitelem se na základě převodu části závodu stala Metrostav Infrastructure.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Ke znění tohoto oznámení připojujeme pro informaci i pravidla pro vystavování řádných a opravných daňových dokladů, která jsou součástí přílohy č. 2.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budete mít jakékoliv dotazy, neváhejte se na nás kdykoliv obrátit, a to prostřednictvím pověřené osoby za Metrostav a Metrostav Infrastructure, kterou je: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1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, člen představenstva a ekonomický náměstek Metrostav Infrastructure a.s.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Děkujeme za spolupráci a věříme, že budete ve spolupráci pokračovat i se společností Metrostav Infrastructure.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78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 pozdravem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20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52" w:left="1338" w:right="1394" w:bottom="1786" w:header="924" w:footer="135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347345" distL="120650" distR="714375" simplePos="0" relativeHeight="12582938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12700</wp:posOffset>
                </wp:positionV>
                <wp:extent cx="868680" cy="1797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Metrostav a.s.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74.849999999999994pt;margin-top:1.pt;width:68.400000000000006pt;height:14.15pt;z-index:-125829373;mso-wrap-distance-left:9.5pt;mso-wrap-distance-right:56.25pt;mso-wrap-distance-bottom:27.35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Metrostav a.s.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47345" distB="0" distL="114300" distR="114300" simplePos="0" relativeHeight="125829382" behindDoc="0" locked="0" layoutInCell="1" allowOverlap="1">
                <wp:simplePos x="0" y="0"/>
                <wp:positionH relativeFrom="page">
                  <wp:posOffset>944245</wp:posOffset>
                </wp:positionH>
                <wp:positionV relativeFrom="paragraph">
                  <wp:posOffset>360045</wp:posOffset>
                </wp:positionV>
                <wp:extent cx="1475105" cy="17970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5105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4.349999999999994pt;margin-top:28.350000000000001pt;width:116.15000000000001pt;height:14.15pt;z-index:-125829371;mso-wrap-distance-left:9.pt;mso-wrap-distance-top:27.35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předseda představenstva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Metrostav á.s. </w:t>
      </w:r>
      <w:r>
        <w:rPr>
          <w:color w:val="2A2F64"/>
          <w:spacing w:val="0"/>
          <w:w w:val="100"/>
          <w:position w:val="0"/>
          <w:shd w:val="clear" w:color="auto" w:fill="auto"/>
          <w:lang w:val="cs-CZ" w:eastAsia="cs-CZ" w:bidi="cs-CZ"/>
        </w:rPr>
        <w:t>/</w:t>
      </w:r>
      <w:bookmarkEnd w:id="2"/>
      <w:bookmarkEnd w:id="3"/>
      <w:r>
        <w:rPr>
          <w:color w:val="2A2F64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 </w:t>
      </w:r>
      <w:r>
        <w:rPr>
          <w:rStyle w:val="CharStyle6"/>
          <w:b w:val="0"/>
          <w:bCs w:val="0"/>
        </w:rPr>
        <w:t>místopředseda představenstva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5" w:after="7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9" w:left="0" w:right="0" w:bottom="38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Metrostav Infrastructure a.s.</w:t>
      </w:r>
      <w:bookmarkEnd w:id="4"/>
      <w:bookmarkEnd w:id="5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předseda představenstva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Metro^táv iWfrastriictjíire a.s.</w:t>
      </w:r>
      <w:bookmarkEnd w:id="6"/>
      <w:bookmarkEnd w:id="7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427" w:lineRule="auto"/>
        <w:ind w:left="180" w:right="0" w:hanging="1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9" w:left="1453" w:right="3127" w:bottom="3869" w:header="0" w:footer="3" w:gutter="0"/>
          <w:cols w:num="2" w:space="1733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místopředseda představenstva </w:t>
      </w:r>
      <w:r>
        <w:rPr>
          <w:color w:val="2A2F64"/>
          <w:spacing w:val="0"/>
          <w:w w:val="100"/>
          <w:position w:val="0"/>
          <w:shd w:val="clear" w:color="auto" w:fill="auto"/>
          <w:lang w:val="cs-CZ" w:eastAsia="cs-CZ" w:bidi="cs-CZ"/>
        </w:rPr>
        <w:t>V</w:t>
      </w:r>
    </w:p>
    <w:p>
      <w:pPr>
        <w:widowControl w:val="0"/>
        <w:spacing w:line="194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9" w:left="0" w:right="0" w:bottom="40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57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Přílohy: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7" w:val="left"/>
        </w:tabs>
        <w:bidi w:val="0"/>
        <w:spacing w:before="0" w:after="120" w:line="257" w:lineRule="auto"/>
        <w:ind w:left="176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Přehled některých smluvních vztahů, do kterých od 1. září 2020 vstoupila v důsledku prodeje části závodu místo společnosti Metrostav a.s. společnost Metrostav Infrastructure a.s.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777" w:val="left"/>
        </w:tabs>
        <w:bidi w:val="0"/>
        <w:spacing w:before="0" w:after="120" w:line="240" w:lineRule="auto"/>
        <w:ind w:left="14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39" w:left="301" w:right="554" w:bottom="406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Pravidla pro vystavování řádných a opravných daňových dokladů</w:t>
      </w:r>
    </w:p>
    <w:tbl>
      <w:tblPr>
        <w:tblOverlap w:val="never"/>
        <w:jc w:val="center"/>
        <w:tblLayout w:type="fixed"/>
      </w:tblPr>
      <w:tblGrid>
        <w:gridCol w:w="1085"/>
        <w:gridCol w:w="744"/>
        <w:gridCol w:w="2472"/>
        <w:gridCol w:w="2438"/>
        <w:gridCol w:w="1666"/>
        <w:gridCol w:w="2640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smlouvy Metrostav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Org. prvek Metrostav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Smluvní strana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IČ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Číslo smlouvy investora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Název zakázky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D4/71/2020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SNENÍ K DISPOZICI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Rámcová dohoda na realizaci oprav na silnicích II. a III. tříd v Kraji Vysočina 2020 - 2021, Část 1 Rámcová dohoda pro oblast okresu Havlíčkův Brod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D4/72/2020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#NENÍ K DISPOZICI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Rámcová dohoda na realizaci oprav na silnicích II. a III. tříd v Kraji Vysočina 2020 - 2021, Část 2 Rámcová dohoda pro oblast okresu Jihlava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D4/73/2020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#NENÍ K DISPOZICI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N-ST-1-2020-3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Rámcová dohoda na realizaci oprav na silnicích II. a III. tříd v Kraji Vysočina 2020 - 2021, Část 3 Rámcová dohoda pro oblast okresu Pelhřimov</w:t>
            </w:r>
          </w:p>
        </w:tc>
      </w:tr>
      <w:tr>
        <w:trPr>
          <w:trHeight w:val="7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D4/74/2020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#NENÍ K DISPOZICI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Rámcová dohoda na realizaci oprav na silnicích II. a III. tříd v Kraji Vysočina 2020 - 2021, Část 4 Rámcová dohoda pro oblast okresu Třebíč</w:t>
            </w: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D4/75/2020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4007040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#NENÍ K DISPOZICI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Rámcová dohoda na realizaci oprav na silnicích II. a III. tříd v Kraji Vysočina 2020 - 2021, Část 5 Rámcová dohoda pro oblast okresu Žďár nad Sázavou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D4/55/2020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4005070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Krajská správa a údržba silnic Vysočiny, příspěvková organizace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#NEN(K DISPOZICI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N-ST-1-2020-5-7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cs-CZ" w:eastAsia="cs-CZ" w:bidi="cs-CZ"/>
              </w:rPr>
              <w:t>11/390 Rozseč-Vidonín</w:t>
            </w:r>
          </w:p>
        </w:tc>
      </w:tr>
    </w:tbl>
    <w:p>
      <w:p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539" w:left="301" w:right="554" w:bottom="4069" w:header="0" w:footer="3641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2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Postup při vystavování daňových dokladů v souvislosti s převodem obchodního závodu mezi společnostmi Metrostav a.s. IČO 000 14 915, se sídlem Koželužská 2450/4, Libeň, 180 00 Praha 8 (dále jen „Převodce") a Metrostav Infrastructure a.s., IČO 242 04 005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560" w:line="302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Koželužská 2246/5, Libeň, 180 00 Praha 8 (dále jen „Nabyvatel")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Cílem tohoto shrnutí je upozornit na základní pravidla vystavování daňových dokladů v souladu se zákonem č. 235/2004 Sb., o dani z přidané hodnoty („ZDPH"), které se budou týkat činností souvisejících s převáděným obchodním závodem.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Rozhodujícím kritériem je datum uskutečnění zdanitelného plnění, a to i v případech, kdy jsou daňové doklady vystavovány po datu účinnosti převodu obchodního závodu. Bude-li se jednat o doklady odběratelské i dodavatelské ke smluvním vztahům, ve kterých bude vystupovat jako smluvní strana Převodce, měl by být použit následující postup:</w:t>
      </w:r>
    </w:p>
    <w:p>
      <w:pPr>
        <w:pStyle w:val="Style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before="0" w:after="0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Doklady dodavatelské i odběratelské s DUZP do 31.8. včetně</w:t>
      </w:r>
      <w:bookmarkEnd w:id="8"/>
      <w:bookmarkEnd w:id="9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6" w:val="lef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dokladech má být uveden název a DIČ společnosti Převodce, přestože budou fyzicky vystaveny případně i od 1.9. včetně</w:t>
      </w:r>
    </w:p>
    <w:p>
      <w:pPr>
        <w:pStyle w:val="Style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Doklady dodavatelské i odběratelské s DUZP od 1.9.</w:t>
      </w:r>
      <w:bookmarkEnd w:id="10"/>
      <w:bookmarkEnd w:id="1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dokladech bude uveden název a DIČ Nabyvatele</w:t>
      </w:r>
    </w:p>
    <w:p>
      <w:pPr>
        <w:pStyle w:val="Style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Opravné daňové doklady vztahující se k opravě základu daně (typicky např. poskytnuté slevy, reklamace, obratové bonusy aj. podle § 42 ZDPH)</w:t>
      </w:r>
      <w:bookmarkEnd w:id="12"/>
      <w:bookmarkEnd w:id="1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se budou vztahovat k opravě základu daně u plnění dříve uskutečněných nebo přijatých společností Převodce (tj. před 1.9.), jsou považovány přesto za samostatné zdanitelné plnění následujících období. Pokud toto nastane v období od 1.9. včetně., budou již obsahovat název a DIČ Nabyvatele. Pouze odkazovat se budou na předchozí daňové doklady společnosti Převodce.</w:t>
      </w:r>
    </w:p>
    <w:p>
      <w:pPr>
        <w:pStyle w:val="Style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00" w:val="left"/>
        </w:tabs>
        <w:bidi w:val="0"/>
        <w:spacing w:before="0" w:after="0"/>
        <w:ind w:left="0" w:right="0" w:firstLine="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Opravné daňové doklady vztahující se k opravě výše daně (chyby, nesprávné sazby, apod.)</w:t>
      </w:r>
      <w:bookmarkEnd w:id="14"/>
      <w:bookmarkEnd w:id="15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6" w:val="left"/>
        </w:tabs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se budou vztahovat k opravě u plnění dříve uskutečněných nebo přijatých společností Převodce, je správným postupem podání dodatečného daňového přiznání a to i v období po převodu obchodního závodu. Na dokladech má být uveden název a DIČ společnosti Převodce.</w:t>
      </w:r>
    </w:p>
    <w:p>
      <w:pPr>
        <w:pStyle w:val="Style8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00" w:val="left"/>
        </w:tabs>
        <w:bidi w:val="0"/>
        <w:spacing w:before="0" w:after="0" w:line="259" w:lineRule="auto"/>
        <w:ind w:left="0" w:right="0" w:firstLine="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Zálohy, platby přijaté předem</w:t>
      </w:r>
      <w:bookmarkEnd w:id="16"/>
      <w:bookmarkEnd w:id="17"/>
    </w:p>
    <w:p>
      <w:pPr>
        <w:pStyle w:val="Style5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56" w:val="left"/>
        </w:tabs>
        <w:bidi w:val="0"/>
        <w:spacing w:before="0" w:after="26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byla platba zaplacena před 1.9., na daňovém dokladu k přijaté platbě musí být uvedeny název a DIČ Převodce, i kdyby byl doklad vystaven až od 1.9. Nastane-li v těchto případech DUZP (a tedy „zúčtování zálohy") od 1.9., bude již konečný daňový doklad obsahovat název a DIČ Nabyvatele.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Chtěli bychom upozornit, že výše uvedené shrnutí nelze považovat za poskytnutí daňového poradenství a společnosti Převodce, ani společnosti Nabyvatele, nemůže vznikat z případné nesprávné aplikace zákona o dani z přidané hodnoty jakákoli odpovědnost. V praxi může dojít k řadě specifických situací a z tohoto důvodu doporučujeme kontaktovat vaše daňové oddělení.</w:t>
      </w:r>
    </w:p>
    <w:sectPr>
      <w:headerReference w:type="default" r:id="rId6"/>
      <w:footnotePr>
        <w:pos w:val="pageBottom"/>
        <w:numFmt w:val="decimal"/>
        <w:numRestart w:val="continuous"/>
      </w:footnotePr>
      <w:pgSz w:w="11900" w:h="16840"/>
      <w:pgMar w:top="2091" w:left="1342" w:right="1424" w:bottom="1944" w:header="1663" w:footer="1516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212725</wp:posOffset>
              </wp:positionH>
              <wp:positionV relativeFrom="page">
                <wp:posOffset>407670</wp:posOffset>
              </wp:positionV>
              <wp:extent cx="381000" cy="6413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100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cs-CZ" w:eastAsia="cs-CZ" w:bidi="cs-CZ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6.75pt;margin-top:32.100000000000001pt;width:30.pt;height:5.0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cs-CZ" w:eastAsia="cs-CZ" w:bidi="cs-CZ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6110605</wp:posOffset>
              </wp:positionH>
              <wp:positionV relativeFrom="page">
                <wp:posOffset>480695</wp:posOffset>
              </wp:positionV>
              <wp:extent cx="64135" cy="3937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393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cs-CZ" w:eastAsia="cs-CZ" w:bidi="cs-CZ"/>
                            </w:rPr>
                            <w:t>•x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81.14999999999998pt;margin-top:37.850000000000001pt;width:5.0499999999999998pt;height:3.10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cs-CZ" w:eastAsia="cs-CZ" w:bidi="cs-CZ"/>
                      </w:rPr>
                      <w:t>•x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V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dpis #1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Jiné_"/>
    <w:basedOn w:val="DefaultParagraphFont"/>
    <w:link w:val="Style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Záhlaví nebo zápatí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FFFFFF"/>
      <w:spacing w:after="110" w:line="26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spacing w:line="262" w:lineRule="auto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FFFFFF"/>
      <w:spacing w:after="110" w:line="262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Záhlaví nebo zápatí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