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6E" w:rsidRDefault="00ED116E">
      <w:pPr>
        <w:pStyle w:val="Zkladntext"/>
        <w:framePr w:w="293" w:h="283" w:wrap="none" w:vAnchor="text" w:hAnchor="margin" w:x="11" w:y="87"/>
        <w:shd w:val="clear" w:color="auto" w:fill="auto"/>
        <w:spacing w:after="0" w:line="240" w:lineRule="auto"/>
        <w:jc w:val="left"/>
      </w:pPr>
    </w:p>
    <w:p w:rsidR="00ED116E" w:rsidRDefault="00ED116E" w:rsidP="00B35169">
      <w:pPr>
        <w:pStyle w:val="Zkladntext"/>
        <w:framePr w:w="336" w:h="370" w:wrap="none" w:vAnchor="text" w:hAnchor="margin" w:x="2" w:y="443"/>
        <w:shd w:val="clear" w:color="auto" w:fill="auto"/>
        <w:spacing w:after="0" w:line="240" w:lineRule="auto"/>
        <w:jc w:val="left"/>
      </w:pPr>
    </w:p>
    <w:p w:rsidR="00ED116E" w:rsidRDefault="00ED116E">
      <w:pPr>
        <w:pStyle w:val="Zkladntext"/>
        <w:framePr w:w="672" w:h="274" w:wrap="none" w:vAnchor="text" w:hAnchor="margin" w:x="39" w:y="812"/>
        <w:shd w:val="clear" w:color="auto" w:fill="auto"/>
        <w:spacing w:after="0" w:line="101" w:lineRule="exact"/>
        <w:jc w:val="right"/>
      </w:pPr>
    </w:p>
    <w:p w:rsidR="00ED116E" w:rsidRDefault="005A3B9B">
      <w:pPr>
        <w:pStyle w:val="Zkladntext"/>
        <w:framePr w:w="1666" w:h="283" w:wrap="none" w:vAnchor="text" w:hAnchor="margin" w:x="4028" w:y="4033"/>
        <w:shd w:val="clear" w:color="auto" w:fill="auto"/>
        <w:spacing w:after="0" w:line="240" w:lineRule="auto"/>
        <w:jc w:val="left"/>
      </w:pPr>
      <w:r>
        <w:rPr>
          <w:b/>
          <w:bCs/>
        </w:rPr>
        <w:t>SMLOUVA O DÍLO</w:t>
      </w: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360" w:lineRule="exact"/>
      </w:pPr>
    </w:p>
    <w:p w:rsidR="00ED116E" w:rsidRDefault="00ED116E">
      <w:pPr>
        <w:spacing w:line="715" w:lineRule="exact"/>
      </w:pPr>
    </w:p>
    <w:p w:rsidR="00ED116E" w:rsidRDefault="00ED116E">
      <w:pPr>
        <w:spacing w:line="14" w:lineRule="exact"/>
        <w:sectPr w:rsidR="00ED116E">
          <w:headerReference w:type="default" r:id="rId7"/>
          <w:pgSz w:w="11900" w:h="16840"/>
          <w:pgMar w:top="1111" w:right="965" w:bottom="5432" w:left="888" w:header="0" w:footer="3" w:gutter="0"/>
          <w:cols w:space="720"/>
          <w:noEndnote/>
          <w:docGrid w:linePitch="360"/>
        </w:sect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line="240" w:lineRule="exact"/>
        <w:rPr>
          <w:sz w:val="19"/>
          <w:szCs w:val="19"/>
        </w:rPr>
      </w:pPr>
    </w:p>
    <w:p w:rsidR="00ED116E" w:rsidRDefault="00ED116E">
      <w:pPr>
        <w:spacing w:before="3" w:after="3" w:line="240" w:lineRule="exact"/>
        <w:rPr>
          <w:sz w:val="19"/>
          <w:szCs w:val="19"/>
        </w:rPr>
      </w:pPr>
    </w:p>
    <w:p w:rsidR="00ED116E" w:rsidRDefault="00ED116E">
      <w:pPr>
        <w:spacing w:line="14" w:lineRule="exact"/>
        <w:sectPr w:rsidR="00ED116E">
          <w:type w:val="continuous"/>
          <w:pgSz w:w="11900" w:h="16840"/>
          <w:pgMar w:top="1387" w:right="0" w:bottom="1140" w:left="0" w:header="0" w:footer="3" w:gutter="0"/>
          <w:cols w:space="720"/>
          <w:noEndnote/>
          <w:docGrid w:linePitch="360"/>
        </w:sectPr>
      </w:pPr>
    </w:p>
    <w:p w:rsidR="00ED116E" w:rsidRDefault="005A3B9B">
      <w:pPr>
        <w:pStyle w:val="Zkladntext"/>
        <w:shd w:val="clear" w:color="auto" w:fill="auto"/>
        <w:spacing w:after="660" w:line="240" w:lineRule="auto"/>
        <w:jc w:val="left"/>
      </w:pPr>
      <w:r>
        <w:t>uzavřená mezi</w:t>
      </w:r>
    </w:p>
    <w:p w:rsidR="00ED116E" w:rsidRDefault="005A3B9B">
      <w:pPr>
        <w:pStyle w:val="Zkladntext"/>
        <w:shd w:val="clear" w:color="auto" w:fill="auto"/>
        <w:spacing w:after="220" w:line="240" w:lineRule="auto"/>
        <w:jc w:val="left"/>
      </w:pPr>
      <w:r>
        <w:rPr>
          <w:b/>
          <w:bCs/>
        </w:rPr>
        <w:t xml:space="preserve">Výzkumným ústavem </w:t>
      </w:r>
      <w:r>
        <w:rPr>
          <w:b/>
          <w:bCs/>
        </w:rPr>
        <w:t xml:space="preserve">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ED116E" w:rsidRDefault="005A3B9B">
      <w:pPr>
        <w:pStyle w:val="Zkladntext"/>
        <w:shd w:val="clear" w:color="auto" w:fill="auto"/>
        <w:spacing w:after="220" w:line="240" w:lineRule="auto"/>
        <w:jc w:val="left"/>
      </w:pPr>
      <w:r>
        <w:t>a</w:t>
      </w:r>
    </w:p>
    <w:p w:rsidR="00ED116E" w:rsidRDefault="005A3B9B">
      <w:pPr>
        <w:pStyle w:val="Zkladntext"/>
        <w:shd w:val="clear" w:color="auto" w:fill="auto"/>
        <w:spacing w:after="0" w:line="240" w:lineRule="auto"/>
        <w:jc w:val="left"/>
        <w:sectPr w:rsidR="00ED116E">
          <w:type w:val="continuous"/>
          <w:pgSz w:w="11900" w:h="16840"/>
          <w:pgMar w:top="1387" w:right="1284" w:bottom="1140" w:left="1164" w:header="0" w:footer="3" w:gutter="0"/>
          <w:cols w:space="720"/>
          <w:noEndnote/>
          <w:docGrid w:linePitch="360"/>
        </w:sectPr>
      </w:pPr>
      <w:proofErr w:type="spellStart"/>
      <w:r>
        <w:rPr>
          <w:b/>
          <w:bCs/>
        </w:rPr>
        <w:t>Cattor</w:t>
      </w:r>
      <w:proofErr w:type="spellEnd"/>
      <w:r>
        <w:rPr>
          <w:b/>
          <w:bCs/>
        </w:rPr>
        <w:t xml:space="preserve"> s.r.o.</w:t>
      </w:r>
    </w:p>
    <w:p w:rsidR="00ED116E" w:rsidRDefault="005A3B9B">
      <w:pPr>
        <w:pStyle w:val="Heading20"/>
        <w:keepNext/>
        <w:keepLines/>
        <w:shd w:val="clear" w:color="auto" w:fill="auto"/>
        <w:spacing w:after="180" w:line="262" w:lineRule="auto"/>
        <w:jc w:val="both"/>
      </w:pPr>
      <w:bookmarkStart w:id="0" w:name="bookmark0"/>
      <w:r>
        <w:lastRenderedPageBreak/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0"/>
    </w:p>
    <w:p w:rsidR="00ED116E" w:rsidRDefault="005A3B9B">
      <w:pPr>
        <w:pStyle w:val="Zkladntext"/>
        <w:shd w:val="clear" w:color="auto" w:fill="auto"/>
        <w:spacing w:after="200" w:line="262" w:lineRule="auto"/>
      </w:pPr>
      <w:r>
        <w:t>se sídlem Přátelství 815, 104 00 Praha Uhříněves, IČO: 000 27 014, DIČ CZ00027014, registrovaná v rejstříku veřejných výzkumných institucí vedeném MŠMT</w:t>
      </w:r>
      <w:r>
        <w:t>, zastoupená doc. Ing. Petrem Homolkou, CSc., Ph.D., ředitelem</w:t>
      </w:r>
    </w:p>
    <w:p w:rsidR="00ED116E" w:rsidRDefault="005A3B9B">
      <w:pPr>
        <w:pStyle w:val="Zkladntext"/>
        <w:shd w:val="clear" w:color="auto" w:fill="auto"/>
        <w:spacing w:after="200" w:line="262" w:lineRule="auto"/>
      </w:pPr>
      <w:r>
        <w:t xml:space="preserve">(dále jen </w:t>
      </w:r>
      <w:r>
        <w:rPr>
          <w:b/>
          <w:bCs/>
        </w:rPr>
        <w:t>„objednatel")</w:t>
      </w:r>
    </w:p>
    <w:p w:rsidR="00ED116E" w:rsidRDefault="005A3B9B">
      <w:pPr>
        <w:pStyle w:val="Zkladntext"/>
        <w:shd w:val="clear" w:color="auto" w:fill="auto"/>
        <w:spacing w:after="180" w:line="262" w:lineRule="auto"/>
      </w:pPr>
      <w:r>
        <w:t>a</w:t>
      </w:r>
    </w:p>
    <w:p w:rsidR="00ED116E" w:rsidRDefault="005A3B9B">
      <w:pPr>
        <w:pStyle w:val="Heading20"/>
        <w:keepNext/>
        <w:keepLines/>
        <w:shd w:val="clear" w:color="auto" w:fill="auto"/>
        <w:spacing w:after="180" w:line="262" w:lineRule="auto"/>
        <w:jc w:val="both"/>
      </w:pPr>
      <w:bookmarkStart w:id="1" w:name="bookmark1"/>
      <w:proofErr w:type="spellStart"/>
      <w:r>
        <w:t>Cattor</w:t>
      </w:r>
      <w:proofErr w:type="spellEnd"/>
      <w:r>
        <w:t xml:space="preserve"> s.r.o.</w:t>
      </w:r>
      <w:bookmarkEnd w:id="1"/>
    </w:p>
    <w:p w:rsidR="00ED116E" w:rsidRDefault="005A3B9B">
      <w:pPr>
        <w:pStyle w:val="Zkladntext"/>
        <w:shd w:val="clear" w:color="auto" w:fill="auto"/>
        <w:spacing w:after="200"/>
      </w:pPr>
      <w:r>
        <w:t>se sídlem Praha 8 - Karlín, Sokolovská 366/84, PSČ 18600, IČO: 28530021, DIČ: CZ28530021, zapsaná v obchodním rejstříku vedeném</w:t>
      </w:r>
      <w:r>
        <w:t xml:space="preserve"> Městským soudem v Praze, </w:t>
      </w:r>
      <w:proofErr w:type="spellStart"/>
      <w:r>
        <w:t>sp</w:t>
      </w:r>
      <w:proofErr w:type="spellEnd"/>
      <w:r>
        <w:t>. zn. C 148286, zastoupená Petrem Křenkem, jednatelem</w:t>
      </w:r>
    </w:p>
    <w:p w:rsidR="00ED116E" w:rsidRDefault="005A3B9B">
      <w:pPr>
        <w:pStyle w:val="Zkladntext"/>
        <w:shd w:val="clear" w:color="auto" w:fill="auto"/>
        <w:spacing w:after="200" w:line="262" w:lineRule="auto"/>
      </w:pPr>
      <w:r>
        <w:t xml:space="preserve">(dále jen </w:t>
      </w:r>
      <w:r>
        <w:rPr>
          <w:b/>
          <w:bCs/>
        </w:rPr>
        <w:t>„zhotovitel")</w:t>
      </w:r>
    </w:p>
    <w:p w:rsidR="00ED116E" w:rsidRDefault="005A3B9B">
      <w:pPr>
        <w:pStyle w:val="Zkladntext"/>
        <w:shd w:val="clear" w:color="auto" w:fill="auto"/>
        <w:spacing w:after="180" w:line="266" w:lineRule="auto"/>
      </w:pPr>
      <w:r>
        <w:t xml:space="preserve">(objednatel a zhotovitel společně dále jen jako </w:t>
      </w:r>
      <w:r>
        <w:rPr>
          <w:b/>
          <w:bCs/>
        </w:rPr>
        <w:t xml:space="preserve">„smluvní strany" </w:t>
      </w:r>
      <w:r>
        <w:t xml:space="preserve">a každý jednotlivě jen jako </w:t>
      </w:r>
      <w:r>
        <w:rPr>
          <w:b/>
          <w:bCs/>
        </w:rPr>
        <w:t>„smluvní strana")</w:t>
      </w:r>
    </w:p>
    <w:p w:rsidR="00ED116E" w:rsidRDefault="005A3B9B">
      <w:pPr>
        <w:pStyle w:val="Zkladntext"/>
        <w:shd w:val="clear" w:color="auto" w:fill="auto"/>
        <w:spacing w:after="220" w:line="262" w:lineRule="auto"/>
      </w:pPr>
      <w:r>
        <w:t xml:space="preserve">se níže </w:t>
      </w:r>
      <w:r>
        <w:t>uvedeného dne, měsíce a roku dohodli takto: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"/>
        </w:tabs>
        <w:spacing w:after="100" w:line="262" w:lineRule="auto"/>
        <w:jc w:val="both"/>
      </w:pPr>
      <w:bookmarkStart w:id="2" w:name="bookmark2"/>
      <w:r>
        <w:t>ÚVODNÍ USTANOVENÍ</w:t>
      </w:r>
      <w:bookmarkEnd w:id="2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5"/>
        </w:tabs>
        <w:spacing w:after="100" w:line="262" w:lineRule="auto"/>
        <w:ind w:left="780" w:hanging="400"/>
      </w:pPr>
      <w:r>
        <w:t>Objednatel jakožto veřejný zadavatel provedl v souladu se směrnicí zadavatele č. S-5/2019 výběrové řízení na veřejnou zakázku „Revize elektroinstalací a elektrospotřebičů v roce 2021".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0"/>
        </w:tabs>
        <w:spacing w:after="220" w:line="262" w:lineRule="auto"/>
        <w:ind w:left="780" w:hanging="400"/>
      </w:pPr>
      <w:r>
        <w:t>Nabídka z</w:t>
      </w:r>
      <w:r>
        <w:t xml:space="preserve">hotovitele byla vyhodnocena jako nejvýhodnější a na jejím základě smluvní strany uzavírají tuto smlouvu o dílo podle ustanovení § 2586 a násl. zákona č. 89/2012 Sb., občanský zákoník, ve znění pozdějších předpisů (dále jen </w:t>
      </w:r>
      <w:r>
        <w:rPr>
          <w:b/>
          <w:bCs/>
        </w:rPr>
        <w:t xml:space="preserve">„občanský zákoník") </w:t>
      </w:r>
      <w:r>
        <w:t xml:space="preserve">(dále jen </w:t>
      </w:r>
      <w:r>
        <w:rPr>
          <w:b/>
          <w:bCs/>
        </w:rPr>
        <w:t>„sm</w:t>
      </w:r>
      <w:r>
        <w:rPr>
          <w:b/>
          <w:bCs/>
        </w:rPr>
        <w:t>louva").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"/>
        </w:tabs>
        <w:spacing w:after="100" w:line="262" w:lineRule="auto"/>
        <w:jc w:val="both"/>
      </w:pPr>
      <w:bookmarkStart w:id="3" w:name="bookmark3"/>
      <w:r>
        <w:t>ÚČEL SMLOUVY</w:t>
      </w:r>
      <w:bookmarkEnd w:id="3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5"/>
        </w:tabs>
        <w:spacing w:after="100" w:line="257" w:lineRule="auto"/>
        <w:ind w:left="780" w:hanging="400"/>
      </w:pPr>
      <w:r>
        <w:t xml:space="preserve">Účelem této smlouvy je zajištění řádného a včasného provádění pravidelných revizí elektroinstalací (dále jen </w:t>
      </w:r>
      <w:r>
        <w:rPr>
          <w:b/>
          <w:bCs/>
        </w:rPr>
        <w:t xml:space="preserve">„prvky elektro") </w:t>
      </w:r>
      <w:r>
        <w:t xml:space="preserve">v objektech objednatele (dále jen </w:t>
      </w:r>
      <w:r>
        <w:rPr>
          <w:b/>
          <w:bCs/>
        </w:rPr>
        <w:t xml:space="preserve">„objekty") </w:t>
      </w:r>
      <w:r>
        <w:t xml:space="preserve">(dále jen </w:t>
      </w:r>
      <w:r>
        <w:rPr>
          <w:b/>
          <w:bCs/>
        </w:rPr>
        <w:t>„dílo").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5"/>
        </w:tabs>
        <w:spacing w:after="220"/>
        <w:ind w:left="780" w:hanging="400"/>
      </w:pPr>
      <w:r>
        <w:t>Počet jednotlivých prvků elektro se může prů</w:t>
      </w:r>
      <w:r>
        <w:t>běžně v čase měnit a zhotovitel tak bere na vědomí, že bude revidovat vždy skutečný počet prvků elektro nacházejících se v jednotlivých objektech tak, aby byl naplněn účel této smlouvy. Smluvní strany prohlašují, že provedení revizí u většího či menšího po</w:t>
      </w:r>
      <w:r>
        <w:t>čtu prvků elektro v jednotlivých objektech než objednatelem při uzavření smlouvy stanoveném, nepředstavuje změnu, ale projev způsobu určení ceny díla nebo jeho části.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"/>
        </w:tabs>
        <w:spacing w:after="100" w:line="262" w:lineRule="auto"/>
        <w:jc w:val="both"/>
      </w:pPr>
      <w:bookmarkStart w:id="4" w:name="bookmark4"/>
      <w:r>
        <w:t>PŘEDMĚT SMLOUVY</w:t>
      </w:r>
      <w:bookmarkEnd w:id="4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5"/>
        </w:tabs>
        <w:spacing w:after="100" w:line="262" w:lineRule="auto"/>
        <w:ind w:left="780" w:hanging="400"/>
      </w:pPr>
      <w:r>
        <w:t xml:space="preserve">Zhotovitel se zavazuje za podmínek stanovených touto smlouvou provést na </w:t>
      </w:r>
      <w:r>
        <w:t>svůj náklad a nebezpečí pro objednatele dílo a splnit s dílem související závazky a objednatel se zavazuje dílo převzít a zaplatit sjednanou cenu díla. Specifikace díla je vymezena v příloze č. 1 této smlouvy.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5"/>
        </w:tabs>
        <w:spacing w:after="220" w:line="266" w:lineRule="auto"/>
        <w:ind w:left="780" w:hanging="400"/>
      </w:pPr>
      <w:r>
        <w:t xml:space="preserve">Součástí díla je vyhotovení a předání písemné </w:t>
      </w:r>
      <w:r>
        <w:t xml:space="preserve">zprávy o revizi </w:t>
      </w:r>
      <w:r>
        <w:rPr>
          <w:b/>
          <w:bCs/>
        </w:rPr>
        <w:t xml:space="preserve">(dále jen „zpráva") </w:t>
      </w:r>
      <w:r>
        <w:t>v rozsahu dle příslušné normy vztahující se ke konkrétnímu prvku elektro.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"/>
        </w:tabs>
        <w:spacing w:after="100" w:line="262" w:lineRule="auto"/>
        <w:jc w:val="both"/>
      </w:pPr>
      <w:bookmarkStart w:id="5" w:name="bookmark5"/>
      <w:r>
        <w:t>PODMÍNKY PROVÁDĚNÍ DÍLA</w:t>
      </w:r>
      <w:bookmarkEnd w:id="5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55"/>
        </w:tabs>
        <w:spacing w:line="262" w:lineRule="auto"/>
        <w:ind w:left="780" w:hanging="400"/>
      </w:pPr>
      <w:r>
        <w:t>Zhotovitel provede dílo s potřebnou péčí v ujednaném čase a obstará vše, co je k provedení díla potřeba. Zhotovitel proved</w:t>
      </w:r>
      <w:r>
        <w:t>e dílo v souladu s touto smlouvou, příslušnými právními předpisy a technickými či jinými normami, které se na provedení díla přímo či nepřímo vztahují.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3"/>
        </w:tabs>
        <w:spacing w:after="240" w:line="266" w:lineRule="auto"/>
        <w:ind w:left="800" w:hanging="420"/>
      </w:pPr>
      <w:r>
        <w:t>Dílo je prováděno postupně v rozsahu a kvalitě pravidelné revize každého z prvků elektro uvedeného v pří</w:t>
      </w:r>
      <w:r>
        <w:t xml:space="preserve">loze č. 1 této smlouvy (dále jen </w:t>
      </w:r>
      <w:r>
        <w:rPr>
          <w:b/>
          <w:bCs/>
        </w:rPr>
        <w:t>„část díla").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6" w:name="bookmark6"/>
      <w:r>
        <w:t>PRAVIDELNÉ REVIZE</w:t>
      </w:r>
      <w:bookmarkEnd w:id="6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ind w:left="800" w:hanging="420"/>
      </w:pPr>
      <w:r>
        <w:t xml:space="preserve">Zhotovitel je povinen sledovat u každého prvku elektro uvedeného v příloze č. 1 této smlouvy termín pro </w:t>
      </w:r>
      <w:r>
        <w:lastRenderedPageBreak/>
        <w:t xml:space="preserve">provedení pravidelné revize a vždy nejpozději do konce kalendářního měsíce informovat kontaktní osobu objednatele, pana Jozefa Domina, </w:t>
      </w:r>
      <w:bookmarkStart w:id="7" w:name="_GoBack"/>
      <w:bookmarkEnd w:id="7"/>
      <w:r>
        <w:t xml:space="preserve">(dále jen </w:t>
      </w:r>
      <w:r>
        <w:rPr>
          <w:b/>
          <w:bCs/>
        </w:rPr>
        <w:t xml:space="preserve">„kontaktní osoba objednatele") </w:t>
      </w:r>
      <w:r>
        <w:t>u kterých prvků elektro bude nutné provést pravidelnou revizi v následujícím kalendářním měsíci.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ind w:left="800" w:hanging="420"/>
      </w:pPr>
      <w:r>
        <w:t xml:space="preserve">Zhotovitel se zároveň zavazuje u každého prvku elektro, u kterého </w:t>
      </w:r>
      <w:r>
        <w:t>bude nutné provést pravidelnou revizi, navrhnout alespoň 2 (slovy: dva) možné termíny pro její provedení. Kontaktní osoba objednatele je povinna nejpozději do 3 (slovy: tří) pracovních dnů potvrdit zhotoviteli jeden z navržených termínů pro provedení přísl</w:t>
      </w:r>
      <w:r>
        <w:t>ušné části díla.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line="262" w:lineRule="auto"/>
        <w:ind w:left="800" w:hanging="420"/>
      </w:pPr>
      <w:r>
        <w:t>Zhotovitel se zavazuje, že dílo bude prováděno pouze osobami, které vlastní příslušné osvědčení o odborné způsobilosti potřebné pro řádné provedení díla. Zhotovitel je povinen příslušná osvědčení o odborné způsobilosti osob provádějících d</w:t>
      </w:r>
      <w:r>
        <w:t>ílo objednateli předložit kdykoliv o ně objednatel požádá.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after="240" w:line="266" w:lineRule="auto"/>
        <w:ind w:left="800" w:hanging="420"/>
      </w:pPr>
      <w:r>
        <w:t>Nesplnění povinností zhotovitele dle tohoto odstavce se považuje za podstatné porušení smlouvy.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8" w:name="bookmark7"/>
      <w:r>
        <w:t>SUBDODAVATELÉ</w:t>
      </w:r>
      <w:bookmarkEnd w:id="8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3"/>
        </w:tabs>
        <w:ind w:left="800" w:hanging="420"/>
      </w:pPr>
      <w:r>
        <w:t xml:space="preserve">Na žádost objednatele se zhotovitel zavazuje bezodkladně, nejpozději však do 3 (slovy: </w:t>
      </w:r>
      <w:r>
        <w:t>tří) pracovních dnů po sdělení takové žádosti, předložit písemný seznam subdodavatelů, které hodlá pověřit plněním části závazků dle této smlouvy.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line="262" w:lineRule="auto"/>
        <w:ind w:left="800" w:hanging="420"/>
      </w:pPr>
      <w:r>
        <w:t>Objednatel si vyhrazuje právo schválit účast jednotlivých subdodavatelů zhotovitele na plnění části závazků d</w:t>
      </w:r>
      <w:r>
        <w:t>le této smlouvy. Zhotovitel však odpovídá za plnění takových závazků subdodavateli, jako by je plnil sám.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ind w:left="800" w:hanging="420"/>
      </w:pPr>
      <w:r>
        <w:t>Zhotovitel se zavazuje, že ve smlouvách s případnými subdodavateli zaváže subdodavatele k plnění těch závazků, k jejichž splnění se zavázal v této sml</w:t>
      </w:r>
      <w:r>
        <w:t>ouvě, a to v rozsahu, v jakém budou subdodavatelem tyto závazky plněny.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after="240" w:line="252" w:lineRule="auto"/>
        <w:ind w:left="800" w:hanging="420"/>
      </w:pPr>
      <w:r>
        <w:t>Nesplnění povinností zhotovitele dle tohoto odstavce se považuje za podstatné porušení smlouvy.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9" w:name="bookmark8"/>
      <w:r>
        <w:t>BEZPEČNOST A OCHRANA ZDRAVÍ PŘI PRÁCI A POŽÁRNÍ OCHRANA</w:t>
      </w:r>
      <w:bookmarkEnd w:id="9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3"/>
        </w:tabs>
        <w:ind w:left="800" w:hanging="420"/>
      </w:pPr>
      <w:r>
        <w:t xml:space="preserve">Zhotovitel je povinen při </w:t>
      </w:r>
      <w:r>
        <w:t>provádění díla dodržet veškeré bezpečnostní, hygienické a ekologické opatření a opatření vedoucí k požární ochraně prováděného díla, a to v rozsahu a způsobem stanoveným příslušnými právními předpisy.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43"/>
        </w:tabs>
        <w:spacing w:after="260" w:line="240" w:lineRule="auto"/>
        <w:ind w:left="800" w:hanging="420"/>
      </w:pPr>
      <w:r>
        <w:t>Nesplnění povinností zhotovitele dle tohoto odstavce se</w:t>
      </w:r>
      <w:r>
        <w:t xml:space="preserve"> považuje za podstatné porušení smlouvy.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10" w:name="bookmark9"/>
      <w:r>
        <w:t>ZAHÁJENÍ A ZPŮSOB PROVÁDĚNÍ DÍLA</w:t>
      </w:r>
      <w:bookmarkEnd w:id="10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line="252" w:lineRule="auto"/>
        <w:ind w:left="800" w:hanging="420"/>
      </w:pPr>
      <w:r>
        <w:t>Zhotovitel je povinen zahájit provádění díla dnem zahájení. Dnem zahájení se rozumí první pracovní den po podpisu smlouvy.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after="220"/>
        <w:ind w:left="800" w:hanging="420"/>
      </w:pPr>
      <w:r>
        <w:t>Část díla je provedena, je-li řádně dokončena a předána.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</w:pPr>
      <w:bookmarkStart w:id="11" w:name="bookmark10"/>
      <w:r>
        <w:t>PŘ</w:t>
      </w:r>
      <w:r>
        <w:t>EDÁNÍ A PŘEVZETÍ ČÁSTI DÍLA</w:t>
      </w:r>
      <w:bookmarkEnd w:id="11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2"/>
        </w:tabs>
        <w:spacing w:line="257" w:lineRule="auto"/>
        <w:ind w:left="780" w:hanging="400"/>
      </w:pPr>
      <w:r>
        <w:t xml:space="preserve">O předání a převzetí části díla odpovídající provedení pravidelné revize, vyhotoví zhotovitel protokol, který obě smluvní strany podepíší (dále jen </w:t>
      </w:r>
      <w:r>
        <w:rPr>
          <w:b/>
          <w:bCs/>
        </w:rPr>
        <w:t>„předávací protokol").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832"/>
        </w:tabs>
        <w:spacing w:after="220" w:line="266" w:lineRule="auto"/>
        <w:ind w:left="780" w:hanging="400"/>
      </w:pPr>
      <w:r>
        <w:t xml:space="preserve">Přílohou předávacího protokolu bude zpráva, která bude </w:t>
      </w:r>
      <w:r>
        <w:t>vždy obsahovat minimálně náležitosti stanovené v příslušné technické normě vztahující se ke konkrétnímu prvku elektro.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</w:pPr>
      <w:bookmarkStart w:id="12" w:name="bookmark11"/>
      <w:r>
        <w:t>CENA DÍLA</w:t>
      </w:r>
      <w:bookmarkEnd w:id="12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52" w:lineRule="auto"/>
        <w:ind w:left="780" w:hanging="400"/>
      </w:pPr>
      <w:r>
        <w:t>Cena díla v rozsahu provedení pravidelné revize je stanovena v příloze č. 1 této smlouvy.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52" w:lineRule="auto"/>
        <w:ind w:left="780" w:hanging="400"/>
      </w:pPr>
      <w:r>
        <w:t>Daň z přidané hodnoty bude účtována v</w:t>
      </w:r>
      <w:r>
        <w:t>ždy ve výši určené podle právních předpisů účinných ke dni uskutečnění zdanitelného plnění.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ind w:left="780" w:hanging="400"/>
      </w:pPr>
      <w:r>
        <w:t>Ceny uvedené v příloze č. 1 této smlouvy jsou cenami nejvýše přípustnými a nepřekročitelnými, s výjimkou případů uvedených v</w:t>
      </w:r>
      <w:r w:rsidR="00B35169">
        <w:t xml:space="preserve"> </w:t>
      </w:r>
      <w:r>
        <w:t>čl. 13 této smlouvy. Zhotovitel prohlašu</w:t>
      </w:r>
      <w:r>
        <w:t xml:space="preserve">je, že ceny zahrnují veškeré náklady, </w:t>
      </w:r>
      <w:r>
        <w:lastRenderedPageBreak/>
        <w:t>které bude třeba nutně nebo účelně vynaložit zejména pro řádné a včasné provedení díla, jakož i pro řádné a včasné plnění s dílem souvisejících závazků uvažovat, jakož i přiměřený zisk zhotovitele. Zhotovitel dále proh</w:t>
      </w:r>
      <w:r>
        <w:t>lašuje, že cena díla je stanovena i s přihlédnutím k</w:t>
      </w:r>
      <w:r w:rsidR="00B35169">
        <w:t xml:space="preserve"> </w:t>
      </w:r>
      <w:r>
        <w:t>vývoji cen vdaném oboru včetně vývoje kurzu české měny k zahraničním měnám, a to po celou dobu trvání závazků z této smlouvy.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after="240" w:line="257" w:lineRule="auto"/>
        <w:ind w:left="780" w:hanging="400"/>
      </w:pPr>
      <w:r>
        <w:t>Zhotovitel přebírá nebezpečí změny okolností ve smyslu § 2620 odst. 2 občanské</w:t>
      </w:r>
      <w:r>
        <w:t>ho zákoníku.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</w:pPr>
      <w:bookmarkStart w:id="13" w:name="bookmark12"/>
      <w:r>
        <w:t>PLATEBNÍ PODMÍNKY</w:t>
      </w:r>
      <w:bookmarkEnd w:id="13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62" w:lineRule="auto"/>
        <w:ind w:left="780" w:hanging="400"/>
      </w:pPr>
      <w:r>
        <w:t>Cena díla bude objednatelem uhrazena po částech odpovídajících jednotlivým částem díla. Právo na zaplacení příslušné části ceny díla vzniká jejím převzetím objednatelem. Den převzetí části díla objednatelem je dnem uskutečněn</w:t>
      </w:r>
      <w:r>
        <w:t>í zdanitelného plnění.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ind w:left="780" w:hanging="400"/>
      </w:pPr>
      <w:r>
        <w:t>Objednatel neposkytne zhotoviteli žádné zálohy.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62" w:lineRule="auto"/>
        <w:ind w:left="780" w:hanging="400"/>
      </w:pPr>
      <w:r>
        <w:t>Cenu za jednotlivé části díla objednatel zhotoviteli uhradí na základě řádně vystavených daňových dokladů.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57" w:lineRule="auto"/>
        <w:ind w:left="780" w:hanging="400"/>
      </w:pPr>
      <w:r>
        <w:t>Cena díla v rozsahu pravidelné revize provedené dle této smlouvy bude účtována</w:t>
      </w:r>
      <w:r>
        <w:t xml:space="preserve"> vždy po provedení každé revize na základě samostatné faktury, která bude vystavena v souladu s příslušným předávacím protokolem podepsaným oběma smluvními stranami.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after="240"/>
        <w:ind w:left="780" w:hanging="400"/>
      </w:pPr>
      <w:r>
        <w:t>Splatnost faktur je 30 (slovy: třicet) dní ode dne jejich doručení objednateli.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</w:pPr>
      <w:bookmarkStart w:id="14" w:name="bookmark13"/>
      <w:r>
        <w:t>SMLUVNÍ PO</w:t>
      </w:r>
      <w:r>
        <w:t>KUTY</w:t>
      </w:r>
      <w:bookmarkEnd w:id="14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62" w:lineRule="auto"/>
        <w:ind w:left="780" w:hanging="400"/>
      </w:pPr>
      <w:r>
        <w:t xml:space="preserve">V případě, že zhotovitel poruší závažným způsobem předpisy BOZP a PO, je objednatele oprávněn požadovat po zhotoviteli zaplacení smluvní pokuty 500,- (slovy: </w:t>
      </w:r>
      <w:proofErr w:type="spellStart"/>
      <w:r>
        <w:t>pětset</w:t>
      </w:r>
      <w:proofErr w:type="spellEnd"/>
      <w:r>
        <w:t>) Kč za každé jednotlivé porušení předpisů BOZP a PO.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64" w:lineRule="auto"/>
        <w:ind w:left="780" w:hanging="400"/>
      </w:pPr>
      <w:r>
        <w:t>Pokud bude dílo prováděno osobou,</w:t>
      </w:r>
      <w:r>
        <w:t xml:space="preserve"> která k</w:t>
      </w:r>
      <w:r w:rsidR="00DF5CAD">
        <w:t xml:space="preserve"> </w:t>
      </w:r>
      <w:r>
        <w:t xml:space="preserve">tomu nemá odbornou způsobilost je objednatel oprávněn požadovat zaplacení smluvní pokuty ve výši 10.000 (slovy </w:t>
      </w:r>
      <w:proofErr w:type="spellStart"/>
      <w:r>
        <w:t>desettisíc</w:t>
      </w:r>
      <w:proofErr w:type="spellEnd"/>
      <w:r>
        <w:t>) Kč za každou takto zjištěnou osobu.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76" w:lineRule="auto"/>
        <w:ind w:left="780" w:hanging="400"/>
      </w:pPr>
      <w:r>
        <w:t xml:space="preserve">Smluvní pokuty se stávají splatnými dnem následujícím po dni, ve kterém na ně vznikl </w:t>
      </w:r>
      <w:r>
        <w:t>nárok.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after="220" w:line="262" w:lineRule="auto"/>
        <w:ind w:left="780" w:hanging="400"/>
      </w:pPr>
      <w:r>
        <w:t>Uplatněním nároku na smluvní pokutu není dotčeno oprávnění objednatele požadovat náhradu škody způsobenou porušením povinnosti ze strany poskytovatele, které je utvrzeno smluvní pokutou.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line="240" w:lineRule="auto"/>
      </w:pPr>
      <w:bookmarkStart w:id="15" w:name="bookmark14"/>
      <w:r>
        <w:t>OPČNÍ PRÁVO</w:t>
      </w:r>
      <w:bookmarkEnd w:id="15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spacing w:line="262" w:lineRule="auto"/>
        <w:ind w:left="780" w:hanging="400"/>
      </w:pPr>
      <w:r>
        <w:t xml:space="preserve">Objednatel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 xml:space="preserve">vyhrazuje právo na poskytnutí </w:t>
      </w:r>
      <w:r>
        <w:t>dalších pravidelných revizí (opční právo). Předpokládaná hodnota nových služeb nesmí převyšovat 15 % předpokládané hodnoty veřejné zakázky.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spacing w:line="266" w:lineRule="auto"/>
        <w:ind w:left="780" w:hanging="400"/>
      </w:pPr>
      <w:r>
        <w:t xml:space="preserve">Tato pravidelná údržba bude objednatelem zadána v souladu s § 100 odst. 3 ZZVZ, v jednacím řízení bez uveřejnění, a </w:t>
      </w:r>
      <w:r>
        <w:t>to postupně podle potřeb objednatele.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ind w:left="780" w:hanging="400"/>
      </w:pPr>
      <w:r>
        <w:t>Cena bude stanovena na základě nabídky zhotovitele v jednacím řízení bez uveřejnění.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spacing w:after="240"/>
        <w:ind w:left="780" w:hanging="400"/>
      </w:pPr>
      <w:r>
        <w:t>Toto opční právo nemusí být objednatelem využito.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</w:pPr>
      <w:bookmarkStart w:id="16" w:name="bookmark15"/>
      <w:r>
        <w:t>ODSTOUPENÍ OD SMLOUVY / VÝPOVĚĎ</w:t>
      </w:r>
      <w:bookmarkEnd w:id="16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ind w:left="780" w:hanging="400"/>
      </w:pPr>
      <w:r>
        <w:t>Objednatele je oprávněn od smlouvy odstoupit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1440"/>
        </w:tabs>
        <w:ind w:left="1200" w:hanging="480"/>
      </w:pPr>
      <w:r>
        <w:t xml:space="preserve">v </w:t>
      </w:r>
      <w:r>
        <w:t>případě podstatného porušení smlouvy zhotovitelem.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1445"/>
        </w:tabs>
        <w:spacing w:line="262" w:lineRule="auto"/>
        <w:ind w:left="1200" w:hanging="480"/>
      </w:pPr>
      <w:r>
        <w:t>bez zbytečného odkladu poté, co z chování zhotovitele nepochybně vyplyne, že poruší smlouvu podstatným způsobem;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1445"/>
        </w:tabs>
        <w:spacing w:line="262" w:lineRule="auto"/>
        <w:ind w:left="1200" w:hanging="480"/>
      </w:pPr>
      <w:r>
        <w:t>v případě vydání rozhodnutí o úpadku zhotovitele dle zákona č. 182/2006 Sb., o úpadku a způs</w:t>
      </w:r>
      <w:r>
        <w:t>obech jeho řešení (insolvenční zákon), ve znění pozdějších předpisech;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1445"/>
        </w:tabs>
        <w:spacing w:line="262" w:lineRule="auto"/>
        <w:ind w:left="1200" w:hanging="480"/>
      </w:pPr>
      <w:r>
        <w:lastRenderedPageBreak/>
        <w:t>v případě, že zhotovitel v nabídce podané do zadávacího řízení k veřejné zakázce uvedl informace nebo předložil doklady, které neodpovídají skutečnosti a měly nebo mohly mít vliv na výs</w:t>
      </w:r>
      <w:r>
        <w:t>ledek tohoto zadávacího řízení.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1445"/>
        </w:tabs>
        <w:spacing w:line="266" w:lineRule="auto"/>
        <w:ind w:left="1200" w:hanging="480"/>
      </w:pPr>
      <w:r>
        <w:t>v případě, že zhotovitel ztratí oprávnění ke sjednaným činnostem, potřebnou kvalifikaci nebo povolení nezbytná k řádnému plnění této smlouvy.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spacing w:line="257" w:lineRule="auto"/>
        <w:ind w:left="780" w:hanging="400"/>
      </w:pPr>
      <w:r>
        <w:t xml:space="preserve">Odstoupení od smlouvy musí být provedeno písemně. Odstoupení od smlouvy je účinné </w:t>
      </w:r>
      <w:r>
        <w:t>doručením písemného oznámení o odstoupení od smlouvy druhé smluvní straně.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spacing w:line="262" w:lineRule="auto"/>
        <w:ind w:left="780" w:hanging="400"/>
      </w:pPr>
      <w:r>
        <w:t>Smluvní strany se dohodly, že závazky vzniklé z této smlouvy mohou zaniknout výpovědí, a to za níže uvedených podmínek: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1435"/>
        </w:tabs>
        <w:spacing w:line="257" w:lineRule="auto"/>
        <w:ind w:left="1200" w:hanging="480"/>
      </w:pPr>
      <w:r>
        <w:t xml:space="preserve">objednatel a zhotovitel jsou oprávněni závazky kdykoliv </w:t>
      </w:r>
      <w:r>
        <w:t>vypovědět. Závazky pak zanikají doručením výpovědi druhé smluvní straně.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2102"/>
        </w:tabs>
        <w:ind w:left="1200" w:hanging="480"/>
      </w:pPr>
      <w:r>
        <w:t>Smluvní strany sjednávají 3 (slovy: tří) měsíční výpovědní dobu, která počíná běžet od počátku kalendářního měsíce následujícího po měsíci, v němž byla výpověď druhé smluvní straně do</w:t>
      </w:r>
      <w:r>
        <w:t>ručena.</w:t>
      </w:r>
    </w:p>
    <w:p w:rsidR="00ED116E" w:rsidRDefault="005A3B9B">
      <w:pPr>
        <w:pStyle w:val="Zkladntext"/>
        <w:numPr>
          <w:ilvl w:val="2"/>
          <w:numId w:val="1"/>
        </w:numPr>
        <w:shd w:val="clear" w:color="auto" w:fill="auto"/>
        <w:tabs>
          <w:tab w:val="left" w:pos="1440"/>
        </w:tabs>
        <w:ind w:left="1200" w:hanging="480"/>
      </w:pPr>
      <w:r>
        <w:t>Výpověď musí mít písemnou formu.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spacing w:after="240" w:line="257" w:lineRule="auto"/>
        <w:ind w:left="780" w:hanging="400"/>
      </w:pPr>
      <w:r>
        <w:t>Závazky, u kterých ze smlouvy nebo z příslušného právního předpisu vyplývá, že by měly trvat i po zániku smlouvy, trvají i přes zánik smlouvy.</w:t>
      </w:r>
    </w:p>
    <w:p w:rsidR="00ED116E" w:rsidRDefault="005A3B9B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</w:pPr>
      <w:bookmarkStart w:id="17" w:name="bookmark16"/>
      <w:r>
        <w:t>ZÁVĚREČNÁ USTANOVENÍ</w:t>
      </w:r>
      <w:bookmarkEnd w:id="17"/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409"/>
        </w:tabs>
        <w:ind w:left="780" w:hanging="400"/>
      </w:pPr>
      <w:r>
        <w:t xml:space="preserve">Tato smlouva nabývá platnosti dnem jejího uzavření </w:t>
      </w:r>
      <w:r>
        <w:t>a účinnosti nejdříve dnem uveřejnění prostřednictvím registru smluv v souladu s ustanovením § 6 zákona č. 340/2015 Sb., zákon o zvláštních podmínkách účinnosti některých smluv, uveřejňování těchto smluv a o registru smluv. Dražebník prohlašuje, že tato sml</w:t>
      </w:r>
      <w:r>
        <w:t>ouva neobsahuje obchodní tajemství a uděluje tímto souhlas objednateli k uveřejnění smlouvy a všech pokladů, údajů a informací uvedených v této smlouvě a těch, k jejichž uveřejnění vyplývá pro objednatele povinnost dle právních Dražebník bere na vědomí, že</w:t>
      </w:r>
      <w:r>
        <w:t xml:space="preserve"> se podpisem této smlouvy stává v souladu s ustanovením § 2 písm. e) zákona č. 320/2001 Sb., o finanční kontrole ve veřejné správě a o změně některých zákonů, ve znění pozdějších předpisů, osobou povinnou spolupůsobit při výkonu finanční kontroly prováděné</w:t>
      </w:r>
      <w:r>
        <w:t xml:space="preserve"> v souvislosti s úhradou zboží nebo služeb z veřejných výdajů nebo z veřejné finanční podpory.</w:t>
      </w:r>
      <w:r>
        <w:br w:type="page"/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734"/>
        </w:tabs>
        <w:spacing w:line="257" w:lineRule="auto"/>
        <w:ind w:left="1100" w:hanging="400"/>
      </w:pPr>
      <w:r>
        <w:lastRenderedPageBreak/>
        <w:t>Tato smlouva a všechny právní vztahy z ní vyplývající se řídí právním řádem České republiky a vnitřními předpisy zadavatele. Ujednání v této smlouvě mají předno</w:t>
      </w:r>
      <w:r>
        <w:t>st před úpravou obsaženou v zákoně, ledaže je ujednání v rozporu s kogentním ustanovením zákona.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734"/>
        </w:tabs>
        <w:spacing w:line="257" w:lineRule="auto"/>
        <w:ind w:left="1100" w:hanging="400"/>
      </w:pPr>
      <w:r>
        <w:t>Tuto smlouvu je možné měnit nebo doplňovat pouze písemně.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734"/>
        </w:tabs>
        <w:spacing w:line="257" w:lineRule="auto"/>
        <w:ind w:left="1100" w:hanging="400"/>
      </w:pPr>
      <w:r>
        <w:t>Příloha č. 1 je nedílnou součástí této smlouvy.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734"/>
        </w:tabs>
        <w:spacing w:line="257" w:lineRule="auto"/>
        <w:ind w:left="1100" w:hanging="400"/>
      </w:pPr>
      <w:r>
        <w:t xml:space="preserve">Tato smlouva je vyhotovena ve dvou (2) stejnopisech. </w:t>
      </w:r>
      <w:r>
        <w:t>Každá smluvní strana obdrží jedno (1) vyhotovení.</w:t>
      </w:r>
    </w:p>
    <w:p w:rsidR="00ED116E" w:rsidRDefault="005A3B9B">
      <w:pPr>
        <w:pStyle w:val="Zkladntext"/>
        <w:numPr>
          <w:ilvl w:val="1"/>
          <w:numId w:val="1"/>
        </w:numPr>
        <w:shd w:val="clear" w:color="auto" w:fill="auto"/>
        <w:tabs>
          <w:tab w:val="left" w:pos="1734"/>
        </w:tabs>
        <w:spacing w:after="200" w:line="262" w:lineRule="auto"/>
        <w:ind w:left="1100" w:hanging="400"/>
      </w:pPr>
      <w:r>
        <w:t>Smluvní strany potvrzují, že si smlouvu přečetly, jejímu obsahu porozuměly, ten odpovídá jejich svobodné a vážné vůli, na důkaz čehož k ní připojují své podpisy.</w:t>
      </w:r>
    </w:p>
    <w:p w:rsidR="00DF5CAD" w:rsidRDefault="00DF5CAD">
      <w:pPr>
        <w:pStyle w:val="Zkladntext"/>
        <w:shd w:val="clear" w:color="auto" w:fill="auto"/>
        <w:spacing w:after="0" w:line="240" w:lineRule="auto"/>
        <w:rPr>
          <w:b/>
          <w:bCs/>
        </w:rPr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  <w:r>
        <w:t xml:space="preserve">           </w:t>
      </w:r>
      <w:proofErr w:type="spellStart"/>
      <w:r>
        <w:t>V_____________dne</w:t>
      </w:r>
      <w:proofErr w:type="spellEnd"/>
      <w:r>
        <w:t xml:space="preserve">______________                                            </w:t>
      </w:r>
      <w:proofErr w:type="spellStart"/>
      <w:r>
        <w:t>V______________dne</w:t>
      </w:r>
      <w:proofErr w:type="spellEnd"/>
      <w:r>
        <w:t>_______________</w:t>
      </w: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  <w:r>
        <w:t xml:space="preserve">           __________________________________                                          __________________________________</w:t>
      </w:r>
    </w:p>
    <w:p w:rsidR="00DF5CAD" w:rsidRDefault="00DF5CAD">
      <w:pPr>
        <w:pStyle w:val="Zkladntext"/>
        <w:shd w:val="clear" w:color="auto" w:fill="auto"/>
        <w:spacing w:after="0" w:line="240" w:lineRule="auto"/>
      </w:pPr>
      <w:r>
        <w:t xml:space="preserve">            </w:t>
      </w:r>
      <w:r w:rsidRPr="00DF5CAD">
        <w:rPr>
          <w:b/>
        </w:rPr>
        <w:t xml:space="preserve">Výzkumný ústav živočišné výroby, </w:t>
      </w:r>
      <w:proofErr w:type="spellStart"/>
      <w:r w:rsidRPr="00DF5CAD">
        <w:rPr>
          <w:b/>
        </w:rPr>
        <w:t>v.v.i</w:t>
      </w:r>
      <w:proofErr w:type="spellEnd"/>
      <w:r w:rsidRPr="00DF5CAD">
        <w:rPr>
          <w:b/>
        </w:rPr>
        <w:t>.</w:t>
      </w:r>
      <w:r>
        <w:t xml:space="preserve">                                                                 </w:t>
      </w:r>
      <w:proofErr w:type="spellStart"/>
      <w:r w:rsidRPr="00DF5CAD">
        <w:rPr>
          <w:b/>
        </w:rPr>
        <w:t>Cattor</w:t>
      </w:r>
      <w:proofErr w:type="spellEnd"/>
      <w:r w:rsidRPr="00DF5CAD">
        <w:rPr>
          <w:b/>
        </w:rPr>
        <w:t xml:space="preserve"> s.r.o.</w:t>
      </w:r>
    </w:p>
    <w:p w:rsidR="00DF5CAD" w:rsidRDefault="00DF5CAD">
      <w:pPr>
        <w:pStyle w:val="Zkladntext"/>
        <w:shd w:val="clear" w:color="auto" w:fill="auto"/>
        <w:spacing w:after="0" w:line="240" w:lineRule="auto"/>
      </w:pPr>
      <w:r>
        <w:t xml:space="preserve">                 Doc. Ing. Petr Homolka, CSc., Ph.D.                                                                      Petr Křenek</w:t>
      </w:r>
    </w:p>
    <w:p w:rsidR="00DF5CAD" w:rsidRDefault="00DF5CAD">
      <w:pPr>
        <w:pStyle w:val="Zkladntext"/>
        <w:shd w:val="clear" w:color="auto" w:fill="auto"/>
        <w:spacing w:after="0" w:line="240" w:lineRule="auto"/>
      </w:pPr>
      <w:r>
        <w:t xml:space="preserve">                                          ředitel</w:t>
      </w: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DF5CAD" w:rsidRDefault="00DF5CAD">
      <w:pPr>
        <w:pStyle w:val="Zkladntext"/>
        <w:shd w:val="clear" w:color="auto" w:fill="auto"/>
        <w:spacing w:after="0" w:line="240" w:lineRule="auto"/>
      </w:pPr>
    </w:p>
    <w:p w:rsidR="00ED116E" w:rsidRDefault="005A3B9B">
      <w:pPr>
        <w:pStyle w:val="Zkladntext"/>
        <w:shd w:val="clear" w:color="auto" w:fill="auto"/>
        <w:spacing w:after="0" w:line="240" w:lineRule="auto"/>
      </w:pPr>
      <w:r>
        <w:t>Příloha č. 1</w:t>
      </w:r>
    </w:p>
    <w:p w:rsidR="00ED116E" w:rsidRDefault="005A3B9B">
      <w:pPr>
        <w:pStyle w:val="Tablecaption0"/>
        <w:shd w:val="clear" w:color="auto" w:fill="auto"/>
      </w:pPr>
      <w:r>
        <w:t>Revize v roce 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1363"/>
        <w:gridCol w:w="2309"/>
        <w:gridCol w:w="2338"/>
      </w:tblGrid>
      <w:tr w:rsidR="00ED116E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Název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ind w:left="120"/>
              <w:jc w:val="center"/>
            </w:pPr>
            <w:r>
              <w:t>Počet kusů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305" w:lineRule="auto"/>
              <w:jc w:val="center"/>
            </w:pPr>
            <w:r>
              <w:t xml:space="preserve">Nabídková cena za předpokládaný </w:t>
            </w:r>
            <w:r>
              <w:t>počet kusů bez DPH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Jednotková cena za revizi</w:t>
            </w:r>
          </w:p>
        </w:tc>
      </w:tr>
      <w:tr w:rsidR="00ED116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Elektrický spotřebič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5500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76 450,- Kč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13,9 Kč</w:t>
            </w:r>
          </w:p>
        </w:tc>
      </w:tr>
      <w:tr w:rsidR="00ED116E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Elektroinstalace vývod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3 150,- Kč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9,- Kč</w:t>
            </w:r>
          </w:p>
        </w:tc>
      </w:tr>
      <w:tr w:rsidR="00ED116E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left"/>
            </w:pPr>
            <w:r>
              <w:t>Elektrický stroj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190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7 220,- Kč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16E" w:rsidRDefault="005A3B9B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38,- Kč</w:t>
            </w:r>
          </w:p>
        </w:tc>
      </w:tr>
    </w:tbl>
    <w:p w:rsidR="00ED116E" w:rsidRDefault="00ED116E">
      <w:pPr>
        <w:spacing w:after="486" w:line="14" w:lineRule="exact"/>
      </w:pPr>
    </w:p>
    <w:p w:rsidR="00ED116E" w:rsidRDefault="005A3B9B">
      <w:pPr>
        <w:pStyle w:val="Zkladntext"/>
        <w:shd w:val="clear" w:color="auto" w:fill="auto"/>
        <w:spacing w:after="660"/>
        <w:ind w:right="380"/>
      </w:pPr>
      <w:r>
        <w:t xml:space="preserve">*Ceny zahrnují veškeré náklady, které bude třeba nutně nebo účelně </w:t>
      </w:r>
      <w:r>
        <w:t>vynaložit zejména pro řádné a včasné provedení díla, jakož i pro řádné a včasné plnění s dílem souvisejících závazků uvažovat, jakož i přiměřený zisk zhotovitele. Zhotovitel dále prohlašuje, že cena díla je stanovena i s přihlédnutím k vývoji cen v daném o</w:t>
      </w:r>
      <w:r>
        <w:t>boru včetně vývoje kurzu české měny k zahraničním měnám, a to po celou dobu trvání závazků z této smlouvy. Cena je včetně dopravy.</w:t>
      </w:r>
    </w:p>
    <w:p w:rsidR="00ED116E" w:rsidRDefault="00ED116E">
      <w:pPr>
        <w:jc w:val="right"/>
        <w:rPr>
          <w:sz w:val="2"/>
          <w:szCs w:val="2"/>
        </w:rPr>
      </w:pPr>
    </w:p>
    <w:p w:rsidR="00ED116E" w:rsidRDefault="00ED116E">
      <w:pPr>
        <w:spacing w:line="14" w:lineRule="exact"/>
      </w:pPr>
    </w:p>
    <w:sectPr w:rsidR="00ED116E">
      <w:headerReference w:type="default" r:id="rId8"/>
      <w:pgSz w:w="11900" w:h="16840"/>
      <w:pgMar w:top="1448" w:right="1218" w:bottom="1448" w:left="12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B9B" w:rsidRDefault="005A3B9B">
      <w:r>
        <w:separator/>
      </w:r>
    </w:p>
  </w:endnote>
  <w:endnote w:type="continuationSeparator" w:id="0">
    <w:p w:rsidR="005A3B9B" w:rsidRDefault="005A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B9B" w:rsidRDefault="005A3B9B"/>
  </w:footnote>
  <w:footnote w:type="continuationSeparator" w:id="0">
    <w:p w:rsidR="005A3B9B" w:rsidRDefault="005A3B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16E" w:rsidRDefault="005A3B9B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5035550</wp:posOffset>
              </wp:positionH>
              <wp:positionV relativeFrom="page">
                <wp:posOffset>520065</wp:posOffset>
              </wp:positionV>
              <wp:extent cx="47244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116E" w:rsidRDefault="00ED116E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96.5pt;margin-top:40.95pt;width:37.2pt;height:9.6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" filled="f" stroked="f">
              <v:textbox style="mso-fit-shape-to-text:t" inset="0,0,0,0">
                <w:txbxContent>
                  <w:p w:rsidR="00ED116E" w:rsidRDefault="00ED116E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16E" w:rsidRDefault="00ED11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A1906"/>
    <w:multiLevelType w:val="multilevel"/>
    <w:tmpl w:val="41EEB13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16E"/>
    <w:rsid w:val="005A3B9B"/>
    <w:rsid w:val="00B35169"/>
    <w:rsid w:val="00DF5CAD"/>
    <w:rsid w:val="00E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9DC39"/>
  <w15:docId w15:val="{89CBAA85-892B-46F9-B176-A07893F6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4A6C8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2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80" w:line="209" w:lineRule="auto"/>
      <w:ind w:firstLine="1220"/>
    </w:pPr>
    <w:rPr>
      <w:rFonts w:ascii="Arial" w:eastAsia="Arial" w:hAnsi="Arial" w:cs="Arial"/>
      <w:color w:val="64A6C8"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20" w:line="259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ind w:left="760"/>
      <w:jc w:val="both"/>
      <w:outlineLvl w:val="0"/>
    </w:pPr>
    <w:rPr>
      <w:rFonts w:ascii="Arial" w:eastAsia="Arial" w:hAnsi="Arial" w:cs="Arial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12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351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516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351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51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1886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2021-04-20T05:54:00Z</dcterms:created>
  <dcterms:modified xsi:type="dcterms:W3CDTF">2021-04-20T06:14:00Z</dcterms:modified>
</cp:coreProperties>
</file>