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5B5927E8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proofErr w:type="spellStart"/>
      <w:r w:rsidR="008C0A0B">
        <w:rPr>
          <w:rFonts w:ascii="Arial" w:hAnsi="Arial"/>
          <w:sz w:val="20"/>
        </w:rPr>
        <w:t>spo</w:t>
      </w:r>
      <w:proofErr w:type="spellEnd"/>
      <w:r w:rsidR="008C0A0B">
        <w:rPr>
          <w:rFonts w:ascii="Arial" w:hAnsi="Arial"/>
          <w:sz w:val="20"/>
        </w:rPr>
        <w:t>/20/2021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7B58604E" w:rsidR="00796A29" w:rsidRPr="001759DF" w:rsidRDefault="00E35B2B" w:rsidP="001759DF">
      <w:pPr>
        <w:jc w:val="both"/>
        <w:rPr>
          <w:rFonts w:ascii="Arial" w:hAnsi="Arial"/>
          <w:b/>
        </w:rPr>
      </w:pPr>
      <w:r>
        <w:rPr>
          <w:rFonts w:ascii="Arial" w:hAnsi="Arial"/>
        </w:rPr>
        <w:t>PROINVEX s.r.o.</w:t>
      </w:r>
    </w:p>
    <w:p w14:paraId="4EC8CACA" w14:textId="526B3E69" w:rsidR="00796A29" w:rsidRPr="00E35B2B" w:rsidRDefault="00796A29" w:rsidP="00E35B2B">
      <w:pPr>
        <w:rPr>
          <w:b/>
          <w:sz w:val="24"/>
          <w:szCs w:val="24"/>
        </w:rPr>
      </w:pPr>
      <w:r w:rsidRPr="001759DF">
        <w:rPr>
          <w:rFonts w:ascii="Arial" w:hAnsi="Arial"/>
        </w:rPr>
        <w:t xml:space="preserve">se sídlem: </w:t>
      </w:r>
      <w:r w:rsidR="00E35B2B" w:rsidRPr="00E35B2B">
        <w:rPr>
          <w:rFonts w:ascii="Arial" w:hAnsi="Arial"/>
        </w:rPr>
        <w:t xml:space="preserve">Nad Štolou 12/950, </w:t>
      </w:r>
      <w:proofErr w:type="gramStart"/>
      <w:r w:rsidR="00E35B2B" w:rsidRPr="00E35B2B">
        <w:rPr>
          <w:rFonts w:ascii="Arial" w:hAnsi="Arial"/>
        </w:rPr>
        <w:t>Praha  7</w:t>
      </w:r>
      <w:proofErr w:type="gramEnd"/>
      <w:r w:rsidR="00E35B2B" w:rsidRPr="00E35B2B">
        <w:rPr>
          <w:rFonts w:ascii="Arial" w:hAnsi="Arial"/>
        </w:rPr>
        <w:t>, 170 00</w:t>
      </w:r>
    </w:p>
    <w:p w14:paraId="08187503" w14:textId="259C545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E35B2B" w:rsidRPr="00E35B2B">
        <w:rPr>
          <w:rFonts w:ascii="Arial" w:hAnsi="Arial" w:cs="Arial"/>
          <w:sz w:val="20"/>
        </w:rPr>
        <w:t>49706586</w:t>
      </w:r>
      <w:r w:rsidRPr="00E35B2B">
        <w:rPr>
          <w:rFonts w:ascii="Arial" w:hAnsi="Arial" w:cs="Arial"/>
          <w:sz w:val="20"/>
        </w:rPr>
        <w:t xml:space="preserve">    </w:t>
      </w:r>
    </w:p>
    <w:p w14:paraId="2D4DAE76" w14:textId="6E3D18C1" w:rsidR="00796A29" w:rsidRPr="00E35B2B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 w:cs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E35B2B" w:rsidRPr="00E35B2B">
        <w:rPr>
          <w:rFonts w:ascii="Arial" w:hAnsi="Arial" w:cs="Arial"/>
          <w:sz w:val="20"/>
        </w:rPr>
        <w:t>CZ</w:t>
      </w:r>
      <w:proofErr w:type="gramEnd"/>
      <w:r w:rsidR="00E35B2B" w:rsidRPr="00E35B2B">
        <w:rPr>
          <w:rFonts w:ascii="Arial" w:hAnsi="Arial" w:cs="Arial"/>
          <w:sz w:val="20"/>
        </w:rPr>
        <w:t>49706586</w:t>
      </w:r>
    </w:p>
    <w:p w14:paraId="182AAB74" w14:textId="5FCF979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="00E35B2B">
        <w:rPr>
          <w:rFonts w:ascii="Arial" w:hAnsi="Arial"/>
          <w:sz w:val="20"/>
        </w:rPr>
        <w:t>JUDr. Tomáš Vavřinec</w:t>
      </w:r>
    </w:p>
    <w:p w14:paraId="380038AA" w14:textId="7777777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</w:p>
    <w:p w14:paraId="77055976" w14:textId="77777777" w:rsidR="00335D81" w:rsidRDefault="00796A29" w:rsidP="00335D81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r w:rsidR="00E35B2B">
        <w:rPr>
          <w:rFonts w:ascii="Verdana" w:hAnsi="Verdana"/>
          <w:color w:val="333333"/>
          <w:sz w:val="18"/>
          <w:szCs w:val="18"/>
          <w:shd w:val="clear" w:color="auto" w:fill="FFFFFF"/>
        </w:rPr>
        <w:t>C 22772 vedená u Městského soudu v Praze</w:t>
      </w:r>
      <w:r w:rsidRPr="001759DF">
        <w:rPr>
          <w:rFonts w:ascii="Arial" w:hAnsi="Arial"/>
          <w:sz w:val="20"/>
        </w:rPr>
        <w:t xml:space="preserve">                                    </w:t>
      </w:r>
    </w:p>
    <w:p w14:paraId="0F92D907" w14:textId="065CC4DA" w:rsidR="00796A29" w:rsidRPr="00335D81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0F9C9DB7" w14:textId="2FF8A34E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 w:rsidRPr="00335D81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709DC571" w:rsidR="00796A29" w:rsidRPr="001759DF" w:rsidRDefault="008C0A0B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6FAC85A5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20B1276E" w:rsidR="00FF2A17" w:rsidRDefault="008614D2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8614D2">
        <w:rPr>
          <w:rFonts w:ascii="Arial" w:hAnsi="Arial" w:cs="Arial"/>
          <w:b/>
          <w:bCs/>
        </w:rPr>
        <w:t xml:space="preserve">Stavba vodovodního a kanalizačního řadu na </w:t>
      </w:r>
      <w:proofErr w:type="spellStart"/>
      <w:r w:rsidRPr="008614D2">
        <w:rPr>
          <w:rFonts w:ascii="Arial" w:hAnsi="Arial" w:cs="Arial"/>
          <w:b/>
          <w:bCs/>
        </w:rPr>
        <w:t>poz</w:t>
      </w:r>
      <w:proofErr w:type="spellEnd"/>
      <w:r w:rsidRPr="008614D2">
        <w:rPr>
          <w:rFonts w:ascii="Arial" w:hAnsi="Arial" w:cs="Arial"/>
          <w:b/>
          <w:bCs/>
        </w:rPr>
        <w:t xml:space="preserve">. č. 3869, 3878, kat. </w:t>
      </w:r>
      <w:proofErr w:type="spellStart"/>
      <w:r w:rsidRPr="008614D2">
        <w:rPr>
          <w:rFonts w:ascii="Arial" w:hAnsi="Arial" w:cs="Arial"/>
          <w:b/>
          <w:bCs/>
        </w:rPr>
        <w:t>úz</w:t>
      </w:r>
      <w:proofErr w:type="spellEnd"/>
      <w:r w:rsidRPr="008614D2">
        <w:rPr>
          <w:rFonts w:ascii="Arial" w:hAnsi="Arial" w:cs="Arial"/>
          <w:b/>
          <w:bCs/>
        </w:rPr>
        <w:t>. Modřany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 xml:space="preserve">odního díla dojde k vybudování provizorních přepojení či jiných </w:t>
      </w:r>
      <w:r w:rsidR="00B422E0" w:rsidRPr="00FF2A17">
        <w:rPr>
          <w:rFonts w:ascii="Arial" w:hAnsi="Arial"/>
        </w:rPr>
        <w:lastRenderedPageBreak/>
        <w:t>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01E17B12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</w:p>
    <w:p w14:paraId="05DFF9E4" w14:textId="36D6C976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</w:p>
    <w:p w14:paraId="553E3FA9" w14:textId="77777777" w:rsidR="008C0A0B" w:rsidRDefault="00C54C82" w:rsidP="00516E23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8C0A0B">
        <w:rPr>
          <w:rFonts w:ascii="Arial" w:hAnsi="Arial"/>
          <w:sz w:val="20"/>
        </w:rPr>
        <w:t xml:space="preserve">e-mail určený pro komunikaci s Provozovatelem je </w:t>
      </w:r>
    </w:p>
    <w:p w14:paraId="57563921" w14:textId="5F9E415C" w:rsidR="00C54C82" w:rsidRPr="008C0A0B" w:rsidRDefault="00C54C82" w:rsidP="00516E23">
      <w:pPr>
        <w:pStyle w:val="Zkladntext"/>
        <w:numPr>
          <w:ilvl w:val="2"/>
          <w:numId w:val="15"/>
        </w:numPr>
        <w:tabs>
          <w:tab w:val="left" w:pos="709"/>
        </w:tabs>
        <w:ind w:left="567" w:hanging="170"/>
        <w:rPr>
          <w:rFonts w:ascii="Arial" w:hAnsi="Arial"/>
          <w:sz w:val="20"/>
        </w:rPr>
      </w:pPr>
      <w:r w:rsidRPr="008C0A0B">
        <w:rPr>
          <w:rFonts w:ascii="Arial" w:hAnsi="Arial"/>
          <w:sz w:val="20"/>
        </w:rPr>
        <w:t xml:space="preserve">V oznámení musí být v předmětu emailu uvedeno číslo této Smlouvy, v textu emailu pak název Vodního díla.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</w:t>
      </w:r>
      <w:r w:rsidR="005228E8" w:rsidRPr="00947D6B">
        <w:rPr>
          <w:rFonts w:ascii="Arial" w:hAnsi="Arial"/>
          <w:sz w:val="20"/>
        </w:rPr>
        <w:lastRenderedPageBreak/>
        <w:t xml:space="preserve">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2880AFD8" w14:textId="77777777" w:rsidR="008C0A0B" w:rsidRDefault="009C32B1" w:rsidP="008C0A0B">
      <w:pPr>
        <w:pStyle w:val="Zkladntext"/>
        <w:tabs>
          <w:tab w:val="left" w:pos="709"/>
        </w:tabs>
        <w:ind w:left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</w:t>
      </w:r>
    </w:p>
    <w:p w14:paraId="0D52BB18" w14:textId="3E4642E2" w:rsidR="00285469" w:rsidRDefault="004B53E6" w:rsidP="008C0A0B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bookmarkStart w:id="1" w:name="_GoBack"/>
      <w:bookmarkEnd w:id="1"/>
      <w:r w:rsidRPr="00285469">
        <w:rPr>
          <w:rFonts w:ascii="Arial" w:hAnsi="Arial"/>
          <w:sz w:val="20"/>
        </w:rPr>
        <w:t>Stavebník na své náklady zajišťuje realizaci stavební akce v </w:t>
      </w:r>
      <w:r w:rsidR="00131F4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38B1422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09AD8C6E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</w:t>
      </w:r>
      <w:proofErr w:type="gramStart"/>
      <w:r w:rsidRPr="0085561B">
        <w:rPr>
          <w:rFonts w:ascii="Arial" w:hAnsi="Arial" w:cs="Arial"/>
          <w:sz w:val="20"/>
        </w:rPr>
        <w:t>Stavebník</w:t>
      </w:r>
      <w:r w:rsidR="007E1142">
        <w:rPr>
          <w:rFonts w:ascii="Arial" w:hAnsi="Arial" w:cs="Arial"/>
          <w:sz w:val="20"/>
        </w:rPr>
        <w:t xml:space="preserve"> </w:t>
      </w:r>
      <w:r w:rsidRPr="0085561B">
        <w:rPr>
          <w:rFonts w:ascii="Arial" w:hAnsi="Arial" w:cs="Arial"/>
          <w:sz w:val="20"/>
        </w:rPr>
        <w:t xml:space="preserve"> </w:t>
      </w:r>
      <w:r w:rsidR="00F40D37">
        <w:rPr>
          <w:rFonts w:ascii="Arial" w:hAnsi="Arial" w:cs="Arial"/>
          <w:sz w:val="20"/>
        </w:rPr>
        <w:t>se</w:t>
      </w:r>
      <w:proofErr w:type="gramEnd"/>
      <w:r w:rsidR="00F40D37">
        <w:rPr>
          <w:rFonts w:ascii="Arial" w:hAnsi="Arial" w:cs="Arial"/>
          <w:sz w:val="20"/>
        </w:rPr>
        <w:t xml:space="preserve">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</w:t>
      </w:r>
      <w:r w:rsidRPr="001759DF">
        <w:rPr>
          <w:rFonts w:ascii="Arial" w:hAnsi="Arial" w:cs="Arial"/>
          <w:sz w:val="20"/>
        </w:rPr>
        <w:lastRenderedPageBreak/>
        <w:t xml:space="preserve">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561616E3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lastRenderedPageBreak/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>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72FD3870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tranami označeny za obchodní </w:t>
      </w:r>
      <w:proofErr w:type="gramStart"/>
      <w:r w:rsidRPr="00337EB6">
        <w:rPr>
          <w:rFonts w:ascii="Arial" w:hAnsi="Arial" w:cs="Arial"/>
          <w:sz w:val="20"/>
        </w:rPr>
        <w:t>tajemství.</w:t>
      </w:r>
      <w:r w:rsidR="00EF5EF6" w:rsidRPr="00EF5EF6">
        <w:rPr>
          <w:rFonts w:ascii="Arial" w:hAnsi="Arial" w:cs="Arial"/>
          <w:sz w:val="20"/>
        </w:rPr>
        <w:t>.</w:t>
      </w:r>
      <w:proofErr w:type="gramEnd"/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B6C5603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1"/>
      <w:footerReference w:type="even" r:id="rId12"/>
      <w:footerReference w:type="default" r:id="rId13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05A3F" w14:textId="77777777" w:rsidR="00626E7A" w:rsidRDefault="00626E7A" w:rsidP="00796A29">
      <w:r>
        <w:separator/>
      </w:r>
    </w:p>
  </w:endnote>
  <w:endnote w:type="continuationSeparator" w:id="0">
    <w:p w14:paraId="0F80267C" w14:textId="77777777" w:rsidR="00626E7A" w:rsidRDefault="00626E7A" w:rsidP="00796A29">
      <w:r>
        <w:continuationSeparator/>
      </w:r>
    </w:p>
  </w:endnote>
  <w:endnote w:type="continuationNotice" w:id="1">
    <w:p w14:paraId="3C529EEC" w14:textId="77777777" w:rsidR="00626E7A" w:rsidRDefault="00626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F239F" w14:textId="77777777" w:rsidR="00626E7A" w:rsidRDefault="00626E7A" w:rsidP="00796A29">
      <w:r>
        <w:separator/>
      </w:r>
    </w:p>
  </w:footnote>
  <w:footnote w:type="continuationSeparator" w:id="0">
    <w:p w14:paraId="2180588B" w14:textId="77777777" w:rsidR="00626E7A" w:rsidRDefault="00626E7A" w:rsidP="00796A29">
      <w:r>
        <w:continuationSeparator/>
      </w:r>
    </w:p>
  </w:footnote>
  <w:footnote w:type="continuationNotice" w:id="1">
    <w:p w14:paraId="2BF58DC7" w14:textId="77777777" w:rsidR="00626E7A" w:rsidRDefault="00626E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105304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C2F5F"/>
    <w:rsid w:val="002C57FA"/>
    <w:rsid w:val="002D45D7"/>
    <w:rsid w:val="002E234C"/>
    <w:rsid w:val="002F0C05"/>
    <w:rsid w:val="002F187B"/>
    <w:rsid w:val="003005ED"/>
    <w:rsid w:val="00307217"/>
    <w:rsid w:val="00317227"/>
    <w:rsid w:val="003222A5"/>
    <w:rsid w:val="00325BF0"/>
    <w:rsid w:val="00325C7C"/>
    <w:rsid w:val="00325DF1"/>
    <w:rsid w:val="003343C7"/>
    <w:rsid w:val="00335D81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43BE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2A9E"/>
    <w:rsid w:val="00544681"/>
    <w:rsid w:val="00545770"/>
    <w:rsid w:val="00545F1F"/>
    <w:rsid w:val="0055253B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421A"/>
    <w:rsid w:val="00603905"/>
    <w:rsid w:val="00625EB5"/>
    <w:rsid w:val="00626A65"/>
    <w:rsid w:val="00626E7A"/>
    <w:rsid w:val="006307A0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2F62"/>
    <w:rsid w:val="00694D61"/>
    <w:rsid w:val="006A3081"/>
    <w:rsid w:val="006A42DD"/>
    <w:rsid w:val="006D0AF1"/>
    <w:rsid w:val="006D300C"/>
    <w:rsid w:val="006D474D"/>
    <w:rsid w:val="006E3966"/>
    <w:rsid w:val="006F18DA"/>
    <w:rsid w:val="006F6888"/>
    <w:rsid w:val="006F76EE"/>
    <w:rsid w:val="0070197F"/>
    <w:rsid w:val="007020D6"/>
    <w:rsid w:val="00705FD6"/>
    <w:rsid w:val="0071343B"/>
    <w:rsid w:val="00714099"/>
    <w:rsid w:val="00715CE8"/>
    <w:rsid w:val="00715E81"/>
    <w:rsid w:val="00730BDE"/>
    <w:rsid w:val="00737213"/>
    <w:rsid w:val="00737EC6"/>
    <w:rsid w:val="007533A2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14D2"/>
    <w:rsid w:val="0086641D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0A0B"/>
    <w:rsid w:val="008C3FD3"/>
    <w:rsid w:val="008C7E84"/>
    <w:rsid w:val="008D0C12"/>
    <w:rsid w:val="008D1685"/>
    <w:rsid w:val="008E0B9F"/>
    <w:rsid w:val="008E11C6"/>
    <w:rsid w:val="008E674D"/>
    <w:rsid w:val="008E75C8"/>
    <w:rsid w:val="008F1626"/>
    <w:rsid w:val="008F216C"/>
    <w:rsid w:val="008F670D"/>
    <w:rsid w:val="009108D9"/>
    <w:rsid w:val="00924650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687E"/>
    <w:rsid w:val="00996A10"/>
    <w:rsid w:val="009A146B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E0BEB"/>
    <w:rsid w:val="00AE0EAE"/>
    <w:rsid w:val="00AE5764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24A5"/>
    <w:rsid w:val="00B3296E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7EC0"/>
    <w:rsid w:val="00BC797F"/>
    <w:rsid w:val="00BE2270"/>
    <w:rsid w:val="00BE3482"/>
    <w:rsid w:val="00BE408B"/>
    <w:rsid w:val="00BE49F0"/>
    <w:rsid w:val="00BF7D08"/>
    <w:rsid w:val="00C050DE"/>
    <w:rsid w:val="00C07631"/>
    <w:rsid w:val="00C20ABA"/>
    <w:rsid w:val="00C31025"/>
    <w:rsid w:val="00C338C0"/>
    <w:rsid w:val="00C33C30"/>
    <w:rsid w:val="00C43551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546DB"/>
    <w:rsid w:val="00D61956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D7966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37C5"/>
    <w:rsid w:val="00E14ACA"/>
    <w:rsid w:val="00E35B2B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80655"/>
    <w:rsid w:val="00F81F38"/>
    <w:rsid w:val="00F90B8F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10CB3-A0AF-45F0-9D10-3557C30557FD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A8AB9002-727F-480D-AD8F-922C8DD3E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6721</Words>
  <Characters>39658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2020-08-17T11:56:00Z</cp:lastPrinted>
  <dcterms:created xsi:type="dcterms:W3CDTF">2021-04-20T06:10:00Z</dcterms:created>
  <dcterms:modified xsi:type="dcterms:W3CDTF">2021-04-20T06:10:00Z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