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AD532" w14:textId="30646C4F" w:rsidR="00220960" w:rsidRPr="00220960" w:rsidRDefault="00220960" w:rsidP="00A4389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2096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692B21B" wp14:editId="179BDB3C">
            <wp:simplePos x="0" y="0"/>
            <wp:positionH relativeFrom="margin">
              <wp:align>right</wp:align>
            </wp:positionH>
            <wp:positionV relativeFrom="paragraph">
              <wp:posOffset>-648335</wp:posOffset>
            </wp:positionV>
            <wp:extent cx="1851660" cy="640080"/>
            <wp:effectExtent l="0" t="0" r="0" b="0"/>
            <wp:wrapNone/>
            <wp:docPr id="3" name="Obrázek 3" descr="CENDIS, s.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DIS, s.p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960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D48574" wp14:editId="682F794D">
            <wp:simplePos x="0" y="0"/>
            <wp:positionH relativeFrom="column">
              <wp:posOffset>45720</wp:posOffset>
            </wp:positionH>
            <wp:positionV relativeFrom="paragraph">
              <wp:posOffset>-638175</wp:posOffset>
            </wp:positionV>
            <wp:extent cx="1615440" cy="629626"/>
            <wp:effectExtent l="0" t="0" r="3810" b="0"/>
            <wp:wrapNone/>
            <wp:docPr id="4" name="Obrázek 4" descr="C:\Users\Václav Henzl\AppData\Local\Microsoft\Windows\INetCache\Content.MSO\714592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áclav Henzl\AppData\Local\Microsoft\Windows\INetCache\Content.MSO\7145922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2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FBD38" w14:textId="2C760F3F" w:rsidR="002134DB" w:rsidRDefault="0067689C" w:rsidP="0067689C">
      <w:pPr>
        <w:jc w:val="right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CES 5/2020/2</w:t>
      </w:r>
    </w:p>
    <w:p w14:paraId="700AFD22" w14:textId="77777777" w:rsidR="002134DB" w:rsidRDefault="002134DB" w:rsidP="00A4389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09E01DA" w14:textId="77777777" w:rsidR="002134DB" w:rsidRDefault="002134DB" w:rsidP="00A4389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8B9F5D0" w14:textId="77777777" w:rsidR="002134DB" w:rsidRDefault="002134DB" w:rsidP="00A4389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D7C598C" w14:textId="743AA95E" w:rsidR="00A43893" w:rsidRPr="00220960" w:rsidRDefault="00A43893" w:rsidP="00A4389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20960">
        <w:rPr>
          <w:rFonts w:asciiTheme="minorHAnsi" w:hAnsiTheme="minorHAnsi" w:cstheme="minorHAnsi"/>
          <w:b/>
          <w:caps/>
          <w:sz w:val="22"/>
          <w:szCs w:val="22"/>
        </w:rPr>
        <w:t xml:space="preserve">DODATEK Č. </w:t>
      </w:r>
      <w:r w:rsidR="00B42B94">
        <w:rPr>
          <w:rFonts w:asciiTheme="minorHAnsi" w:hAnsiTheme="minorHAnsi" w:cstheme="minorHAnsi"/>
          <w:b/>
          <w:caps/>
          <w:sz w:val="22"/>
          <w:szCs w:val="22"/>
        </w:rPr>
        <w:t>2</w:t>
      </w:r>
    </w:p>
    <w:p w14:paraId="66841A30" w14:textId="19378841" w:rsidR="00A43893" w:rsidRPr="00220960" w:rsidRDefault="00A43893" w:rsidP="00A4389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20960">
        <w:rPr>
          <w:rFonts w:asciiTheme="minorHAnsi" w:hAnsiTheme="minorHAnsi" w:cstheme="minorHAnsi"/>
          <w:b/>
          <w:caps/>
          <w:sz w:val="22"/>
          <w:szCs w:val="22"/>
        </w:rPr>
        <w:t xml:space="preserve">KE SmlouvĚ o </w:t>
      </w:r>
      <w:r w:rsidR="00220960" w:rsidRPr="00220960">
        <w:rPr>
          <w:rFonts w:asciiTheme="minorHAnsi" w:hAnsiTheme="minorHAnsi" w:cstheme="minorHAnsi"/>
          <w:b/>
          <w:caps/>
          <w:sz w:val="22"/>
          <w:szCs w:val="22"/>
        </w:rPr>
        <w:t xml:space="preserve">NÁVRHU, VÝVOJI, IMPLEMENTACI A SPRÁVĚ </w:t>
      </w:r>
      <w:r w:rsidR="00220960" w:rsidRPr="00220960">
        <w:rPr>
          <w:rFonts w:asciiTheme="minorHAnsi" w:hAnsiTheme="minorHAnsi" w:cstheme="minorHAnsi"/>
          <w:b/>
          <w:caps/>
          <w:sz w:val="22"/>
          <w:szCs w:val="22"/>
        </w:rPr>
        <w:br/>
        <w:t>INFORMAČNÍHO SYSTÉMU ELEKTRONICKÉ DÁLNIČNÍ ZNÁMKY</w:t>
      </w:r>
    </w:p>
    <w:p w14:paraId="0272EE4C" w14:textId="669526E2" w:rsidR="00220960" w:rsidRPr="00220960" w:rsidRDefault="00220960" w:rsidP="00A4389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74ED8477" w14:textId="7F209D96" w:rsidR="00A43893" w:rsidRPr="00220960" w:rsidRDefault="00220960" w:rsidP="00D4101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20960">
        <w:rPr>
          <w:rFonts w:asciiTheme="minorHAnsi" w:hAnsiTheme="minorHAnsi" w:cstheme="minorHAnsi"/>
          <w:bCs/>
          <w:sz w:val="22"/>
          <w:szCs w:val="22"/>
        </w:rPr>
        <w:t>uzavřený v</w:t>
      </w:r>
      <w:r w:rsidR="00D4101B" w:rsidRPr="00220960">
        <w:rPr>
          <w:rFonts w:asciiTheme="minorHAnsi" w:hAnsiTheme="minorHAnsi" w:cstheme="minorHAnsi"/>
          <w:bCs/>
          <w:sz w:val="22"/>
          <w:szCs w:val="22"/>
        </w:rPr>
        <w:t xml:space="preserve"> souladu se zákonem č. 89/2012 Sb., občanský zákoník, ve znění pozdějších předpisů </w:t>
      </w:r>
      <w:r w:rsidRPr="00220960">
        <w:rPr>
          <w:rFonts w:asciiTheme="minorHAnsi" w:hAnsiTheme="minorHAnsi" w:cstheme="minorHAnsi"/>
          <w:bCs/>
          <w:sz w:val="22"/>
          <w:szCs w:val="22"/>
        </w:rPr>
        <w:br/>
      </w:r>
      <w:r w:rsidR="00D4101B" w:rsidRPr="00220960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220960">
        <w:rPr>
          <w:rFonts w:asciiTheme="minorHAnsi" w:hAnsiTheme="minorHAnsi" w:cstheme="minorHAnsi"/>
          <w:b/>
          <w:sz w:val="22"/>
          <w:szCs w:val="22"/>
        </w:rPr>
        <w:t>O</w:t>
      </w:r>
      <w:r w:rsidR="00D4101B" w:rsidRPr="00220960">
        <w:rPr>
          <w:rFonts w:asciiTheme="minorHAnsi" w:hAnsiTheme="minorHAnsi" w:cstheme="minorHAnsi"/>
          <w:b/>
          <w:sz w:val="22"/>
          <w:szCs w:val="22"/>
        </w:rPr>
        <w:t>bčanský zákoník</w:t>
      </w:r>
      <w:r w:rsidR="00D4101B" w:rsidRPr="00220960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CF5A41A" w14:textId="5FFA5AE5" w:rsidR="00831332" w:rsidRPr="00220960" w:rsidRDefault="00831332" w:rsidP="00D4101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55B2220" w14:textId="77777777" w:rsidR="00220960" w:rsidRPr="00220960" w:rsidRDefault="00220960" w:rsidP="0022096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tabs>
          <w:tab w:val="left" w:pos="4111"/>
        </w:tabs>
        <w:suppressAutoHyphens/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Smluvní strany</w:t>
      </w:r>
    </w:p>
    <w:p w14:paraId="386392D4" w14:textId="77777777" w:rsidR="00220960" w:rsidRPr="00220960" w:rsidRDefault="00220960" w:rsidP="00220960">
      <w:pPr>
        <w:pStyle w:val="Zkladntext"/>
        <w:suppressLineNumbers/>
        <w:suppressAutoHyphens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F04A81B" w14:textId="77777777" w:rsidR="00220960" w:rsidRPr="00220960" w:rsidRDefault="00220960" w:rsidP="00220960">
      <w:pPr>
        <w:pStyle w:val="Zkladntext"/>
        <w:numPr>
          <w:ilvl w:val="0"/>
          <w:numId w:val="12"/>
        </w:numPr>
        <w:suppressLineNumbers/>
        <w:suppressAutoHyphens/>
        <w:autoSpaceDE w:val="0"/>
        <w:autoSpaceDN w:val="0"/>
        <w:spacing w:after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960">
        <w:rPr>
          <w:rFonts w:asciiTheme="minorHAnsi" w:hAnsiTheme="minorHAnsi" w:cstheme="minorHAnsi"/>
          <w:b/>
          <w:bCs/>
          <w:sz w:val="22"/>
          <w:szCs w:val="22"/>
        </w:rPr>
        <w:t>Státní fond dopravní infrastruktury</w:t>
      </w:r>
    </w:p>
    <w:p w14:paraId="50B1EC86" w14:textId="77777777" w:rsidR="00220960" w:rsidRPr="00220960" w:rsidRDefault="00220960" w:rsidP="00220960">
      <w:pPr>
        <w:pStyle w:val="Zkladntext"/>
        <w:suppressLineNumbers/>
        <w:suppressAutoHyphens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4CBACEA" w14:textId="77777777" w:rsidR="00220960" w:rsidRPr="00220960" w:rsidRDefault="00220960" w:rsidP="00220960">
      <w:pPr>
        <w:pStyle w:val="Zkladntext"/>
        <w:suppressLineNumbers/>
        <w:suppressAutoHyphens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Sídlo: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>Sokolovská 1955/278, 190 00 Praha 9</w:t>
      </w:r>
    </w:p>
    <w:p w14:paraId="24B57DDA" w14:textId="77777777" w:rsidR="00220960" w:rsidRPr="00220960" w:rsidRDefault="00220960" w:rsidP="00220960">
      <w:pPr>
        <w:pStyle w:val="Zkladntext"/>
        <w:suppressLineNumbers/>
        <w:suppressAutoHyphens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IČ: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>70856508</w:t>
      </w:r>
    </w:p>
    <w:p w14:paraId="61A9DCCD" w14:textId="77777777" w:rsidR="00220960" w:rsidRPr="00220960" w:rsidRDefault="00220960" w:rsidP="00220960">
      <w:pPr>
        <w:pStyle w:val="Zkladntext"/>
        <w:suppressLineNumbers/>
        <w:suppressAutoHyphens/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DIČ: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 xml:space="preserve">CZ70856508 </w:t>
      </w:r>
    </w:p>
    <w:p w14:paraId="4C887EB0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Zastoupený: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 xml:space="preserve">Ing. Zbyňkem </w:t>
      </w:r>
      <w:proofErr w:type="spellStart"/>
      <w:r w:rsidRPr="00220960">
        <w:rPr>
          <w:rFonts w:asciiTheme="minorHAnsi" w:hAnsiTheme="minorHAnsi" w:cstheme="minorHAnsi"/>
          <w:sz w:val="22"/>
          <w:szCs w:val="22"/>
        </w:rPr>
        <w:t>Hořelicou</w:t>
      </w:r>
      <w:proofErr w:type="spellEnd"/>
      <w:r w:rsidRPr="00220960">
        <w:rPr>
          <w:rFonts w:asciiTheme="minorHAnsi" w:hAnsiTheme="minorHAnsi" w:cstheme="minorHAnsi"/>
          <w:sz w:val="22"/>
          <w:szCs w:val="22"/>
        </w:rPr>
        <w:t>, ředitelem</w:t>
      </w:r>
    </w:p>
    <w:p w14:paraId="2B70F417" w14:textId="2D988B4E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Bankov</w:t>
      </w:r>
      <w:r w:rsidR="00EE28F7">
        <w:rPr>
          <w:rFonts w:asciiTheme="minorHAnsi" w:hAnsiTheme="minorHAnsi" w:cstheme="minorHAnsi"/>
          <w:sz w:val="22"/>
          <w:szCs w:val="22"/>
        </w:rPr>
        <w:t xml:space="preserve">ní spojení: </w:t>
      </w:r>
      <w:r w:rsidR="00EE28F7">
        <w:rPr>
          <w:rFonts w:asciiTheme="minorHAnsi" w:hAnsiTheme="minorHAnsi" w:cstheme="minorHAnsi"/>
          <w:sz w:val="22"/>
          <w:szCs w:val="22"/>
        </w:rPr>
        <w:tab/>
        <w:t>XXX</w:t>
      </w:r>
    </w:p>
    <w:p w14:paraId="2750DB24" w14:textId="7693FC9C" w:rsidR="00220960" w:rsidRPr="00220960" w:rsidRDefault="00EE28F7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č. účtu: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XXX</w:t>
      </w:r>
    </w:p>
    <w:p w14:paraId="63F3C42D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19B9D2DC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i/>
          <w:iCs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(dále jen „</w:t>
      </w:r>
      <w:r w:rsidRPr="00220960">
        <w:rPr>
          <w:rFonts w:asciiTheme="minorHAnsi" w:hAnsiTheme="minorHAnsi" w:cstheme="minorHAnsi"/>
          <w:b/>
          <w:sz w:val="22"/>
          <w:szCs w:val="22"/>
        </w:rPr>
        <w:t>Objednatel</w:t>
      </w:r>
      <w:r w:rsidRPr="00220960">
        <w:rPr>
          <w:rFonts w:asciiTheme="minorHAnsi" w:hAnsiTheme="minorHAnsi" w:cstheme="minorHAnsi"/>
          <w:sz w:val="22"/>
          <w:szCs w:val="22"/>
        </w:rPr>
        <w:t>“)</w:t>
      </w:r>
    </w:p>
    <w:p w14:paraId="08DAF39A" w14:textId="77777777" w:rsidR="00220960" w:rsidRPr="00220960" w:rsidRDefault="00220960" w:rsidP="00220960">
      <w:pPr>
        <w:pStyle w:val="Zkladntext"/>
        <w:suppressLineNumbers/>
        <w:suppressAutoHyphens/>
        <w:spacing w:after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01ED4" w14:textId="77777777" w:rsidR="00220960" w:rsidRPr="00220960" w:rsidRDefault="00220960" w:rsidP="00220960">
      <w:pPr>
        <w:pStyle w:val="Odstavecseseznamem"/>
        <w:numPr>
          <w:ilvl w:val="0"/>
          <w:numId w:val="12"/>
        </w:numPr>
        <w:suppressLineNumbers/>
        <w:suppressAutoHyphens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960">
        <w:rPr>
          <w:rFonts w:asciiTheme="minorHAnsi" w:hAnsiTheme="minorHAnsi" w:cstheme="minorHAnsi"/>
          <w:b/>
          <w:bCs/>
          <w:sz w:val="22"/>
          <w:szCs w:val="22"/>
        </w:rPr>
        <w:t>CENDIS, s. p.</w:t>
      </w:r>
    </w:p>
    <w:p w14:paraId="2F6B9A96" w14:textId="77777777" w:rsidR="00220960" w:rsidRPr="00220960" w:rsidRDefault="00220960" w:rsidP="00220960">
      <w:pPr>
        <w:pStyle w:val="Zkladntext"/>
        <w:suppressLineNumbers/>
        <w:suppressAutoHyphens/>
        <w:spacing w:after="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4E1631BA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Sídlo: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>nábřeží Ludvíka Svobody 1222/12, 110 00 Praha 1</w:t>
      </w:r>
    </w:p>
    <w:p w14:paraId="447E801E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IČ: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>00311391</w:t>
      </w:r>
    </w:p>
    <w:p w14:paraId="4405C6AE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DIČ: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>CZ00311391</w:t>
      </w:r>
    </w:p>
    <w:p w14:paraId="2CA3DB80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Zastoupený:</w:t>
      </w:r>
      <w:r w:rsidRPr="00220960">
        <w:rPr>
          <w:rFonts w:asciiTheme="minorHAnsi" w:hAnsiTheme="minorHAnsi" w:cstheme="minorHAnsi"/>
          <w:sz w:val="22"/>
          <w:szCs w:val="22"/>
        </w:rPr>
        <w:tab/>
      </w:r>
      <w:r w:rsidRPr="00220960">
        <w:rPr>
          <w:rFonts w:asciiTheme="minorHAnsi" w:hAnsiTheme="minorHAnsi" w:cstheme="minorHAnsi"/>
          <w:sz w:val="22"/>
          <w:szCs w:val="22"/>
        </w:rPr>
        <w:tab/>
        <w:t>Ing. Janem Paroubkem, pověřeným řízením státního podniku</w:t>
      </w:r>
    </w:p>
    <w:p w14:paraId="2528929F" w14:textId="20319A89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Bankovní</w:t>
      </w:r>
      <w:r w:rsidR="00EE28F7">
        <w:rPr>
          <w:rFonts w:asciiTheme="minorHAnsi" w:hAnsiTheme="minorHAnsi" w:cstheme="minorHAnsi"/>
          <w:sz w:val="22"/>
          <w:szCs w:val="22"/>
        </w:rPr>
        <w:t xml:space="preserve"> spojení:</w:t>
      </w:r>
      <w:r w:rsidR="00EE28F7">
        <w:rPr>
          <w:rFonts w:asciiTheme="minorHAnsi" w:hAnsiTheme="minorHAnsi" w:cstheme="minorHAnsi"/>
          <w:sz w:val="22"/>
          <w:szCs w:val="22"/>
        </w:rPr>
        <w:tab/>
        <w:t>XXX</w:t>
      </w:r>
    </w:p>
    <w:p w14:paraId="208D9E6D" w14:textId="523F4D92" w:rsidR="00220960" w:rsidRPr="00220960" w:rsidRDefault="00EE28F7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č.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XXX</w:t>
      </w:r>
      <w:bookmarkStart w:id="0" w:name="_GoBack"/>
      <w:bookmarkEnd w:id="0"/>
    </w:p>
    <w:p w14:paraId="74038C11" w14:textId="77777777" w:rsidR="00220960" w:rsidRPr="00220960" w:rsidRDefault="00220960" w:rsidP="00220960">
      <w:pPr>
        <w:suppressLineNumbers/>
        <w:suppressAutoHyphens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 xml:space="preserve">Státní podnik je zapsán v obchodním rejstříku vedeném u Městského soudu v Praze oddíl ALX vložka 706 </w:t>
      </w:r>
    </w:p>
    <w:p w14:paraId="47216B86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826DD8D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(dále jen „</w:t>
      </w:r>
      <w:r w:rsidRPr="00220960">
        <w:rPr>
          <w:rFonts w:asciiTheme="minorHAnsi" w:hAnsiTheme="minorHAnsi" w:cstheme="minorHAnsi"/>
          <w:b/>
          <w:sz w:val="22"/>
          <w:szCs w:val="22"/>
        </w:rPr>
        <w:t>Poskytovatel</w:t>
      </w:r>
      <w:r w:rsidRPr="00220960">
        <w:rPr>
          <w:rFonts w:asciiTheme="minorHAnsi" w:hAnsiTheme="minorHAnsi" w:cstheme="minorHAnsi"/>
          <w:sz w:val="22"/>
          <w:szCs w:val="22"/>
        </w:rPr>
        <w:t>“)</w:t>
      </w:r>
    </w:p>
    <w:p w14:paraId="360E5D50" w14:textId="77777777" w:rsidR="00220960" w:rsidRPr="00220960" w:rsidRDefault="00220960" w:rsidP="00220960">
      <w:pPr>
        <w:suppressLineNumbers/>
        <w:suppressAutoHyphens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601E9FE6" w14:textId="77777777" w:rsidR="00220960" w:rsidRPr="00220960" w:rsidRDefault="00220960" w:rsidP="00220960">
      <w:pPr>
        <w:suppressLineNumbers/>
        <w:suppressAutoHyphens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(Objednatel a Poskytovatel společně jen „</w:t>
      </w:r>
      <w:r w:rsidRPr="00220960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220960">
        <w:rPr>
          <w:rFonts w:asciiTheme="minorHAnsi" w:hAnsiTheme="minorHAnsi" w:cstheme="minorHAnsi"/>
          <w:sz w:val="22"/>
          <w:szCs w:val="22"/>
        </w:rPr>
        <w:t>“ a samostatně též jako „</w:t>
      </w:r>
      <w:r w:rsidRPr="00220960">
        <w:rPr>
          <w:rFonts w:asciiTheme="minorHAnsi" w:hAnsiTheme="minorHAnsi" w:cstheme="minorHAnsi"/>
          <w:b/>
          <w:sz w:val="22"/>
          <w:szCs w:val="22"/>
        </w:rPr>
        <w:t>Smluvní strana</w:t>
      </w:r>
      <w:r w:rsidRPr="00220960">
        <w:rPr>
          <w:rFonts w:asciiTheme="minorHAnsi" w:hAnsiTheme="minorHAnsi" w:cstheme="minorHAnsi"/>
          <w:sz w:val="22"/>
          <w:szCs w:val="22"/>
        </w:rPr>
        <w:t>“)</w:t>
      </w:r>
    </w:p>
    <w:p w14:paraId="11E93298" w14:textId="77777777" w:rsidR="00220960" w:rsidRPr="00220960" w:rsidRDefault="00220960" w:rsidP="0022096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3A46A43F" w14:textId="77777777" w:rsidR="00220960" w:rsidRPr="00220960" w:rsidRDefault="00220960" w:rsidP="0022096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317D31D" w14:textId="09806E8B" w:rsidR="00220960" w:rsidRDefault="00220960" w:rsidP="0022096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284" w:hanging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 xml:space="preserve">Uzavřely níže uvedeného dne, měsíce a roku tento dodatek č. </w:t>
      </w:r>
      <w:r w:rsidR="00B42B94">
        <w:rPr>
          <w:rFonts w:asciiTheme="minorHAnsi" w:hAnsiTheme="minorHAnsi" w:cstheme="minorHAnsi"/>
          <w:sz w:val="22"/>
          <w:szCs w:val="22"/>
        </w:rPr>
        <w:t>2</w:t>
      </w:r>
      <w:r w:rsidRPr="00220960">
        <w:rPr>
          <w:rFonts w:asciiTheme="minorHAnsi" w:hAnsiTheme="minorHAnsi" w:cstheme="minorHAnsi"/>
          <w:sz w:val="22"/>
          <w:szCs w:val="22"/>
        </w:rPr>
        <w:t xml:space="preserve"> ke smlouvě o návrhu, vývoji, implementaci a správě informačního systému elektronické dálniční známky</w:t>
      </w:r>
      <w:r w:rsidRPr="00220960" w:rsidDel="001C4BA5">
        <w:rPr>
          <w:rFonts w:asciiTheme="minorHAnsi" w:hAnsiTheme="minorHAnsi" w:cstheme="minorHAnsi"/>
          <w:sz w:val="22"/>
          <w:szCs w:val="22"/>
        </w:rPr>
        <w:t xml:space="preserve"> </w:t>
      </w:r>
      <w:r w:rsidRPr="00220960">
        <w:rPr>
          <w:rFonts w:asciiTheme="minorHAnsi" w:hAnsiTheme="minorHAnsi" w:cstheme="minorHAnsi"/>
          <w:b w:val="0"/>
          <w:bCs w:val="0"/>
          <w:sz w:val="22"/>
          <w:szCs w:val="22"/>
        </w:rPr>
        <w:t>(dále jen „</w:t>
      </w:r>
      <w:r w:rsidRPr="00220960">
        <w:rPr>
          <w:rFonts w:asciiTheme="minorHAnsi" w:hAnsiTheme="minorHAnsi" w:cstheme="minorHAnsi"/>
          <w:sz w:val="22"/>
          <w:szCs w:val="22"/>
        </w:rPr>
        <w:t>Dodatek</w:t>
      </w:r>
      <w:r w:rsidRPr="00220960">
        <w:rPr>
          <w:rFonts w:asciiTheme="minorHAnsi" w:hAnsiTheme="minorHAnsi" w:cstheme="minorHAnsi"/>
          <w:b w:val="0"/>
          <w:bCs w:val="0"/>
          <w:sz w:val="22"/>
          <w:szCs w:val="22"/>
        </w:rPr>
        <w:t>“)</w:t>
      </w:r>
    </w:p>
    <w:p w14:paraId="0EDBB4AB" w14:textId="1DAEBEA4" w:rsidR="0063681F" w:rsidRDefault="0063681F" w:rsidP="0063681F">
      <w:pPr>
        <w:pStyle w:val="Zkladntext"/>
      </w:pPr>
    </w:p>
    <w:p w14:paraId="1939FE49" w14:textId="4BE9CFB1" w:rsidR="00220960" w:rsidRPr="00220960" w:rsidRDefault="00220960" w:rsidP="00220960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0"/>
          <w:numId w:val="13"/>
        </w:numPr>
        <w:suppressLineNumbers/>
        <w:shd w:val="clear" w:color="auto" w:fill="D9E2F3" w:themeFill="accent1" w:themeFillTint="33"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>ÚVODNÍ UJEDNÁNÍ</w:t>
      </w:r>
    </w:p>
    <w:p w14:paraId="11ACD3AB" w14:textId="77777777" w:rsidR="00A43893" w:rsidRPr="00220960" w:rsidRDefault="00A43893" w:rsidP="00A43893">
      <w:pPr>
        <w:pStyle w:val="Zkladntext2"/>
        <w:tabs>
          <w:tab w:val="left" w:pos="2552"/>
        </w:tabs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3C4738C9" w14:textId="1F1D737C" w:rsidR="00F970C8" w:rsidRDefault="00220960" w:rsidP="007B178D">
      <w:pPr>
        <w:pStyle w:val="Odstavecseseznamem"/>
        <w:numPr>
          <w:ilvl w:val="0"/>
          <w:numId w:val="7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 xml:space="preserve">Zkratky užité v tomto Dodatku mají význam definovaný v článku 1 </w:t>
      </w:r>
      <w:r w:rsidR="00593740">
        <w:rPr>
          <w:rFonts w:asciiTheme="minorHAnsi" w:hAnsiTheme="minorHAnsi" w:cstheme="minorHAnsi"/>
          <w:sz w:val="22"/>
          <w:szCs w:val="22"/>
        </w:rPr>
        <w:t xml:space="preserve">smlouvy </w:t>
      </w:r>
      <w:r w:rsidR="00593740" w:rsidRPr="00F970C8">
        <w:rPr>
          <w:rFonts w:asciiTheme="minorHAnsi" w:hAnsiTheme="minorHAnsi" w:cstheme="minorHAnsi"/>
          <w:sz w:val="22"/>
          <w:szCs w:val="22"/>
        </w:rPr>
        <w:t>o návrhu, vývoji, implementaci a správě informačního systému elektronické dálniční známky</w:t>
      </w:r>
      <w:r w:rsidR="00D42C27">
        <w:rPr>
          <w:rFonts w:asciiTheme="minorHAnsi" w:hAnsiTheme="minorHAnsi" w:cstheme="minorHAnsi"/>
          <w:sz w:val="22"/>
          <w:szCs w:val="22"/>
        </w:rPr>
        <w:t>, kterou Smluvní strany uzavřely dne 3. 3. 2020</w:t>
      </w:r>
      <w:r w:rsidR="00B42B94">
        <w:rPr>
          <w:rFonts w:asciiTheme="minorHAnsi" w:hAnsiTheme="minorHAnsi" w:cstheme="minorHAnsi"/>
          <w:sz w:val="22"/>
          <w:szCs w:val="22"/>
        </w:rPr>
        <w:t xml:space="preserve">, ve znění dodatku č. 1, který Smluvní strany uzavřely dne </w:t>
      </w:r>
      <w:r w:rsidR="007325B4">
        <w:rPr>
          <w:rFonts w:asciiTheme="minorHAnsi" w:hAnsiTheme="minorHAnsi" w:cstheme="minorHAnsi"/>
          <w:sz w:val="22"/>
          <w:szCs w:val="22"/>
        </w:rPr>
        <w:t>4</w:t>
      </w:r>
      <w:r w:rsidR="00B42B94">
        <w:rPr>
          <w:rFonts w:asciiTheme="minorHAnsi" w:hAnsiTheme="minorHAnsi" w:cstheme="minorHAnsi"/>
          <w:sz w:val="22"/>
          <w:szCs w:val="22"/>
        </w:rPr>
        <w:t xml:space="preserve">. </w:t>
      </w:r>
      <w:r w:rsidR="007325B4">
        <w:rPr>
          <w:rFonts w:asciiTheme="minorHAnsi" w:hAnsiTheme="minorHAnsi" w:cstheme="minorHAnsi"/>
          <w:sz w:val="22"/>
          <w:szCs w:val="22"/>
        </w:rPr>
        <w:t>12</w:t>
      </w:r>
      <w:r w:rsidR="00B42B94">
        <w:rPr>
          <w:rFonts w:asciiTheme="minorHAnsi" w:hAnsiTheme="minorHAnsi" w:cstheme="minorHAnsi"/>
          <w:sz w:val="22"/>
          <w:szCs w:val="22"/>
        </w:rPr>
        <w:t xml:space="preserve">. 2020 </w:t>
      </w:r>
      <w:r w:rsidR="00593740" w:rsidRPr="00F970C8">
        <w:rPr>
          <w:rFonts w:asciiTheme="minorHAnsi" w:hAnsiTheme="minorHAnsi" w:cstheme="minorHAnsi"/>
          <w:sz w:val="22"/>
          <w:szCs w:val="22"/>
        </w:rPr>
        <w:t>(dále jen „</w:t>
      </w:r>
      <w:r w:rsidR="00593740" w:rsidRPr="00593740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="00593740" w:rsidRPr="00F970C8">
        <w:rPr>
          <w:rFonts w:asciiTheme="minorHAnsi" w:hAnsiTheme="minorHAnsi" w:cstheme="minorHAnsi"/>
          <w:sz w:val="22"/>
          <w:szCs w:val="22"/>
        </w:rPr>
        <w:t>“)</w:t>
      </w:r>
      <w:r w:rsidR="00593740">
        <w:rPr>
          <w:rFonts w:asciiTheme="minorHAnsi" w:hAnsiTheme="minorHAnsi" w:cstheme="minorHAnsi"/>
          <w:sz w:val="22"/>
          <w:szCs w:val="22"/>
        </w:rPr>
        <w:t>.</w:t>
      </w:r>
    </w:p>
    <w:p w14:paraId="1DA09EC0" w14:textId="77777777" w:rsidR="0057218C" w:rsidRDefault="0057218C" w:rsidP="00DC7DBF">
      <w:pPr>
        <w:pStyle w:val="Odstavecseseznamem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E6B58B" w14:textId="1F257EE2" w:rsidR="00F970C8" w:rsidRDefault="00D42C27" w:rsidP="00DC7DBF">
      <w:pPr>
        <w:pStyle w:val="Odstavecseseznamem"/>
        <w:numPr>
          <w:ilvl w:val="0"/>
          <w:numId w:val="7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Účelem Smlouvy</w:t>
      </w:r>
      <w:r w:rsidR="00220960" w:rsidRPr="00F970C8">
        <w:rPr>
          <w:rFonts w:asciiTheme="minorHAnsi" w:hAnsiTheme="minorHAnsi" w:cstheme="minorHAnsi"/>
          <w:sz w:val="22"/>
          <w:szCs w:val="22"/>
        </w:rPr>
        <w:t xml:space="preserve"> je provedení vývoje IS</w:t>
      </w:r>
      <w:r w:rsidR="0057218C">
        <w:rPr>
          <w:rFonts w:asciiTheme="minorHAnsi" w:hAnsiTheme="minorHAnsi" w:cstheme="minorHAnsi"/>
          <w:sz w:val="22"/>
          <w:szCs w:val="22"/>
        </w:rPr>
        <w:t> </w:t>
      </w:r>
      <w:r w:rsidR="00220960" w:rsidRPr="00F970C8">
        <w:rPr>
          <w:rFonts w:asciiTheme="minorHAnsi" w:hAnsiTheme="minorHAnsi" w:cstheme="minorHAnsi"/>
          <w:sz w:val="22"/>
          <w:szCs w:val="22"/>
        </w:rPr>
        <w:t>EDAZ, jeho Implementace, Integrace, jakož i následné provozování, podpor</w:t>
      </w:r>
      <w:r w:rsidR="000C7AF7">
        <w:rPr>
          <w:rFonts w:asciiTheme="minorHAnsi" w:hAnsiTheme="minorHAnsi" w:cstheme="minorHAnsi"/>
          <w:sz w:val="22"/>
          <w:szCs w:val="22"/>
        </w:rPr>
        <w:t>a</w:t>
      </w:r>
      <w:r w:rsidR="00220960" w:rsidRPr="00F970C8">
        <w:rPr>
          <w:rFonts w:asciiTheme="minorHAnsi" w:hAnsiTheme="minorHAnsi" w:cstheme="minorHAnsi"/>
          <w:sz w:val="22"/>
          <w:szCs w:val="22"/>
        </w:rPr>
        <w:t xml:space="preserve"> a údržb</w:t>
      </w:r>
      <w:r w:rsidR="000C7AF7">
        <w:rPr>
          <w:rFonts w:asciiTheme="minorHAnsi" w:hAnsiTheme="minorHAnsi" w:cstheme="minorHAnsi"/>
          <w:sz w:val="22"/>
          <w:szCs w:val="22"/>
        </w:rPr>
        <w:t>a</w:t>
      </w:r>
      <w:r w:rsidR="00220960" w:rsidRPr="00F970C8">
        <w:rPr>
          <w:rFonts w:asciiTheme="minorHAnsi" w:hAnsiTheme="minorHAnsi" w:cstheme="minorHAnsi"/>
          <w:sz w:val="22"/>
          <w:szCs w:val="22"/>
        </w:rPr>
        <w:t xml:space="preserve"> IS EDAZ a</w:t>
      </w:r>
      <w:r w:rsidR="007B178D">
        <w:rPr>
          <w:rFonts w:asciiTheme="minorHAnsi" w:hAnsiTheme="minorHAnsi" w:cstheme="minorHAnsi"/>
          <w:sz w:val="22"/>
          <w:szCs w:val="22"/>
        </w:rPr>
        <w:t> </w:t>
      </w:r>
      <w:r w:rsidR="00220960" w:rsidRPr="00F970C8">
        <w:rPr>
          <w:rFonts w:asciiTheme="minorHAnsi" w:hAnsiTheme="minorHAnsi" w:cstheme="minorHAnsi"/>
          <w:sz w:val="22"/>
          <w:szCs w:val="22"/>
        </w:rPr>
        <w:t>Kontrol</w:t>
      </w:r>
      <w:r w:rsidR="000C7AF7">
        <w:rPr>
          <w:rFonts w:asciiTheme="minorHAnsi" w:hAnsiTheme="minorHAnsi" w:cstheme="minorHAnsi"/>
          <w:sz w:val="22"/>
          <w:szCs w:val="22"/>
        </w:rPr>
        <w:t>a</w:t>
      </w:r>
      <w:r w:rsidR="00220960" w:rsidRPr="00F970C8">
        <w:rPr>
          <w:rFonts w:asciiTheme="minorHAnsi" w:hAnsiTheme="minorHAnsi" w:cstheme="minorHAnsi"/>
          <w:sz w:val="22"/>
          <w:szCs w:val="22"/>
        </w:rPr>
        <w:t xml:space="preserve"> EDAZ za účelem zajištění řádného výběru časového poplatku a souvisejících odpovědností Objednatele.</w:t>
      </w:r>
    </w:p>
    <w:p w14:paraId="7C815986" w14:textId="77777777" w:rsidR="00D708F7" w:rsidRDefault="00D708F7" w:rsidP="00D708F7">
      <w:pPr>
        <w:pStyle w:val="Odstavecseseznamem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F06C5A7" w14:textId="63C9D791" w:rsidR="002C1565" w:rsidRPr="0027371A" w:rsidRDefault="009E03E0" w:rsidP="00D37709">
      <w:pPr>
        <w:pStyle w:val="Odstavecseseznamem"/>
        <w:numPr>
          <w:ilvl w:val="0"/>
          <w:numId w:val="7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371A">
        <w:rPr>
          <w:rFonts w:asciiTheme="minorHAnsi" w:hAnsiTheme="minorHAnsi" w:cstheme="minorHAnsi"/>
          <w:sz w:val="22"/>
          <w:szCs w:val="22"/>
        </w:rPr>
        <w:t>Smluvní</w:t>
      </w:r>
      <w:r w:rsidR="00F970C8" w:rsidRPr="0027371A">
        <w:rPr>
          <w:rFonts w:asciiTheme="minorHAnsi" w:hAnsiTheme="minorHAnsi" w:cstheme="minorHAnsi"/>
          <w:sz w:val="22"/>
          <w:szCs w:val="22"/>
        </w:rPr>
        <w:t xml:space="preserve"> </w:t>
      </w:r>
      <w:r w:rsidRPr="0027371A">
        <w:rPr>
          <w:rFonts w:asciiTheme="minorHAnsi" w:hAnsiTheme="minorHAnsi" w:cstheme="minorHAnsi"/>
          <w:sz w:val="22"/>
          <w:szCs w:val="22"/>
        </w:rPr>
        <w:t xml:space="preserve">strany se </w:t>
      </w:r>
      <w:r w:rsidR="0027371A" w:rsidRPr="0027371A">
        <w:rPr>
          <w:rFonts w:asciiTheme="minorHAnsi" w:hAnsiTheme="minorHAnsi" w:cstheme="minorHAnsi"/>
          <w:sz w:val="22"/>
          <w:szCs w:val="22"/>
        </w:rPr>
        <w:t>s ohledem na potřebu rozšířit od 19. dubna 2021 služby Provozu IS EDAZ o</w:t>
      </w:r>
      <w:r w:rsidR="00BE2E61">
        <w:rPr>
          <w:rFonts w:asciiTheme="minorHAnsi" w:hAnsiTheme="minorHAnsi" w:cstheme="minorHAnsi"/>
          <w:sz w:val="22"/>
          <w:szCs w:val="22"/>
        </w:rPr>
        <w:t> </w:t>
      </w:r>
      <w:r w:rsidR="0027371A" w:rsidRPr="0027371A">
        <w:rPr>
          <w:rFonts w:asciiTheme="minorHAnsi" w:hAnsiTheme="minorHAnsi" w:cstheme="minorHAnsi"/>
          <w:sz w:val="22"/>
          <w:szCs w:val="22"/>
        </w:rPr>
        <w:t>agendu vyřizování žádostí o vrácení prostředků v případě úhrady časového poplatku na neexistující SPZ vozidla</w:t>
      </w:r>
      <w:r w:rsidR="00547DCD">
        <w:rPr>
          <w:rFonts w:asciiTheme="minorHAnsi" w:hAnsiTheme="minorHAnsi" w:cstheme="minorHAnsi"/>
          <w:sz w:val="22"/>
          <w:szCs w:val="22"/>
        </w:rPr>
        <w:t xml:space="preserve"> a žádostí</w:t>
      </w:r>
      <w:r w:rsidR="00F21BAC">
        <w:rPr>
          <w:rFonts w:asciiTheme="minorHAnsi" w:hAnsiTheme="minorHAnsi" w:cstheme="minorHAnsi"/>
          <w:sz w:val="22"/>
          <w:szCs w:val="22"/>
        </w:rPr>
        <w:t xml:space="preserve"> o storna Distributora</w:t>
      </w:r>
      <w:r w:rsidR="0027371A">
        <w:rPr>
          <w:rFonts w:asciiTheme="minorHAnsi" w:hAnsiTheme="minorHAnsi" w:cstheme="minorHAnsi"/>
          <w:sz w:val="22"/>
          <w:szCs w:val="22"/>
        </w:rPr>
        <w:t xml:space="preserve"> </w:t>
      </w:r>
      <w:r w:rsidRPr="0027371A">
        <w:rPr>
          <w:rFonts w:asciiTheme="minorHAnsi" w:hAnsiTheme="minorHAnsi" w:cstheme="minorHAnsi"/>
          <w:sz w:val="22"/>
          <w:szCs w:val="22"/>
        </w:rPr>
        <w:t xml:space="preserve">dohodly na úpravě </w:t>
      </w:r>
      <w:r w:rsidR="00593740" w:rsidRPr="0027371A">
        <w:rPr>
          <w:rFonts w:asciiTheme="minorHAnsi" w:hAnsiTheme="minorHAnsi" w:cstheme="minorHAnsi"/>
          <w:sz w:val="22"/>
          <w:szCs w:val="22"/>
        </w:rPr>
        <w:t>S</w:t>
      </w:r>
      <w:r w:rsidRPr="0027371A">
        <w:rPr>
          <w:rFonts w:asciiTheme="minorHAnsi" w:hAnsiTheme="minorHAnsi" w:cstheme="minorHAnsi"/>
          <w:sz w:val="22"/>
          <w:szCs w:val="22"/>
        </w:rPr>
        <w:t>mlouvy</w:t>
      </w:r>
      <w:r w:rsidR="00B27CF4" w:rsidRPr="0027371A">
        <w:rPr>
          <w:rFonts w:asciiTheme="minorHAnsi" w:hAnsiTheme="minorHAnsi" w:cstheme="minorHAnsi"/>
          <w:sz w:val="22"/>
          <w:szCs w:val="22"/>
        </w:rPr>
        <w:t>, a proto uzavírají tento dodatek.</w:t>
      </w:r>
    </w:p>
    <w:p w14:paraId="7DEE6EDA" w14:textId="77777777" w:rsidR="002C1565" w:rsidRPr="00DC7DBF" w:rsidRDefault="002C1565" w:rsidP="00DC7DBF">
      <w:pPr>
        <w:pStyle w:val="Odstavecseseznamem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0B5259" w14:textId="37F40DB8" w:rsidR="00F970C8" w:rsidRPr="00220960" w:rsidRDefault="00F970C8" w:rsidP="00F970C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0"/>
          <w:numId w:val="13"/>
        </w:numPr>
        <w:suppressLineNumbers/>
        <w:shd w:val="clear" w:color="auto" w:fill="D9E2F3" w:themeFill="accent1" w:themeFillTint="33"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DODATKU</w:t>
      </w:r>
    </w:p>
    <w:p w14:paraId="4990EB2D" w14:textId="77777777" w:rsidR="00F970C8" w:rsidRDefault="00F970C8" w:rsidP="00F970C8">
      <w:pPr>
        <w:pStyle w:val="Odstavecseseznamem"/>
        <w:suppressAutoHyphens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3BD54ED" w14:textId="6A117008" w:rsidR="007B2C3F" w:rsidRDefault="00CB7F6F" w:rsidP="007B2C3F">
      <w:pPr>
        <w:pStyle w:val="Odstavecseseznamem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t xml:space="preserve">Smluvní strany se dohodly, že </w:t>
      </w:r>
      <w:r w:rsidR="007B2C3F">
        <w:rPr>
          <w:rFonts w:asciiTheme="minorHAnsi" w:hAnsiTheme="minorHAnsi" w:cstheme="minorHAnsi"/>
          <w:sz w:val="22"/>
          <w:szCs w:val="22"/>
        </w:rPr>
        <w:t xml:space="preserve">v </w:t>
      </w:r>
      <w:r>
        <w:rPr>
          <w:rFonts w:asciiTheme="minorHAnsi" w:hAnsiTheme="minorHAnsi" w:cstheme="minorHAnsi"/>
          <w:sz w:val="22"/>
          <w:szCs w:val="22"/>
        </w:rPr>
        <w:t>odst. 4.3.1.</w:t>
      </w:r>
      <w:r w:rsidRPr="00220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20960">
        <w:rPr>
          <w:rFonts w:asciiTheme="minorHAnsi" w:hAnsiTheme="minorHAnsi" w:cstheme="minorHAnsi"/>
          <w:sz w:val="22"/>
          <w:szCs w:val="22"/>
        </w:rPr>
        <w:t xml:space="preserve">mlouvy </w:t>
      </w:r>
      <w:proofErr w:type="gramStart"/>
      <w:r>
        <w:rPr>
          <w:rFonts w:asciiTheme="minorHAnsi" w:hAnsiTheme="minorHAnsi" w:cstheme="minorHAnsi"/>
          <w:sz w:val="22"/>
          <w:szCs w:val="22"/>
        </w:rPr>
        <w:t>se</w:t>
      </w:r>
      <w:proofErr w:type="gramEnd"/>
      <w:r w:rsidR="00393958">
        <w:rPr>
          <w:rFonts w:asciiTheme="minorHAnsi" w:hAnsiTheme="minorHAnsi" w:cstheme="minorHAnsi"/>
          <w:sz w:val="22"/>
          <w:szCs w:val="22"/>
        </w:rPr>
        <w:t xml:space="preserve"> </w:t>
      </w:r>
      <w:r w:rsidR="00433366">
        <w:rPr>
          <w:rFonts w:asciiTheme="minorHAnsi" w:hAnsiTheme="minorHAnsi" w:cstheme="minorHAnsi"/>
          <w:sz w:val="22"/>
          <w:szCs w:val="22"/>
        </w:rPr>
        <w:t xml:space="preserve">část </w:t>
      </w:r>
      <w:proofErr w:type="gramStart"/>
      <w:r w:rsidR="00433366">
        <w:rPr>
          <w:rFonts w:asciiTheme="minorHAnsi" w:hAnsiTheme="minorHAnsi" w:cstheme="minorHAnsi"/>
          <w:sz w:val="22"/>
          <w:szCs w:val="22"/>
        </w:rPr>
        <w:t>ustanovení</w:t>
      </w:r>
      <w:proofErr w:type="gramEnd"/>
      <w:r w:rsidRPr="00220960">
        <w:rPr>
          <w:rFonts w:asciiTheme="minorHAnsi" w:hAnsiTheme="minorHAnsi" w:cstheme="minorHAnsi"/>
          <w:sz w:val="22"/>
          <w:szCs w:val="22"/>
        </w:rPr>
        <w:t>:</w:t>
      </w:r>
    </w:p>
    <w:p w14:paraId="0D559406" w14:textId="5D916EC0" w:rsidR="005E7737" w:rsidRDefault="005E7737" w:rsidP="005E7737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22C0941" w14:textId="159DD7C5" w:rsidR="005E7737" w:rsidRPr="00433366" w:rsidRDefault="005E7737" w:rsidP="005E7737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709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433366">
        <w:rPr>
          <w:rFonts w:asciiTheme="minorHAnsi" w:hAnsiTheme="minorHAnsi" w:cstheme="minorHAnsi"/>
          <w:b w:val="0"/>
          <w:sz w:val="20"/>
          <w:szCs w:val="20"/>
        </w:rPr>
        <w:t>„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4.3.1.2 celková cena za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Provoz IS EDAZ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za celou předpokládanou dobu poskytování Služby Provoz IS EDAZ činí 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>106 000 000 Kč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(slovy: sto šest milionů korun českých) bez DPH, kdy</w:t>
      </w:r>
    </w:p>
    <w:p w14:paraId="2E6BD543" w14:textId="77777777" w:rsidR="005E7737" w:rsidRPr="00433366" w:rsidRDefault="005E7737" w:rsidP="005E7737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4"/>
          <w:numId w:val="19"/>
        </w:numPr>
        <w:suppressLineNumbers/>
        <w:suppressAutoHyphens/>
        <w:spacing w:before="0" w:after="0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celková cena za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provoz a podporu IS EDAZ 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činí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80 000 000 Kč 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(slovy: osmdesát milionů korun českých) bez DPH;</w:t>
      </w:r>
    </w:p>
    <w:p w14:paraId="79E12C39" w14:textId="77777777" w:rsidR="005E7737" w:rsidRPr="00433366" w:rsidRDefault="005E7737" w:rsidP="005E7737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4"/>
          <w:numId w:val="19"/>
        </w:numPr>
        <w:suppressLineNumbers/>
        <w:suppressAutoHyphens/>
        <w:spacing w:before="0" w:after="0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celková cena za 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systémovou integraci pro zahájení Provozu IS EDAZ 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činí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26 000 000 Kč 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(slovy: dvacet šest milionů korun českých) bez DPH.</w:t>
      </w:r>
    </w:p>
    <w:p w14:paraId="4E6A9273" w14:textId="77777777" w:rsidR="005E7737" w:rsidRPr="00433366" w:rsidRDefault="005E7737" w:rsidP="005E7737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1985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69811679" w14:textId="430EF2FE" w:rsidR="005E7737" w:rsidRPr="00433366" w:rsidRDefault="005E7737" w:rsidP="005E7737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70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4.3.1.3 celková cena za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Rozvoj IS EDAZ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nepřesáhne 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>8 000 000 Kč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(slovy: osm milionů korun českých) bez DPH</w:t>
      </w:r>
      <w:r w:rsidRPr="00433366">
        <w:rPr>
          <w:rFonts w:asciiTheme="minorHAnsi" w:hAnsiTheme="minorHAnsi" w:cstheme="minorHAnsi"/>
          <w:b w:val="0"/>
          <w:sz w:val="20"/>
          <w:szCs w:val="20"/>
        </w:rPr>
        <w:t>;“</w:t>
      </w:r>
    </w:p>
    <w:p w14:paraId="2F52A314" w14:textId="77777777" w:rsidR="005E7737" w:rsidRPr="005E7737" w:rsidRDefault="005E7737" w:rsidP="005E7737">
      <w:p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2A2691" w14:textId="64C100BA" w:rsidR="00012089" w:rsidRPr="005D320D" w:rsidRDefault="005E7737" w:rsidP="005D320D">
      <w:pPr>
        <w:pStyle w:val="Zkladntex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nahrazuje následujícím zněním:</w:t>
      </w:r>
    </w:p>
    <w:p w14:paraId="76E503E1" w14:textId="44D588D5" w:rsidR="00393958" w:rsidRPr="00FF36E9" w:rsidRDefault="00393958" w:rsidP="0039395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709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433366">
        <w:rPr>
          <w:rFonts w:asciiTheme="minorHAnsi" w:hAnsiTheme="minorHAnsi" w:cstheme="minorHAnsi"/>
          <w:b w:val="0"/>
          <w:sz w:val="20"/>
          <w:szCs w:val="20"/>
        </w:rPr>
        <w:t>„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4.3.1.2 celková cena za</w:t>
      </w:r>
      <w:r w:rsidRPr="00433366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Provoz IS EDAZ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za celou 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předpokládanou dobu poskytování Služby Provoz IS EDAZ činí 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10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6</w:t>
      </w:r>
      <w:r w:rsid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 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875</w:t>
      </w:r>
      <w:r w:rsid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7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00 Kč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(slovy: </w:t>
      </w:r>
      <w:proofErr w:type="spellStart"/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sto</w:t>
      </w:r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>šet</w:t>
      </w:r>
      <w:proofErr w:type="spellEnd"/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milionů </w:t>
      </w:r>
      <w:proofErr w:type="spellStart"/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>osm</w:t>
      </w:r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set</w:t>
      </w:r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>sedmdesátpět</w:t>
      </w:r>
      <w:proofErr w:type="spellEnd"/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tisíc</w:t>
      </w:r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proofErr w:type="spellStart"/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>sedmset</w:t>
      </w:r>
      <w:proofErr w:type="spellEnd"/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korun českých) bez DPH, kdy</w:t>
      </w:r>
    </w:p>
    <w:p w14:paraId="4AD2CC2B" w14:textId="4EEF28DF" w:rsidR="00393958" w:rsidRPr="00FF36E9" w:rsidRDefault="00393958" w:rsidP="0039395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4"/>
          <w:numId w:val="20"/>
        </w:numPr>
        <w:suppressLineNumbers/>
        <w:suppressAutoHyphens/>
        <w:spacing w:before="0" w:after="0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celková cena za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provoz a podporu IS EDAZ 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činí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8</w:t>
      </w:r>
      <w:r w:rsid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0 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875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 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7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00 Kč 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(slovy: osmdesát milionů </w:t>
      </w:r>
      <w:proofErr w:type="spellStart"/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>osm</w:t>
      </w:r>
      <w:r w:rsidR="006E6CC2">
        <w:rPr>
          <w:rFonts w:asciiTheme="minorHAnsi" w:hAnsiTheme="minorHAnsi" w:cstheme="minorHAnsi"/>
          <w:b w:val="0"/>
          <w:i/>
          <w:iCs/>
          <w:sz w:val="20"/>
          <w:szCs w:val="20"/>
        </w:rPr>
        <w:t>setsedm</w:t>
      </w:r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>desát</w:t>
      </w:r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pět</w:t>
      </w:r>
      <w:proofErr w:type="spellEnd"/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tisíc</w:t>
      </w:r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proofErr w:type="spellStart"/>
      <w:r w:rsidR="000454DA">
        <w:rPr>
          <w:rFonts w:asciiTheme="minorHAnsi" w:hAnsiTheme="minorHAnsi" w:cstheme="minorHAnsi"/>
          <w:b w:val="0"/>
          <w:i/>
          <w:iCs/>
          <w:sz w:val="20"/>
          <w:szCs w:val="20"/>
        </w:rPr>
        <w:t>sedmset</w:t>
      </w:r>
      <w:proofErr w:type="spellEnd"/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korun českých) bez DPH;</w:t>
      </w:r>
    </w:p>
    <w:p w14:paraId="13EF6A29" w14:textId="2B511ED4" w:rsidR="00393958" w:rsidRPr="00FF36E9" w:rsidRDefault="00393958" w:rsidP="0039395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4"/>
          <w:numId w:val="20"/>
        </w:numPr>
        <w:suppressLineNumbers/>
        <w:suppressAutoHyphens/>
        <w:spacing w:before="0" w:after="0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celková cena za 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systémovou integraci pro zahájení Provozu IS EDAZ 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činí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26 000 000 Kč 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(slovy: dvacet šest milionů korun českých) bez DPH.</w:t>
      </w:r>
      <w:r w:rsidR="00433366"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</w:p>
    <w:p w14:paraId="62C866E2" w14:textId="77777777" w:rsidR="00393958" w:rsidRPr="00FF36E9" w:rsidRDefault="00393958" w:rsidP="0039395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1985"/>
        <w:jc w:val="both"/>
        <w:rPr>
          <w:rFonts w:asciiTheme="minorHAnsi" w:hAnsiTheme="minorHAnsi" w:cstheme="minorHAnsi"/>
          <w:b w:val="0"/>
          <w:i/>
          <w:iCs/>
          <w:sz w:val="20"/>
          <w:szCs w:val="20"/>
        </w:rPr>
      </w:pPr>
    </w:p>
    <w:p w14:paraId="3D1FCA96" w14:textId="3ACEB737" w:rsidR="002134DB" w:rsidRDefault="00393958" w:rsidP="0039395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709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>4.3.1.3 celková cena za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Rozvoj IS EDAZ</w:t>
      </w:r>
      <w:r w:rsidRPr="00FF36E9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nepřesáhne 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7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 xml:space="preserve"> 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124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 </w:t>
      </w:r>
      <w:r w:rsidR="00FF36E9"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3</w:t>
      </w:r>
      <w:r w:rsidRPr="00FF36E9">
        <w:rPr>
          <w:rFonts w:asciiTheme="minorHAnsi" w:hAnsiTheme="minorHAnsi" w:cstheme="minorHAnsi"/>
          <w:bCs w:val="0"/>
          <w:i/>
          <w:iCs/>
          <w:sz w:val="20"/>
          <w:szCs w:val="20"/>
        </w:rPr>
        <w:t>00 Kč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(slovy: </w:t>
      </w:r>
      <w:r w:rsidR="006E6CC2">
        <w:rPr>
          <w:rFonts w:asciiTheme="minorHAnsi" w:hAnsiTheme="minorHAnsi" w:cstheme="minorHAnsi"/>
          <w:b w:val="0"/>
          <w:i/>
          <w:iCs/>
          <w:sz w:val="20"/>
          <w:szCs w:val="20"/>
        </w:rPr>
        <w:t>sedm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milionů </w:t>
      </w:r>
      <w:proofErr w:type="spellStart"/>
      <w:r w:rsidR="006E6CC2">
        <w:rPr>
          <w:rFonts w:asciiTheme="minorHAnsi" w:hAnsiTheme="minorHAnsi" w:cstheme="minorHAnsi"/>
          <w:b w:val="0"/>
          <w:i/>
          <w:iCs/>
          <w:sz w:val="20"/>
          <w:szCs w:val="20"/>
        </w:rPr>
        <w:t>stodvacetčtyři</w:t>
      </w:r>
      <w:proofErr w:type="spellEnd"/>
      <w:r w:rsidR="00433366"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tisíc</w:t>
      </w:r>
      <w:r w:rsidR="006E6CC2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proofErr w:type="spellStart"/>
      <w:r w:rsidR="006E6CC2">
        <w:rPr>
          <w:rFonts w:asciiTheme="minorHAnsi" w:hAnsiTheme="minorHAnsi" w:cstheme="minorHAnsi"/>
          <w:b w:val="0"/>
          <w:i/>
          <w:iCs/>
          <w:sz w:val="20"/>
          <w:szCs w:val="20"/>
        </w:rPr>
        <w:t>třista</w:t>
      </w:r>
      <w:proofErr w:type="spellEnd"/>
      <w:r w:rsidR="00433366"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r w:rsidRPr="00433366">
        <w:rPr>
          <w:rFonts w:asciiTheme="minorHAnsi" w:hAnsiTheme="minorHAnsi" w:cstheme="minorHAnsi"/>
          <w:b w:val="0"/>
          <w:i/>
          <w:iCs/>
          <w:sz w:val="20"/>
          <w:szCs w:val="20"/>
        </w:rPr>
        <w:t>korun českých) bez DPH</w:t>
      </w:r>
      <w:r w:rsidRPr="00433366">
        <w:rPr>
          <w:rFonts w:asciiTheme="minorHAnsi" w:hAnsiTheme="minorHAnsi" w:cstheme="minorHAnsi"/>
          <w:b w:val="0"/>
          <w:sz w:val="20"/>
          <w:szCs w:val="20"/>
        </w:rPr>
        <w:t>;“</w:t>
      </w:r>
    </w:p>
    <w:p w14:paraId="5F184A8D" w14:textId="77777777" w:rsidR="002134DB" w:rsidRDefault="002134DB">
      <w:pPr>
        <w:spacing w:after="160" w:line="259" w:lineRule="auto"/>
        <w:rPr>
          <w:rFonts w:asciiTheme="minorHAnsi" w:hAnsiTheme="minorHAnsi" w:cstheme="minorHAnsi"/>
          <w:bCs/>
          <w:kern w:val="28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4780824" w14:textId="12D36392" w:rsidR="00FE3851" w:rsidRDefault="00FE3851" w:rsidP="00FE3851">
      <w:pPr>
        <w:pStyle w:val="Odstavecseseznamem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20960">
        <w:rPr>
          <w:rFonts w:asciiTheme="minorHAnsi" w:hAnsiTheme="minorHAnsi" w:cstheme="minorHAnsi"/>
          <w:sz w:val="22"/>
          <w:szCs w:val="22"/>
        </w:rPr>
        <w:lastRenderedPageBreak/>
        <w:t xml:space="preserve">Smluvní strany se dohodly, že </w:t>
      </w:r>
      <w:r>
        <w:rPr>
          <w:rFonts w:asciiTheme="minorHAnsi" w:hAnsiTheme="minorHAnsi" w:cstheme="minorHAnsi"/>
          <w:sz w:val="22"/>
          <w:szCs w:val="22"/>
        </w:rPr>
        <w:t>tabulka v Příloze č. 5</w:t>
      </w:r>
      <w:r w:rsidRPr="0022096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20960">
        <w:rPr>
          <w:rFonts w:asciiTheme="minorHAnsi" w:hAnsiTheme="minorHAnsi" w:cstheme="minorHAnsi"/>
          <w:sz w:val="22"/>
          <w:szCs w:val="22"/>
        </w:rPr>
        <w:t xml:space="preserve">mlouvy </w:t>
      </w:r>
      <w:r>
        <w:rPr>
          <w:rFonts w:asciiTheme="minorHAnsi" w:hAnsiTheme="minorHAnsi" w:cstheme="minorHAnsi"/>
          <w:sz w:val="22"/>
          <w:szCs w:val="22"/>
        </w:rPr>
        <w:t xml:space="preserve">se nahrazuje </w:t>
      </w:r>
      <w:r w:rsidR="005E4257">
        <w:rPr>
          <w:rFonts w:asciiTheme="minorHAnsi" w:hAnsiTheme="minorHAnsi" w:cstheme="minorHAnsi"/>
          <w:sz w:val="22"/>
          <w:szCs w:val="22"/>
        </w:rPr>
        <w:t>novým zněním</w:t>
      </w:r>
      <w:r w:rsidRPr="00220960">
        <w:rPr>
          <w:rFonts w:asciiTheme="minorHAnsi" w:hAnsiTheme="minorHAnsi" w:cstheme="minorHAnsi"/>
          <w:sz w:val="22"/>
          <w:szCs w:val="22"/>
        </w:rPr>
        <w:t>:</w:t>
      </w:r>
    </w:p>
    <w:p w14:paraId="3D78946C" w14:textId="77777777" w:rsidR="00FE3851" w:rsidRDefault="00FE3851" w:rsidP="00FE3851">
      <w:pPr>
        <w:pStyle w:val="Odstavecseseznamem"/>
        <w:suppressAutoHyphens/>
        <w:autoSpaceDE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40"/>
        <w:gridCol w:w="1240"/>
        <w:gridCol w:w="1240"/>
        <w:gridCol w:w="1240"/>
        <w:gridCol w:w="1240"/>
        <w:gridCol w:w="6"/>
        <w:gridCol w:w="1234"/>
      </w:tblGrid>
      <w:tr w:rsidR="00FE3851" w:rsidRPr="00345DDD" w14:paraId="49AF228B" w14:textId="77777777" w:rsidTr="00D640EA">
        <w:trPr>
          <w:trHeight w:val="763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813069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2AE937" w14:textId="77777777" w:rsidR="00FE3851" w:rsidRPr="00293F08" w:rsidRDefault="00FE3851" w:rsidP="00D640E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3F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Vývoj IS EDAZ </w:t>
            </w:r>
          </w:p>
          <w:p w14:paraId="414197E1" w14:textId="77777777" w:rsidR="00FE3851" w:rsidRPr="00293F08" w:rsidRDefault="00FE3851" w:rsidP="00D640E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3F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6C75B9" w14:textId="77777777" w:rsidR="00FE3851" w:rsidRPr="00293F08" w:rsidRDefault="00FE3851" w:rsidP="00D640E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3F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Provoz IS EDAZ </w:t>
            </w:r>
          </w:p>
          <w:p w14:paraId="37ECEBA9" w14:textId="77777777" w:rsidR="00FE3851" w:rsidRPr="00293F08" w:rsidRDefault="00FE3851" w:rsidP="00D640E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3F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171987BE" w14:textId="77777777" w:rsidR="00FE3851" w:rsidRPr="00293F08" w:rsidRDefault="00FE3851" w:rsidP="00D640E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3F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Zajištění stacionární a mobilní kontroly  EDAZ 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</w:tcPr>
          <w:p w14:paraId="4979333A" w14:textId="77777777" w:rsidR="00FE3851" w:rsidRPr="00293F08" w:rsidRDefault="00FE3851" w:rsidP="00D640E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3F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Kontrola EDAZ </w:t>
            </w:r>
          </w:p>
        </w:tc>
      </w:tr>
      <w:tr w:rsidR="00FE3851" w:rsidRPr="00345DDD" w14:paraId="1CCB6208" w14:textId="77777777" w:rsidTr="00D640EA">
        <w:trPr>
          <w:trHeight w:val="255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CD0C9B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758A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Odst. </w:t>
            </w:r>
            <w:proofErr w:type="gramStart"/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4.3.1.1.a.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F2A2B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Odst. 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4.3.1.1.b.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70FE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Odst. 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4.3.1.2</w:t>
            </w:r>
            <w:proofErr w:type="gramEnd"/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proofErr w:type="gramStart"/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a.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6AAF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Odst. </w:t>
            </w:r>
            <w:proofErr w:type="gramStart"/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4.3.1.2.b.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8E13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Odst. 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4.3.2.1.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42D51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Odst.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4.3.2.2.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3851" w:rsidRPr="00345DDD" w14:paraId="11643AC4" w14:textId="77777777" w:rsidTr="00D640EA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</w:tcPr>
          <w:p w14:paraId="417C8C12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40" w:type="dxa"/>
            <w:gridSpan w:val="7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14:paraId="62166D19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Celkem za jednotlivé Služby</w:t>
            </w:r>
          </w:p>
        </w:tc>
      </w:tr>
      <w:tr w:rsidR="00FE3851" w:rsidRPr="00345DDD" w14:paraId="120B35FF" w14:textId="77777777" w:rsidTr="00D640EA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2F2D25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3CA45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40 000 000 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ED38D23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17 500 000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DA49EA" w14:textId="343E9200" w:rsidR="00FE3851" w:rsidRPr="00FE3851" w:rsidRDefault="00FE3851" w:rsidP="00FF36E9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8</w:t>
            </w:r>
            <w:r w:rsidR="00FF36E9" w:rsidRPr="00FF36E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F36E9" w:rsidRPr="00FF36E9"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F36E9" w:rsidRPr="00FF36E9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00 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525373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26 000 000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583A86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32 000 000 </w:t>
            </w:r>
          </w:p>
        </w:tc>
        <w:tc>
          <w:tcPr>
            <w:tcW w:w="12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DC9CEB2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105 600 000 </w:t>
            </w:r>
          </w:p>
        </w:tc>
      </w:tr>
      <w:tr w:rsidR="00FE3851" w:rsidRPr="00345DDD" w14:paraId="2CA32EC1" w14:textId="77777777" w:rsidTr="00D640EA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32C03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Odst.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4.4.1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47A9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16 000 000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5C654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7D99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4CE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DCE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AFCE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3851" w:rsidRPr="00345DDD" w14:paraId="432E0483" w14:textId="77777777" w:rsidTr="00D640EA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56F71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Odst. 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4.4.2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06EA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2EFB6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F581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4548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B8D1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19 671 900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E05B8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3851" w:rsidRPr="00345DDD" w14:paraId="420E7750" w14:textId="77777777" w:rsidTr="00D640EA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FF6EC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Odst.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4.4.3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Smlouvy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3B2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F1D4E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D1A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A5A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D23E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2 328 100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E9387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3851" w:rsidRPr="00345DDD" w14:paraId="364D26FD" w14:textId="77777777" w:rsidTr="00D640EA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406AA" w14:textId="77777777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Březen až prosinec 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6FFC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2 400 000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51AA5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1 750 000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EC5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8BCE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1EF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1 000 000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0F0A9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E3851" w:rsidRPr="00345DDD" w14:paraId="3886D088" w14:textId="77777777" w:rsidTr="00D640EA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D761A" w14:textId="1507DE78" w:rsidR="00FE3851" w:rsidRPr="00345DDD" w:rsidRDefault="00FE3851" w:rsidP="00D640E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Leden 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až </w:t>
            </w:r>
            <w:r w:rsidR="002B5DF7">
              <w:rPr>
                <w:rFonts w:ascii="Calibri" w:hAnsi="Calibri" w:cs="Calibri"/>
                <w:color w:val="000000"/>
                <w:sz w:val="20"/>
                <w:szCs w:val="20"/>
              </w:rPr>
              <w:t>březen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</w:t>
            </w:r>
            <w:r w:rsidR="002B5DF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9F9B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FE72F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C2E1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  <w:r w:rsidRPr="00A2557D">
              <w:rPr>
                <w:rFonts w:ascii="Calibri" w:hAnsi="Calibri" w:cs="Calibri"/>
                <w:color w:val="000000"/>
                <w:sz w:val="20"/>
                <w:szCs w:val="20"/>
              </w:rPr>
              <w:t>1 666 666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C2F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541 666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4A0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397E3" w14:textId="77777777" w:rsidR="00FE3851" w:rsidRPr="00345DDD" w:rsidRDefault="00FE3851" w:rsidP="00D640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2 200 000 </w:t>
            </w:r>
          </w:p>
        </w:tc>
      </w:tr>
      <w:tr w:rsidR="002B5DF7" w:rsidRPr="00345DDD" w14:paraId="74FB6463" w14:textId="77777777" w:rsidTr="008E04F3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8A1B" w14:textId="3672B7BA" w:rsidR="002B5DF7" w:rsidRPr="00345DDD" w:rsidRDefault="002B5DF7" w:rsidP="008E04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_Hlk69478994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Duben 2021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13F1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AA7C4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F247" w14:textId="7F3744F0" w:rsidR="002B5DF7" w:rsidRPr="0009252F" w:rsidRDefault="00FF36E9" w:rsidP="00FF36E9">
            <w:pP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  <w:r w:rsidR="00A2557D" w:rsidRPr="00A2557D">
              <w:rPr>
                <w:rFonts w:ascii="Calibri" w:hAnsi="Calibri" w:cs="Calibri"/>
                <w:color w:val="000000"/>
                <w:sz w:val="20"/>
                <w:szCs w:val="20"/>
              </w:rPr>
              <w:t>1 705 046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8A1A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541 666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81B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CAAA6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2 200 000 </w:t>
            </w:r>
          </w:p>
        </w:tc>
      </w:tr>
      <w:tr w:rsidR="002B5DF7" w:rsidRPr="00345DDD" w14:paraId="519B03A5" w14:textId="77777777" w:rsidTr="002B5DF7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8B448" w14:textId="10C56DA4" w:rsidR="002B5DF7" w:rsidRPr="00345DDD" w:rsidRDefault="002B5DF7" w:rsidP="00A25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_Hlk69479038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Květen </w:t>
            </w: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až </w:t>
            </w:r>
            <w:r w:rsidR="00A2557D">
              <w:rPr>
                <w:rFonts w:ascii="Calibri" w:hAnsi="Calibri" w:cs="Calibri"/>
                <w:color w:val="000000"/>
                <w:sz w:val="20"/>
                <w:szCs w:val="20"/>
              </w:rPr>
              <w:t>prosinec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202</w:t>
            </w:r>
            <w:r w:rsidR="00A2557D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8BE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CBACC" w14:textId="77777777" w:rsidR="002B5DF7" w:rsidRPr="00FF36E9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94F" w14:textId="010BF8A2" w:rsidR="002B5DF7" w:rsidRPr="00FF36E9" w:rsidRDefault="002B5DF7" w:rsidP="00FF36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  <w:r w:rsidR="00FF36E9" w:rsidRPr="00FF36E9">
              <w:rPr>
                <w:rFonts w:ascii="Calibri" w:hAnsi="Calibri" w:cs="Calibri"/>
                <w:color w:val="000000"/>
                <w:sz w:val="20"/>
                <w:szCs w:val="20"/>
              </w:rPr>
              <w:t>1 771 331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8430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541 666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1322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9D631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2 200 000 </w:t>
            </w:r>
          </w:p>
        </w:tc>
      </w:tr>
      <w:bookmarkEnd w:id="1"/>
      <w:bookmarkEnd w:id="2"/>
      <w:tr w:rsidR="002B5DF7" w:rsidRPr="00345DDD" w14:paraId="25B4E06F" w14:textId="77777777" w:rsidTr="00C414AD">
        <w:trPr>
          <w:trHeight w:val="27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7B5DF" w14:textId="15BD702E" w:rsidR="002B5DF7" w:rsidRPr="00345DDD" w:rsidRDefault="00C414AD" w:rsidP="00C414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Leden 2022</w:t>
            </w:r>
            <w:r w:rsidR="00A2557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listopad</w:t>
            </w:r>
            <w:r w:rsidR="002B5DF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B5DF7"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F930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C83B8" w14:textId="77777777" w:rsidR="002B5DF7" w:rsidRPr="00FF36E9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F84" w14:textId="48690DF3" w:rsidR="002B5DF7" w:rsidRPr="00FF36E9" w:rsidRDefault="00FF36E9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  <w:r w:rsidR="00C414AD">
              <w:rPr>
                <w:rFonts w:ascii="Calibri" w:hAnsi="Calibri" w:cs="Calibri"/>
                <w:color w:val="000000"/>
                <w:sz w:val="20"/>
                <w:szCs w:val="20"/>
              </w:rPr>
              <w:t>1 666 666</w:t>
            </w:r>
            <w:r w:rsidR="002B5DF7" w:rsidRPr="00FF3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B697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541 698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9E51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C4CA3" w14:textId="77777777" w:rsidR="002B5DF7" w:rsidRPr="00345DDD" w:rsidRDefault="002B5DF7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2 200 000 </w:t>
            </w:r>
          </w:p>
        </w:tc>
      </w:tr>
      <w:tr w:rsidR="00C414AD" w:rsidRPr="00345DDD" w14:paraId="30B60DF1" w14:textId="77777777" w:rsidTr="00C414AD">
        <w:trPr>
          <w:trHeight w:val="2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66589" w14:textId="5B063EE1" w:rsidR="00C414AD" w:rsidRDefault="00C414AD" w:rsidP="00A255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Prosinec 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1C2E" w14:textId="77777777" w:rsidR="00C414AD" w:rsidRPr="00345DDD" w:rsidRDefault="00C414AD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0FF3D8" w14:textId="77777777" w:rsidR="00C414AD" w:rsidRPr="00FF36E9" w:rsidRDefault="00C414AD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64DC" w14:textId="2E7071C6" w:rsidR="00C414AD" w:rsidRDefault="00C414AD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1 666 698</w:t>
            </w:r>
            <w:r w:rsidRPr="00FF36E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C1907" w14:textId="7598A06C" w:rsidR="00C414AD" w:rsidRPr="00345DDD" w:rsidRDefault="00C414AD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541 698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D17F" w14:textId="7B4F574D" w:rsidR="00C414AD" w:rsidRPr="00345DDD" w:rsidRDefault="00C414AD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D890" w14:textId="2DD51FC8" w:rsidR="00C414AD" w:rsidRPr="00345DDD" w:rsidRDefault="00C414AD" w:rsidP="008E04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DD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2 200 000 </w:t>
            </w:r>
          </w:p>
        </w:tc>
      </w:tr>
    </w:tbl>
    <w:p w14:paraId="28EB4172" w14:textId="643A79E5" w:rsidR="00FE3851" w:rsidRDefault="00FE3851" w:rsidP="00CE25CD">
      <w:pPr>
        <w:pStyle w:val="Zkladntext"/>
        <w:suppressAutoHyphens/>
        <w:autoSpaceDE w:val="0"/>
        <w:spacing w:after="0"/>
        <w:ind w:left="567"/>
        <w:jc w:val="both"/>
        <w:rPr>
          <w:rFonts w:asciiTheme="minorHAnsi" w:hAnsiTheme="minorHAnsi" w:cstheme="minorHAnsi"/>
          <w:noProof w:val="0"/>
          <w:sz w:val="22"/>
          <w:szCs w:val="22"/>
        </w:rPr>
      </w:pPr>
    </w:p>
    <w:p w14:paraId="32632AF9" w14:textId="77777777" w:rsidR="00FE3851" w:rsidRDefault="00FE3851" w:rsidP="00CE25CD">
      <w:pPr>
        <w:pStyle w:val="Zkladntext"/>
        <w:suppressAutoHyphens/>
        <w:autoSpaceDE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ADBF1D5" w14:textId="02D94329" w:rsidR="00CE25CD" w:rsidRPr="00220960" w:rsidRDefault="00CE25CD" w:rsidP="00CE25CD">
      <w:pPr>
        <w:pStyle w:val="Odstavecseseznamem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E25CD">
        <w:rPr>
          <w:rFonts w:asciiTheme="minorHAnsi" w:hAnsiTheme="minorHAnsi" w:cstheme="minorHAnsi"/>
          <w:sz w:val="22"/>
          <w:szCs w:val="22"/>
        </w:rPr>
        <w:t>Ostatní ustanovení Smlouvy zůstávají Dodatkem nedotčena.</w:t>
      </w:r>
    </w:p>
    <w:p w14:paraId="119D5213" w14:textId="430A02A5" w:rsidR="00A43893" w:rsidRDefault="00A43893" w:rsidP="00433366">
      <w:pPr>
        <w:pStyle w:val="Zkladntext"/>
        <w:suppressAutoHyphens/>
        <w:autoSpaceDE w:val="0"/>
        <w:spacing w:after="0"/>
        <w:jc w:val="both"/>
      </w:pPr>
    </w:p>
    <w:p w14:paraId="72145BF0" w14:textId="77777777" w:rsidR="00F526A8" w:rsidRPr="00220960" w:rsidRDefault="00F526A8" w:rsidP="00A43893">
      <w:pPr>
        <w:rPr>
          <w:rFonts w:asciiTheme="minorHAnsi" w:hAnsiTheme="minorHAnsi" w:cstheme="minorHAnsi"/>
          <w:sz w:val="22"/>
          <w:szCs w:val="22"/>
        </w:rPr>
      </w:pPr>
    </w:p>
    <w:p w14:paraId="67625955" w14:textId="13DDD023" w:rsidR="00F526A8" w:rsidRPr="00220960" w:rsidRDefault="00F526A8" w:rsidP="00F526A8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0"/>
          <w:numId w:val="13"/>
        </w:numPr>
        <w:suppressLineNumbers/>
        <w:shd w:val="clear" w:color="auto" w:fill="D9E2F3" w:themeFill="accent1" w:themeFillTint="33"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5945BFB7" w14:textId="77777777" w:rsidR="000920D9" w:rsidRPr="00220960" w:rsidRDefault="000920D9" w:rsidP="00F526A8">
      <w:pPr>
        <w:keepNext/>
        <w:keepLines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626293F" w14:textId="54BDB53B" w:rsidR="00A2128A" w:rsidRDefault="00A2128A" w:rsidP="009259D3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1"/>
          <w:numId w:val="13"/>
        </w:numPr>
        <w:suppressLineNumbers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2128A">
        <w:rPr>
          <w:rFonts w:asciiTheme="minorHAnsi" w:hAnsiTheme="minorHAnsi" w:cstheme="minorHAnsi"/>
          <w:b w:val="0"/>
          <w:sz w:val="22"/>
          <w:szCs w:val="22"/>
        </w:rPr>
        <w:t>Pojmy definované ve Smlouvě mají v tomto Dodatku stejný význam jako ve Smlouvě.</w:t>
      </w:r>
    </w:p>
    <w:p w14:paraId="0CDE78A5" w14:textId="77777777" w:rsidR="00A2128A" w:rsidRPr="00A2128A" w:rsidRDefault="00A2128A" w:rsidP="00A2128A">
      <w:pPr>
        <w:pStyle w:val="Zkladntext"/>
      </w:pPr>
    </w:p>
    <w:p w14:paraId="50F6BABD" w14:textId="76EE119A" w:rsidR="00BF2176" w:rsidRDefault="00BF2176" w:rsidP="009259D3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1"/>
          <w:numId w:val="13"/>
        </w:numPr>
        <w:suppressLineNumbers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F2176">
        <w:rPr>
          <w:rFonts w:asciiTheme="minorHAnsi" w:hAnsiTheme="minorHAnsi" w:cstheme="minorHAnsi"/>
          <w:b w:val="0"/>
          <w:sz w:val="22"/>
          <w:szCs w:val="22"/>
        </w:rPr>
        <w:t xml:space="preserve">Tento Dodatek se řídí právním řádem České republiky. </w:t>
      </w:r>
    </w:p>
    <w:p w14:paraId="04FCEED1" w14:textId="77777777" w:rsidR="00BF2176" w:rsidRPr="00BF2176" w:rsidRDefault="00BF2176" w:rsidP="00BF2176">
      <w:pPr>
        <w:pStyle w:val="Zkladntext"/>
      </w:pPr>
    </w:p>
    <w:p w14:paraId="3A4A81D2" w14:textId="20ADF310" w:rsidR="00BF2176" w:rsidRPr="00991164" w:rsidRDefault="00BF2176" w:rsidP="00BF217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1"/>
          <w:numId w:val="13"/>
        </w:numPr>
        <w:suppressLineNumbers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V případě, že jakékoliv ustanovení </w:t>
      </w:r>
      <w:r>
        <w:rPr>
          <w:rFonts w:asciiTheme="minorHAnsi" w:hAnsiTheme="minorHAnsi" w:cstheme="minorHAnsi"/>
          <w:b w:val="0"/>
          <w:sz w:val="22"/>
          <w:szCs w:val="22"/>
        </w:rPr>
        <w:t>tohoto Dodatku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 je či se v budoucnu stane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zdánlivým, 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neplatným, neúčinným nebo nevymahatelným, a to z jakéhokoli důvodu, zejména pak z důvodu změny platných a účinných právních předpisů, zůstávají ostatní ustanovení </w:t>
      </w:r>
      <w:r>
        <w:rPr>
          <w:rFonts w:asciiTheme="minorHAnsi" w:hAnsiTheme="minorHAnsi" w:cstheme="minorHAnsi"/>
          <w:b w:val="0"/>
          <w:sz w:val="22"/>
          <w:szCs w:val="22"/>
        </w:rPr>
        <w:t>tohoto Dodatku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 v</w:t>
      </w:r>
      <w:r w:rsidR="007B178D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>platnosti a účinnosti, pokud z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povahy takového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zdánlivého, 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neplatného, neúčinného či nevymahatelného ustanovení nebo z jeho obsahu anebo z okolností, za nichž bylo uzavřeno, nevyplývá, že jej nelze oddělit od ostatního obsahu </w:t>
      </w:r>
      <w:r>
        <w:rPr>
          <w:rFonts w:asciiTheme="minorHAnsi" w:hAnsiTheme="minorHAnsi" w:cstheme="minorHAnsi"/>
          <w:b w:val="0"/>
          <w:sz w:val="22"/>
          <w:szCs w:val="22"/>
        </w:rPr>
        <w:t>tohoto Dodatku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. Smluvní strany se pro takový případ zavazují nahradit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zdánlivé, 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neplatné, neúčinné nebo nevymahatelné ustanovení </w:t>
      </w:r>
      <w:r>
        <w:rPr>
          <w:rFonts w:asciiTheme="minorHAnsi" w:hAnsiTheme="minorHAnsi" w:cstheme="minorHAnsi"/>
          <w:b w:val="0"/>
          <w:sz w:val="22"/>
          <w:szCs w:val="22"/>
        </w:rPr>
        <w:t>tohoto Dodatku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 ustanovením jiným, které svým obsahem, účelem a smyslem odpovídá nejlépe ustanovení původním</w:t>
      </w:r>
      <w:r>
        <w:rPr>
          <w:rFonts w:asciiTheme="minorHAnsi" w:hAnsiTheme="minorHAnsi" w:cstheme="minorHAnsi"/>
          <w:b w:val="0"/>
          <w:sz w:val="22"/>
          <w:szCs w:val="22"/>
        </w:rPr>
        <w:t>u, tomuto Dodatku a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 Smlouvě jako celku. V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této souvislosti se Smluvní strany zavazují v dobré víře a účinně jednat za účelem dosažení dohody o takovém nahrazení </w:t>
      </w:r>
      <w:r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zdánlivého, 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>neplatného, neúčinného či nevymahatelného ustanovení a uzavřít k</w:t>
      </w:r>
      <w:r>
        <w:rPr>
          <w:rFonts w:asciiTheme="minorHAnsi" w:hAnsiTheme="minorHAnsi" w:cstheme="minorHAnsi"/>
          <w:b w:val="0"/>
          <w:sz w:val="22"/>
          <w:szCs w:val="22"/>
        </w:rPr>
        <w:t> 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>tomu potřebný dodatek.</w:t>
      </w:r>
    </w:p>
    <w:p w14:paraId="57631760" w14:textId="77777777" w:rsidR="00BF2176" w:rsidRPr="00991164" w:rsidRDefault="00BF2176" w:rsidP="00BF217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382CE20" w14:textId="77777777" w:rsidR="00651874" w:rsidRDefault="00651874" w:rsidP="00651874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1"/>
          <w:numId w:val="13"/>
        </w:numPr>
        <w:suppressLineNumbers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Dodatek je uzavřen elektronicky.</w:t>
      </w:r>
    </w:p>
    <w:p w14:paraId="6DEDCB71" w14:textId="172068D1" w:rsidR="00BF2176" w:rsidRPr="00651874" w:rsidRDefault="00BF2176" w:rsidP="00651874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6A29EF7" w14:textId="34F24318" w:rsidR="00BF2176" w:rsidRPr="00991164" w:rsidRDefault="00BF2176" w:rsidP="00BF217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numPr>
          <w:ilvl w:val="1"/>
          <w:numId w:val="13"/>
        </w:numPr>
        <w:suppressLineNumbers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Smluvní strany prohlašují, že nejsou omezeny právními předpisy, rozhodnutím soudu nebo rozhodnutím orgánu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veřejné moci 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ve smluvní volnosti týkající se předmětu </w:t>
      </w:r>
      <w:r>
        <w:rPr>
          <w:rFonts w:asciiTheme="minorHAnsi" w:hAnsiTheme="minorHAnsi" w:cstheme="minorHAnsi"/>
          <w:b w:val="0"/>
          <w:sz w:val="22"/>
          <w:szCs w:val="22"/>
        </w:rPr>
        <w:t>tohoto Dodatku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>, a</w:t>
      </w:r>
      <w:r w:rsidR="007B178D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>že jsou plně způsobilé k právním</w:t>
      </w:r>
      <w:r>
        <w:rPr>
          <w:rFonts w:asciiTheme="minorHAnsi" w:hAnsiTheme="minorHAnsi" w:cstheme="minorHAnsi"/>
          <w:b w:val="0"/>
          <w:sz w:val="22"/>
          <w:szCs w:val="22"/>
        </w:rPr>
        <w:t>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jednání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7B95FBE" w14:textId="77777777" w:rsidR="00BF2176" w:rsidRPr="00260CF1" w:rsidRDefault="00BF2176" w:rsidP="00BF217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Lines w:val="0"/>
        <w:suppressLineNumbers/>
        <w:suppressAutoHyphens/>
        <w:spacing w:before="0" w:after="0"/>
        <w:ind w:left="56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D9AD915" w14:textId="249A0722" w:rsidR="00BF2176" w:rsidRPr="00991164" w:rsidRDefault="00BF2176" w:rsidP="00BF2176">
      <w:pPr>
        <w:pStyle w:val="Nadpis1KapitolaF8Kapitola1Kapitola2Kapitola3Kapitola4Kapitola5Kapitola11Kapitola21Kapitola31Kapitola41Kapitola6Kapitola12Kapitola22Kapitola32Kapitola42Kapitola51Kapitola111Kapitola211Kapitola311Kapitola411Kapitola7Kapitola8"/>
        <w:keepNext/>
        <w:numPr>
          <w:ilvl w:val="1"/>
          <w:numId w:val="13"/>
        </w:numPr>
        <w:suppressLineNumbers/>
        <w:suppressAutoHyphens/>
        <w:spacing w:before="0" w:after="0"/>
        <w:ind w:left="567" w:hanging="56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veřejnění </w:t>
      </w:r>
      <w:r>
        <w:rPr>
          <w:rFonts w:asciiTheme="minorHAnsi" w:hAnsiTheme="minorHAnsi" w:cstheme="minorHAnsi"/>
          <w:b w:val="0"/>
          <w:sz w:val="22"/>
          <w:szCs w:val="22"/>
        </w:rPr>
        <w:t>tohoto Dodatku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 xml:space="preserve"> v registru smluv zajistí Objednatel, a to nejpozději </w:t>
      </w:r>
      <w:r>
        <w:rPr>
          <w:rFonts w:asciiTheme="minorHAnsi" w:hAnsiTheme="minorHAnsi" w:cstheme="minorHAnsi"/>
          <w:b w:val="0"/>
          <w:sz w:val="22"/>
          <w:szCs w:val="22"/>
        </w:rPr>
        <w:t>do tří Dnů od podpisu poslední Smluvní stranou</w:t>
      </w:r>
      <w:r w:rsidRPr="00991164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BBC067" w14:textId="77777777" w:rsidR="006E3778" w:rsidRPr="00220960" w:rsidRDefault="006E3778" w:rsidP="006E3778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B89B44F" w14:textId="77777777" w:rsidR="00A43893" w:rsidRPr="00220960" w:rsidRDefault="00A43893" w:rsidP="00A4389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26A8" w:rsidRPr="00991164" w14:paraId="18F0D713" w14:textId="77777777" w:rsidTr="000D327F">
        <w:tc>
          <w:tcPr>
            <w:tcW w:w="4531" w:type="dxa"/>
          </w:tcPr>
          <w:p w14:paraId="7920B0BB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164">
              <w:rPr>
                <w:rFonts w:asciiTheme="minorHAnsi" w:hAnsiTheme="minorHAnsi" w:cstheme="minorHAnsi"/>
                <w:sz w:val="22"/>
                <w:szCs w:val="22"/>
              </w:rPr>
              <w:t xml:space="preserve">V Praze dne __________________ </w:t>
            </w:r>
          </w:p>
        </w:tc>
        <w:tc>
          <w:tcPr>
            <w:tcW w:w="4531" w:type="dxa"/>
          </w:tcPr>
          <w:p w14:paraId="7628DE9B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164">
              <w:rPr>
                <w:rFonts w:asciiTheme="minorHAnsi" w:hAnsiTheme="minorHAnsi" w:cstheme="minorHAnsi"/>
                <w:sz w:val="22"/>
                <w:szCs w:val="22"/>
              </w:rPr>
              <w:t>V Praze dne __________________</w:t>
            </w:r>
          </w:p>
        </w:tc>
      </w:tr>
      <w:tr w:rsidR="00F526A8" w:rsidRPr="00991164" w14:paraId="0A0B20B1" w14:textId="77777777" w:rsidTr="000D327F">
        <w:trPr>
          <w:trHeight w:val="2498"/>
        </w:trPr>
        <w:tc>
          <w:tcPr>
            <w:tcW w:w="4531" w:type="dxa"/>
          </w:tcPr>
          <w:p w14:paraId="6A77A3A1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D4C61" w14:textId="77777777" w:rsidR="00F526A8" w:rsidRDefault="00F526A8" w:rsidP="000D327F">
            <w:r w:rsidRPr="00991164">
              <w:rPr>
                <w:rFonts w:asciiTheme="minorHAnsi" w:hAnsiTheme="minorHAnsi" w:cstheme="minorHAnsi"/>
                <w:b/>
                <w:bCs/>
                <w:szCs w:val="22"/>
              </w:rPr>
              <w:t>Státní fond dopravní infrastruktury</w:t>
            </w:r>
          </w:p>
          <w:p w14:paraId="00F7E681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29E5B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1EB71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21FF3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07536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16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  <w:p w14:paraId="7AED5A7A" w14:textId="77777777" w:rsidR="00F526A8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164">
              <w:rPr>
                <w:rFonts w:asciiTheme="minorHAnsi" w:hAnsiTheme="minorHAnsi" w:cstheme="minorHAnsi"/>
                <w:sz w:val="22"/>
                <w:szCs w:val="22"/>
              </w:rPr>
              <w:t>Ing. Zbyněk Hořelica</w:t>
            </w:r>
          </w:p>
          <w:p w14:paraId="7EB4ED8F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ředitel Státního fondu dopravní infrastruktury</w:t>
            </w:r>
          </w:p>
        </w:tc>
        <w:tc>
          <w:tcPr>
            <w:tcW w:w="4531" w:type="dxa"/>
          </w:tcPr>
          <w:p w14:paraId="7E0A85CD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BF73D" w14:textId="77777777" w:rsidR="00F526A8" w:rsidRDefault="00F526A8" w:rsidP="000D327F">
            <w:pPr>
              <w:jc w:val="center"/>
            </w:pPr>
            <w:r w:rsidRPr="00991164">
              <w:rPr>
                <w:rFonts w:asciiTheme="minorHAnsi" w:hAnsiTheme="minorHAnsi" w:cstheme="minorHAnsi"/>
                <w:b/>
                <w:bCs/>
                <w:szCs w:val="22"/>
              </w:rPr>
              <w:t>CENDIS, s. p.</w:t>
            </w:r>
          </w:p>
          <w:p w14:paraId="6A08E368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08FD8C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F3CBDC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09541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AD2C0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16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</w:t>
            </w:r>
          </w:p>
          <w:p w14:paraId="4603FE92" w14:textId="77777777" w:rsidR="00F526A8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164">
              <w:rPr>
                <w:rFonts w:asciiTheme="minorHAnsi" w:hAnsiTheme="minorHAnsi" w:cstheme="minorHAnsi"/>
                <w:sz w:val="22"/>
                <w:szCs w:val="22"/>
              </w:rPr>
              <w:t>Ing. Jan Paroubek</w:t>
            </w:r>
          </w:p>
          <w:p w14:paraId="2249F365" w14:textId="77777777" w:rsidR="00F526A8" w:rsidRPr="00991164" w:rsidRDefault="00F526A8" w:rsidP="000D327F">
            <w:pPr>
              <w:pStyle w:val="Zkladntext"/>
              <w:suppressLineNumbers/>
              <w:suppressAutoHyphens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1164">
              <w:rPr>
                <w:rFonts w:asciiTheme="minorHAnsi" w:hAnsiTheme="minorHAnsi" w:cstheme="minorHAnsi"/>
                <w:szCs w:val="22"/>
              </w:rPr>
              <w:t>pověřeným řízením státního podniku</w:t>
            </w:r>
            <w:r>
              <w:rPr>
                <w:rFonts w:asciiTheme="minorHAnsi" w:hAnsiTheme="minorHAnsi" w:cstheme="minorHAnsi"/>
                <w:szCs w:val="22"/>
              </w:rPr>
              <w:t xml:space="preserve"> CENDIS</w:t>
            </w:r>
          </w:p>
        </w:tc>
      </w:tr>
    </w:tbl>
    <w:p w14:paraId="6530E248" w14:textId="7C0579DB" w:rsidR="00A43893" w:rsidRPr="00220960" w:rsidRDefault="00A43893" w:rsidP="00F526A8">
      <w:pPr>
        <w:rPr>
          <w:rFonts w:asciiTheme="minorHAnsi" w:hAnsiTheme="minorHAnsi" w:cstheme="minorHAnsi"/>
          <w:sz w:val="22"/>
          <w:szCs w:val="22"/>
        </w:rPr>
      </w:pPr>
    </w:p>
    <w:sectPr w:rsidR="00A43893" w:rsidRPr="00220960" w:rsidSect="005937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2FAC01" w15:done="0"/>
  <w15:commentEx w15:paraId="02D6F148" w15:done="0"/>
  <w15:commentEx w15:paraId="7FB7C4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2FAC01" w16cid:durableId="2423FAA8"/>
  <w16cid:commentId w16cid:paraId="02D6F148" w16cid:durableId="24240103"/>
  <w16cid:commentId w16cid:paraId="7FB7C441" w16cid:durableId="242403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143AE" w14:textId="77777777" w:rsidR="002D5F19" w:rsidRDefault="002D5F19" w:rsidP="006510CE">
      <w:r>
        <w:separator/>
      </w:r>
    </w:p>
  </w:endnote>
  <w:endnote w:type="continuationSeparator" w:id="0">
    <w:p w14:paraId="0104B58E" w14:textId="77777777" w:rsidR="002D5F19" w:rsidRDefault="002D5F19" w:rsidP="0065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07920"/>
      <w:docPartObj>
        <w:docPartGallery w:val="Page Numbers (Top of Page)"/>
        <w:docPartUnique/>
      </w:docPartObj>
    </w:sdtPr>
    <w:sdtEndPr/>
    <w:sdtContent>
      <w:p w14:paraId="65CED8BC" w14:textId="16204CCD" w:rsidR="00021842" w:rsidRDefault="00CF420D" w:rsidP="00021842">
        <w:pPr>
          <w:pStyle w:val="Zpat"/>
          <w:jc w:val="center"/>
        </w:pPr>
      </w:p>
    </w:sdtContent>
  </w:sdt>
  <w:p w14:paraId="22FC5E5A" w14:textId="77777777" w:rsidR="00A85BB7" w:rsidRDefault="00A85B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900000"/>
      <w:docPartObj>
        <w:docPartGallery w:val="Page Numbers (Bottom of Page)"/>
        <w:docPartUnique/>
      </w:docPartObj>
    </w:sdtPr>
    <w:sdtEndPr/>
    <w:sdtContent>
      <w:p w14:paraId="227138B7" w14:textId="5ACED34E" w:rsidR="00F970C8" w:rsidRDefault="00F970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20D">
          <w:rPr>
            <w:noProof/>
          </w:rPr>
          <w:t>4</w:t>
        </w:r>
        <w:r>
          <w:fldChar w:fldCharType="end"/>
        </w:r>
      </w:p>
    </w:sdtContent>
  </w:sdt>
  <w:p w14:paraId="18AAACF5" w14:textId="4878C102" w:rsidR="006510CE" w:rsidRPr="00A85BB7" w:rsidRDefault="006510CE" w:rsidP="00A85B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85C63" w14:textId="59302FFC" w:rsidR="00F970C8" w:rsidRDefault="00F970C8">
    <w:pPr>
      <w:pStyle w:val="Zpat"/>
      <w:jc w:val="center"/>
    </w:pPr>
  </w:p>
  <w:p w14:paraId="33D92620" w14:textId="77777777" w:rsidR="00F970C8" w:rsidRDefault="00F970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A4B6" w14:textId="77777777" w:rsidR="002D5F19" w:rsidRDefault="002D5F19" w:rsidP="006510CE">
      <w:r>
        <w:separator/>
      </w:r>
    </w:p>
  </w:footnote>
  <w:footnote w:type="continuationSeparator" w:id="0">
    <w:p w14:paraId="50F590A7" w14:textId="77777777" w:rsidR="002D5F19" w:rsidRDefault="002D5F19" w:rsidP="00651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7E7D" w14:textId="77777777" w:rsidR="00CF420D" w:rsidRDefault="00CF42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DF43E" w14:textId="77777777" w:rsidR="00CF420D" w:rsidRDefault="00CF420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D4750" w14:textId="77777777" w:rsidR="00CF420D" w:rsidRDefault="00CF42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34922EA4"/>
    <w:name w:val="WW8Num8"/>
    <w:lvl w:ilvl="0">
      <w:start w:val="1"/>
      <w:numFmt w:val="decimal"/>
      <w:lvlText w:val="1.%1."/>
      <w:lvlJc w:val="left"/>
      <w:pPr>
        <w:tabs>
          <w:tab w:val="num" w:pos="340"/>
        </w:tabs>
        <w:ind w:left="340" w:hanging="283"/>
      </w:pPr>
      <w:rPr>
        <w:color w:val="404040" w:themeColor="text1" w:themeTint="BF"/>
      </w:rPr>
    </w:lvl>
  </w:abstractNum>
  <w:abstractNum w:abstractNumId="1">
    <w:nsid w:val="02A23B27"/>
    <w:multiLevelType w:val="multilevel"/>
    <w:tmpl w:val="201E7944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AB61C5"/>
    <w:multiLevelType w:val="multilevel"/>
    <w:tmpl w:val="3154EA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CB393D"/>
    <w:multiLevelType w:val="hybridMultilevel"/>
    <w:tmpl w:val="4C26BA0E"/>
    <w:lvl w:ilvl="0" w:tplc="BFF6F7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3F3A00"/>
    <w:multiLevelType w:val="hybridMultilevel"/>
    <w:tmpl w:val="8FF2DE4E"/>
    <w:name w:val="WW8Num11"/>
    <w:lvl w:ilvl="0" w:tplc="CFF47B14">
      <w:start w:val="1"/>
      <w:numFmt w:val="decimal"/>
      <w:lvlText w:val="3.%1."/>
      <w:lvlJc w:val="left"/>
      <w:pPr>
        <w:tabs>
          <w:tab w:val="num" w:pos="340"/>
        </w:tabs>
        <w:ind w:left="340" w:hanging="283"/>
      </w:pPr>
      <w:rPr>
        <w:b w:val="0"/>
        <w:color w:val="404040" w:themeColor="text1" w:themeTint="BF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36A74"/>
    <w:multiLevelType w:val="hybridMultilevel"/>
    <w:tmpl w:val="3F7E2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B1BFA"/>
    <w:multiLevelType w:val="multilevel"/>
    <w:tmpl w:val="3A04FD74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>
    <w:nsid w:val="391C1EA3"/>
    <w:multiLevelType w:val="multilevel"/>
    <w:tmpl w:val="842AE5D4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2723F44"/>
    <w:multiLevelType w:val="singleLevel"/>
    <w:tmpl w:val="8D127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18"/>
      </w:rPr>
    </w:lvl>
  </w:abstractNum>
  <w:abstractNum w:abstractNumId="9">
    <w:nsid w:val="429F0655"/>
    <w:multiLevelType w:val="hybridMultilevel"/>
    <w:tmpl w:val="D44C1A0E"/>
    <w:lvl w:ilvl="0" w:tplc="E23460BE">
      <w:start w:val="1"/>
      <w:numFmt w:val="decimal"/>
      <w:lvlText w:val="1.%1."/>
      <w:lvlJc w:val="left"/>
      <w:pPr>
        <w:ind w:left="567" w:hanging="567"/>
      </w:pPr>
      <w:rPr>
        <w:rFonts w:hint="default"/>
        <w:color w:val="404040" w:themeColor="text1" w:themeTint="BF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326D55"/>
    <w:multiLevelType w:val="multilevel"/>
    <w:tmpl w:val="3154EA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8F3EFD"/>
    <w:multiLevelType w:val="hybridMultilevel"/>
    <w:tmpl w:val="38EC47F6"/>
    <w:lvl w:ilvl="0" w:tplc="1EF8509E">
      <w:start w:val="1"/>
      <w:numFmt w:val="decimal"/>
      <w:lvlText w:val="2.%1."/>
      <w:lvlJc w:val="left"/>
      <w:pPr>
        <w:ind w:left="360" w:hanging="360"/>
      </w:pPr>
      <w:rPr>
        <w:rFonts w:hint="default"/>
        <w:i w:val="0"/>
        <w:color w:val="404040" w:themeColor="text1" w:themeTint="BF"/>
      </w:rPr>
    </w:lvl>
    <w:lvl w:ilvl="1" w:tplc="3190CBB6">
      <w:start w:val="1"/>
      <w:numFmt w:val="lowerLetter"/>
      <w:lvlText w:val="(%2)"/>
      <w:lvlJc w:val="left"/>
      <w:pPr>
        <w:ind w:left="1080" w:hanging="360"/>
      </w:pPr>
      <w:rPr>
        <w:rFonts w:hint="default"/>
        <w:i w:val="0"/>
        <w:i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76488"/>
    <w:multiLevelType w:val="hybridMultilevel"/>
    <w:tmpl w:val="C6DED692"/>
    <w:name w:val="WW8Num82"/>
    <w:lvl w:ilvl="0" w:tplc="1EF8509E">
      <w:start w:val="1"/>
      <w:numFmt w:val="decimal"/>
      <w:lvlText w:val="2.%1."/>
      <w:lvlJc w:val="left"/>
      <w:pPr>
        <w:tabs>
          <w:tab w:val="num" w:pos="340"/>
        </w:tabs>
        <w:ind w:left="340" w:hanging="283"/>
      </w:pPr>
      <w:rPr>
        <w:i w:val="0"/>
        <w:color w:val="404040" w:themeColor="text1" w:themeTint="BF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DB1645"/>
    <w:multiLevelType w:val="multilevel"/>
    <w:tmpl w:val="6EDEB1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07124D"/>
    <w:multiLevelType w:val="hybridMultilevel"/>
    <w:tmpl w:val="76F29FBE"/>
    <w:lvl w:ilvl="0" w:tplc="1C264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DD5BCA"/>
    <w:multiLevelType w:val="multilevel"/>
    <w:tmpl w:val="2B70CF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sz w:val="22"/>
        <w:szCs w:val="22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D215F6"/>
    <w:multiLevelType w:val="hybridMultilevel"/>
    <w:tmpl w:val="D44C1A0E"/>
    <w:lvl w:ilvl="0" w:tplc="E23460BE">
      <w:start w:val="1"/>
      <w:numFmt w:val="decimal"/>
      <w:lvlText w:val="1.%1."/>
      <w:lvlJc w:val="left"/>
      <w:pPr>
        <w:ind w:left="567" w:hanging="567"/>
      </w:pPr>
      <w:rPr>
        <w:rFonts w:hint="default"/>
        <w:color w:val="404040" w:themeColor="text1" w:themeTint="BF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F91751"/>
    <w:multiLevelType w:val="hybridMultilevel"/>
    <w:tmpl w:val="4CF4BF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4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13"/>
  </w:num>
  <w:num w:numId="14">
    <w:abstractNumId w:val="9"/>
  </w:num>
  <w:num w:numId="15">
    <w:abstractNumId w:val="12"/>
  </w:num>
  <w:num w:numId="16">
    <w:abstractNumId w:val="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93"/>
    <w:rsid w:val="00012089"/>
    <w:rsid w:val="00021842"/>
    <w:rsid w:val="00031499"/>
    <w:rsid w:val="000454DA"/>
    <w:rsid w:val="00065197"/>
    <w:rsid w:val="000843E0"/>
    <w:rsid w:val="000915E8"/>
    <w:rsid w:val="000920D9"/>
    <w:rsid w:val="0009252F"/>
    <w:rsid w:val="000944B0"/>
    <w:rsid w:val="000A334B"/>
    <w:rsid w:val="000A33F1"/>
    <w:rsid w:val="000B27C6"/>
    <w:rsid w:val="000C0AF8"/>
    <w:rsid w:val="000C7AF7"/>
    <w:rsid w:val="000D03AD"/>
    <w:rsid w:val="000D0458"/>
    <w:rsid w:val="000F4B40"/>
    <w:rsid w:val="000F7FA9"/>
    <w:rsid w:val="001014C0"/>
    <w:rsid w:val="00111E1B"/>
    <w:rsid w:val="00113A2A"/>
    <w:rsid w:val="001240BE"/>
    <w:rsid w:val="00142792"/>
    <w:rsid w:val="00196AAB"/>
    <w:rsid w:val="001A5B14"/>
    <w:rsid w:val="001B727C"/>
    <w:rsid w:val="001C1871"/>
    <w:rsid w:val="002134DB"/>
    <w:rsid w:val="0021666E"/>
    <w:rsid w:val="00220960"/>
    <w:rsid w:val="00237BF5"/>
    <w:rsid w:val="0027371A"/>
    <w:rsid w:val="00281760"/>
    <w:rsid w:val="0028320E"/>
    <w:rsid w:val="00284636"/>
    <w:rsid w:val="002B5DF7"/>
    <w:rsid w:val="002C1565"/>
    <w:rsid w:val="002C79D5"/>
    <w:rsid w:val="002D1A31"/>
    <w:rsid w:val="002D5F19"/>
    <w:rsid w:val="002F0566"/>
    <w:rsid w:val="00317A45"/>
    <w:rsid w:val="00327B0C"/>
    <w:rsid w:val="003326A1"/>
    <w:rsid w:val="00376157"/>
    <w:rsid w:val="00384254"/>
    <w:rsid w:val="00393958"/>
    <w:rsid w:val="003D2CFA"/>
    <w:rsid w:val="003E4C0B"/>
    <w:rsid w:val="00401CA0"/>
    <w:rsid w:val="00403E77"/>
    <w:rsid w:val="00423A8F"/>
    <w:rsid w:val="00433366"/>
    <w:rsid w:val="00440053"/>
    <w:rsid w:val="00463ABE"/>
    <w:rsid w:val="004875DE"/>
    <w:rsid w:val="004A0DE3"/>
    <w:rsid w:val="004C041E"/>
    <w:rsid w:val="004C1438"/>
    <w:rsid w:val="00547DCD"/>
    <w:rsid w:val="00563D17"/>
    <w:rsid w:val="0057218C"/>
    <w:rsid w:val="00593740"/>
    <w:rsid w:val="005D320D"/>
    <w:rsid w:val="005E4257"/>
    <w:rsid w:val="005E7737"/>
    <w:rsid w:val="00615012"/>
    <w:rsid w:val="00623392"/>
    <w:rsid w:val="0063681F"/>
    <w:rsid w:val="006510CE"/>
    <w:rsid w:val="00651874"/>
    <w:rsid w:val="00661735"/>
    <w:rsid w:val="0067689C"/>
    <w:rsid w:val="006A1605"/>
    <w:rsid w:val="006A236E"/>
    <w:rsid w:val="006E3778"/>
    <w:rsid w:val="006E6CC2"/>
    <w:rsid w:val="006E708A"/>
    <w:rsid w:val="007206A3"/>
    <w:rsid w:val="007325B4"/>
    <w:rsid w:val="00741911"/>
    <w:rsid w:val="007442C7"/>
    <w:rsid w:val="00765658"/>
    <w:rsid w:val="007B178D"/>
    <w:rsid w:val="007B2C3F"/>
    <w:rsid w:val="007B6A14"/>
    <w:rsid w:val="00831332"/>
    <w:rsid w:val="00845732"/>
    <w:rsid w:val="00856675"/>
    <w:rsid w:val="00870885"/>
    <w:rsid w:val="00880F32"/>
    <w:rsid w:val="0088221A"/>
    <w:rsid w:val="008930E8"/>
    <w:rsid w:val="008A5420"/>
    <w:rsid w:val="008B3965"/>
    <w:rsid w:val="008D713E"/>
    <w:rsid w:val="008E641C"/>
    <w:rsid w:val="009130B6"/>
    <w:rsid w:val="009241DB"/>
    <w:rsid w:val="00946B32"/>
    <w:rsid w:val="00950197"/>
    <w:rsid w:val="00957666"/>
    <w:rsid w:val="009740A5"/>
    <w:rsid w:val="009753C0"/>
    <w:rsid w:val="009A6650"/>
    <w:rsid w:val="009C3402"/>
    <w:rsid w:val="009D64F9"/>
    <w:rsid w:val="009E03E0"/>
    <w:rsid w:val="00A03FAF"/>
    <w:rsid w:val="00A2128A"/>
    <w:rsid w:val="00A2557D"/>
    <w:rsid w:val="00A27675"/>
    <w:rsid w:val="00A43893"/>
    <w:rsid w:val="00A53A1F"/>
    <w:rsid w:val="00A7456F"/>
    <w:rsid w:val="00A8085B"/>
    <w:rsid w:val="00A85BB7"/>
    <w:rsid w:val="00AA4E20"/>
    <w:rsid w:val="00AB0229"/>
    <w:rsid w:val="00AB5476"/>
    <w:rsid w:val="00AC74F0"/>
    <w:rsid w:val="00AD5EA1"/>
    <w:rsid w:val="00AD70AA"/>
    <w:rsid w:val="00AE3968"/>
    <w:rsid w:val="00B16889"/>
    <w:rsid w:val="00B17E05"/>
    <w:rsid w:val="00B20C78"/>
    <w:rsid w:val="00B27CF4"/>
    <w:rsid w:val="00B42B94"/>
    <w:rsid w:val="00BA484D"/>
    <w:rsid w:val="00BD48C5"/>
    <w:rsid w:val="00BE2E61"/>
    <w:rsid w:val="00BF2176"/>
    <w:rsid w:val="00C37110"/>
    <w:rsid w:val="00C414AD"/>
    <w:rsid w:val="00C813C8"/>
    <w:rsid w:val="00CA0827"/>
    <w:rsid w:val="00CB4035"/>
    <w:rsid w:val="00CB7208"/>
    <w:rsid w:val="00CB7F6F"/>
    <w:rsid w:val="00CC5170"/>
    <w:rsid w:val="00CE25CD"/>
    <w:rsid w:val="00CF420D"/>
    <w:rsid w:val="00D05A20"/>
    <w:rsid w:val="00D16432"/>
    <w:rsid w:val="00D4101B"/>
    <w:rsid w:val="00D42C27"/>
    <w:rsid w:val="00D5004C"/>
    <w:rsid w:val="00D708F7"/>
    <w:rsid w:val="00D72EFD"/>
    <w:rsid w:val="00D8716C"/>
    <w:rsid w:val="00DC7DBF"/>
    <w:rsid w:val="00DD0DF0"/>
    <w:rsid w:val="00DD5A18"/>
    <w:rsid w:val="00DE2C83"/>
    <w:rsid w:val="00E058F3"/>
    <w:rsid w:val="00E2428B"/>
    <w:rsid w:val="00E24D34"/>
    <w:rsid w:val="00E35B68"/>
    <w:rsid w:val="00E51E61"/>
    <w:rsid w:val="00E967E2"/>
    <w:rsid w:val="00EB0121"/>
    <w:rsid w:val="00EE07E6"/>
    <w:rsid w:val="00EE28F7"/>
    <w:rsid w:val="00EF05F1"/>
    <w:rsid w:val="00F01C6C"/>
    <w:rsid w:val="00F05EAC"/>
    <w:rsid w:val="00F115A0"/>
    <w:rsid w:val="00F11EFE"/>
    <w:rsid w:val="00F21BAC"/>
    <w:rsid w:val="00F42535"/>
    <w:rsid w:val="00F526A8"/>
    <w:rsid w:val="00F91046"/>
    <w:rsid w:val="00F970C8"/>
    <w:rsid w:val="00FE385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776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893"/>
    <w:pPr>
      <w:keepNext/>
      <w:keepLines/>
      <w:numPr>
        <w:numId w:val="1"/>
      </w:numPr>
      <w:tabs>
        <w:tab w:val="left" w:pos="550"/>
      </w:tabs>
      <w:spacing w:before="240" w:after="60"/>
      <w:jc w:val="both"/>
      <w:outlineLvl w:val="0"/>
    </w:pPr>
    <w:rPr>
      <w:b/>
      <w:kern w:val="28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A43893"/>
    <w:pPr>
      <w:keepLines/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A43893"/>
    <w:pPr>
      <w:keepLines/>
      <w:numPr>
        <w:ilvl w:val="2"/>
        <w:numId w:val="1"/>
      </w:numPr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4389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43893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4389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4389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4389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4389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3893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438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438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4389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4389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43893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4389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43893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4389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43893"/>
    <w:pPr>
      <w:spacing w:after="120"/>
    </w:pPr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43893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43893"/>
    <w:pPr>
      <w:snapToGrid w:val="0"/>
      <w:ind w:left="567"/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43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A43893"/>
    <w:pPr>
      <w:ind w:left="720"/>
      <w:contextualSpacing/>
    </w:pPr>
  </w:style>
  <w:style w:type="paragraph" w:customStyle="1" w:styleId="NadpisPoznmky">
    <w:name w:val="Nadpis Poznámky"/>
    <w:next w:val="Zkladntext"/>
    <w:rsid w:val="00A43893"/>
    <w:pPr>
      <w:tabs>
        <w:tab w:val="left" w:pos="283"/>
      </w:tabs>
      <w:suppressAutoHyphens/>
      <w:autoSpaceDE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7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79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1">
    <w:name w:val="Styl1"/>
    <w:basedOn w:val="Nadpis1"/>
    <w:link w:val="Styl1Char"/>
    <w:qFormat/>
    <w:rsid w:val="00142792"/>
    <w:pPr>
      <w:keepLines w:val="0"/>
      <w:numPr>
        <w:numId w:val="5"/>
      </w:numPr>
      <w:tabs>
        <w:tab w:val="clear" w:pos="550"/>
      </w:tabs>
    </w:pPr>
    <w:rPr>
      <w:bCs/>
      <w:caps/>
      <w:kern w:val="32"/>
      <w:szCs w:val="32"/>
      <w:u w:val="none"/>
    </w:rPr>
  </w:style>
  <w:style w:type="paragraph" w:customStyle="1" w:styleId="Styl2">
    <w:name w:val="Styl2"/>
    <w:basedOn w:val="Normln"/>
    <w:qFormat/>
    <w:rsid w:val="00142792"/>
    <w:pPr>
      <w:numPr>
        <w:ilvl w:val="1"/>
        <w:numId w:val="5"/>
      </w:numPr>
      <w:spacing w:before="120"/>
      <w:jc w:val="both"/>
    </w:pPr>
  </w:style>
  <w:style w:type="character" w:customStyle="1" w:styleId="Styl1Char">
    <w:name w:val="Styl1 Char"/>
    <w:link w:val="Styl1"/>
    <w:rsid w:val="00142792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cs-CZ"/>
    </w:rPr>
  </w:style>
  <w:style w:type="paragraph" w:customStyle="1" w:styleId="Styl3">
    <w:name w:val="Styl3"/>
    <w:basedOn w:val="Styl2"/>
    <w:qFormat/>
    <w:rsid w:val="00142792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3D2C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C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C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C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1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0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0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0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220960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39"/>
    <w:rsid w:val="00F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slolnku">
    <w:name w:val="CZ číslo článku"/>
    <w:next w:val="Normln"/>
    <w:rsid w:val="00F526A8"/>
    <w:pPr>
      <w:numPr>
        <w:numId w:val="16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73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893"/>
    <w:pPr>
      <w:keepNext/>
      <w:keepLines/>
      <w:numPr>
        <w:numId w:val="1"/>
      </w:numPr>
      <w:tabs>
        <w:tab w:val="left" w:pos="550"/>
      </w:tabs>
      <w:spacing w:before="240" w:after="60"/>
      <w:jc w:val="both"/>
      <w:outlineLvl w:val="0"/>
    </w:pPr>
    <w:rPr>
      <w:b/>
      <w:kern w:val="28"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A43893"/>
    <w:pPr>
      <w:keepLines/>
      <w:numPr>
        <w:ilvl w:val="1"/>
        <w:numId w:val="1"/>
      </w:numPr>
      <w:spacing w:after="60"/>
      <w:jc w:val="both"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A43893"/>
    <w:pPr>
      <w:keepLines/>
      <w:numPr>
        <w:ilvl w:val="2"/>
        <w:numId w:val="1"/>
      </w:numPr>
      <w:jc w:val="both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4389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43893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43893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4389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4389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4389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3893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438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4389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43893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43893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43893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43893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43893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43893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43893"/>
    <w:pPr>
      <w:spacing w:after="120"/>
    </w:pPr>
    <w:rPr>
      <w:rFonts w:ascii="Tms Rmn" w:hAnsi="Tms Rmn"/>
      <w:noProof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43893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43893"/>
    <w:pPr>
      <w:snapToGrid w:val="0"/>
      <w:ind w:left="567"/>
      <w:jc w:val="center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43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A43893"/>
    <w:pPr>
      <w:ind w:left="720"/>
      <w:contextualSpacing/>
    </w:pPr>
  </w:style>
  <w:style w:type="paragraph" w:customStyle="1" w:styleId="NadpisPoznmky">
    <w:name w:val="Nadpis Poznámky"/>
    <w:next w:val="Zkladntext"/>
    <w:rsid w:val="00A43893"/>
    <w:pPr>
      <w:tabs>
        <w:tab w:val="left" w:pos="283"/>
      </w:tabs>
      <w:suppressAutoHyphens/>
      <w:autoSpaceDE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7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79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1">
    <w:name w:val="Styl1"/>
    <w:basedOn w:val="Nadpis1"/>
    <w:link w:val="Styl1Char"/>
    <w:qFormat/>
    <w:rsid w:val="00142792"/>
    <w:pPr>
      <w:keepLines w:val="0"/>
      <w:numPr>
        <w:numId w:val="5"/>
      </w:numPr>
      <w:tabs>
        <w:tab w:val="clear" w:pos="550"/>
      </w:tabs>
    </w:pPr>
    <w:rPr>
      <w:bCs/>
      <w:caps/>
      <w:kern w:val="32"/>
      <w:szCs w:val="32"/>
      <w:u w:val="none"/>
    </w:rPr>
  </w:style>
  <w:style w:type="paragraph" w:customStyle="1" w:styleId="Styl2">
    <w:name w:val="Styl2"/>
    <w:basedOn w:val="Normln"/>
    <w:qFormat/>
    <w:rsid w:val="00142792"/>
    <w:pPr>
      <w:numPr>
        <w:ilvl w:val="1"/>
        <w:numId w:val="5"/>
      </w:numPr>
      <w:spacing w:before="120"/>
      <w:jc w:val="both"/>
    </w:pPr>
  </w:style>
  <w:style w:type="character" w:customStyle="1" w:styleId="Styl1Char">
    <w:name w:val="Styl1 Char"/>
    <w:link w:val="Styl1"/>
    <w:rsid w:val="00142792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cs-CZ"/>
    </w:rPr>
  </w:style>
  <w:style w:type="paragraph" w:customStyle="1" w:styleId="Styl3">
    <w:name w:val="Styl3"/>
    <w:basedOn w:val="Styl2"/>
    <w:qFormat/>
    <w:rsid w:val="00142792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3D2C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2C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2C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C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C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10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0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0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0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220960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39"/>
    <w:rsid w:val="00F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slolnku">
    <w:name w:val="CZ číslo článku"/>
    <w:next w:val="Normln"/>
    <w:rsid w:val="00F526A8"/>
    <w:pPr>
      <w:numPr>
        <w:numId w:val="16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73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611C-90E6-43F4-86C4-7E2951FF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2021-04-19T17:43:00Z</dcterms:created>
  <dcterms:modified xsi:type="dcterms:W3CDTF">2021-04-19T17:45:00Z</dcterms:modified>
</cp:coreProperties>
</file>