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3414C591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</w:t>
      </w:r>
      <w:r w:rsidR="006C6F48">
        <w:rPr>
          <w:rFonts w:ascii="Arial" w:hAnsi="Arial" w:cs="Arial"/>
          <w:sz w:val="22"/>
          <w:szCs w:val="22"/>
        </w:rPr>
        <w:t>1</w:t>
      </w:r>
      <w:r w:rsidR="00DD44A5">
        <w:rPr>
          <w:rFonts w:ascii="Arial" w:hAnsi="Arial" w:cs="Arial"/>
          <w:sz w:val="22"/>
          <w:szCs w:val="22"/>
        </w:rPr>
        <w:t>4</w:t>
      </w:r>
    </w:p>
    <w:p w14:paraId="4D8646FA" w14:textId="02E3FDE7" w:rsidR="00D72670" w:rsidRDefault="00D72670" w:rsidP="00FB3D4E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FB3D4E" w:rsidRPr="00FB3D4E">
        <w:rPr>
          <w:rFonts w:ascii="Arial" w:hAnsi="Arial" w:cs="Arial"/>
          <w:sz w:val="22"/>
          <w:szCs w:val="22"/>
        </w:rPr>
        <w:t>08. 01.2021</w:t>
      </w:r>
    </w:p>
    <w:p w14:paraId="7F9025EF" w14:textId="77777777" w:rsidR="00FB3D4E" w:rsidRDefault="00FB3D4E" w:rsidP="00FB3D4E">
      <w:pPr>
        <w:pStyle w:val="CZNzevlnku"/>
        <w:spacing w:after="120" w:line="240" w:lineRule="auto"/>
        <w:jc w:val="left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51D7F83A" w14:textId="77777777" w:rsidR="009543F2" w:rsidRDefault="009543F2" w:rsidP="009543F2">
      <w:pPr>
        <w:rPr>
          <w:rFonts w:ascii="Arial" w:hAnsi="Arial" w:cs="Arial"/>
          <w:b/>
          <w:sz w:val="22"/>
          <w:szCs w:val="22"/>
        </w:rPr>
      </w:pPr>
      <w:r w:rsidRPr="00984B86">
        <w:rPr>
          <w:rFonts w:ascii="Arial" w:hAnsi="Arial" w:cs="Arial"/>
          <w:b/>
          <w:sz w:val="22"/>
          <w:szCs w:val="22"/>
        </w:rPr>
        <w:t>dodavatel:</w:t>
      </w:r>
    </w:p>
    <w:p w14:paraId="655A9FC3" w14:textId="77777777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</w:p>
    <w:p w14:paraId="60AFDBBF" w14:textId="77777777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Údolní 33, 602 00, Brno</w:t>
      </w:r>
    </w:p>
    <w:p w14:paraId="558E1B68" w14:textId="77777777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26268817</w:t>
      </w:r>
    </w:p>
    <w:p w14:paraId="47BE49A2" w14:textId="77777777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CZ26268817</w:t>
      </w:r>
    </w:p>
    <w:p w14:paraId="6A1BB86C" w14:textId="77777777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447EE8A4" w14:textId="77777777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Ing. Lubošem Kalou, ředitelem</w:t>
      </w:r>
    </w:p>
    <w:p w14:paraId="53AFBA83" w14:textId="37E69FB2" w:rsidR="009543F2" w:rsidRPr="00984B86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kontaktní osoba:</w:t>
      </w:r>
      <w:r w:rsidR="00915F6D">
        <w:rPr>
          <w:rFonts w:ascii="Arial" w:hAnsi="Arial" w:cs="Arial"/>
          <w:sz w:val="22"/>
          <w:szCs w:val="22"/>
        </w:rPr>
        <w:t xml:space="preserve"> xxx</w:t>
      </w:r>
      <w:r>
        <w:rPr>
          <w:rFonts w:ascii="Arial" w:hAnsi="Arial" w:cs="Arial"/>
          <w:sz w:val="22"/>
          <w:szCs w:val="22"/>
        </w:rPr>
        <w:t>, xxx</w:t>
      </w:r>
      <w:bookmarkStart w:id="0" w:name="_GoBack"/>
      <w:bookmarkEnd w:id="0"/>
    </w:p>
    <w:p w14:paraId="179312C0" w14:textId="77777777" w:rsidR="009543F2" w:rsidRDefault="009543F2" w:rsidP="009543F2">
      <w:pPr>
        <w:rPr>
          <w:rFonts w:ascii="Arial" w:hAnsi="Arial" w:cs="Arial"/>
          <w:sz w:val="22"/>
          <w:szCs w:val="22"/>
        </w:rPr>
      </w:pPr>
      <w:r w:rsidRPr="00984B86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3A317872" w:rsidR="00791D25" w:rsidRPr="00791D25" w:rsidRDefault="00791D25" w:rsidP="00FB3D4E">
      <w:pPr>
        <w:pStyle w:val="Zkladntext"/>
        <w:numPr>
          <w:ilvl w:val="1"/>
          <w:numId w:val="15"/>
        </w:numPr>
        <w:spacing w:after="120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FB3D4E" w:rsidRPr="00FB3D4E">
        <w:rPr>
          <w:rFonts w:ascii="Arial" w:hAnsi="Arial" w:cs="Arial"/>
          <w:sz w:val="22"/>
          <w:szCs w:val="22"/>
        </w:rPr>
        <w:t>08.</w:t>
      </w:r>
      <w:r w:rsidR="00FB3D4E">
        <w:rPr>
          <w:rFonts w:ascii="Arial" w:hAnsi="Arial" w:cs="Arial"/>
          <w:sz w:val="22"/>
          <w:szCs w:val="22"/>
        </w:rPr>
        <w:t xml:space="preserve"> </w:t>
      </w:r>
      <w:r w:rsidR="00FB3D4E" w:rsidRPr="00FB3D4E">
        <w:rPr>
          <w:rFonts w:ascii="Arial" w:hAnsi="Arial" w:cs="Arial"/>
          <w:sz w:val="22"/>
          <w:szCs w:val="22"/>
        </w:rPr>
        <w:t>01.</w:t>
      </w:r>
      <w:r w:rsidR="00FB3D4E">
        <w:rPr>
          <w:rFonts w:ascii="Arial" w:hAnsi="Arial" w:cs="Arial"/>
          <w:sz w:val="22"/>
          <w:szCs w:val="22"/>
        </w:rPr>
        <w:t xml:space="preserve"> </w:t>
      </w:r>
      <w:r w:rsidR="00FB3D4E" w:rsidRPr="00FB3D4E">
        <w:rPr>
          <w:rFonts w:ascii="Arial" w:hAnsi="Arial" w:cs="Arial"/>
          <w:sz w:val="22"/>
          <w:szCs w:val="22"/>
        </w:rPr>
        <w:t xml:space="preserve">2021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540E3A3C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9543F2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DD44A5">
        <w:rPr>
          <w:rFonts w:ascii="Arial" w:hAnsi="Arial" w:cs="Arial"/>
          <w:sz w:val="22"/>
          <w:szCs w:val="22"/>
        </w:rPr>
        <w:t xml:space="preserve">Mgr. Vlastimil Peřina </w:t>
      </w:r>
      <w:r w:rsidR="00174048">
        <w:rPr>
          <w:rFonts w:ascii="Arial" w:hAnsi="Arial" w:cs="Arial"/>
          <w:sz w:val="22"/>
          <w:szCs w:val="22"/>
        </w:rPr>
        <w:t>(</w:t>
      </w:r>
      <w:r w:rsidR="009543F2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271A4331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9543F2">
        <w:rPr>
          <w:sz w:val="22"/>
          <w:szCs w:val="22"/>
        </w:rPr>
        <w:t>215 604,00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36ACB13F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9543F2">
        <w:rPr>
          <w:sz w:val="22"/>
          <w:szCs w:val="22"/>
        </w:rPr>
        <w:t>45 276,84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11A86FB5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9543F2">
        <w:rPr>
          <w:sz w:val="22"/>
          <w:szCs w:val="22"/>
        </w:rPr>
        <w:t>260 880,84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2287AA94" w:rsidR="00B55126" w:rsidRDefault="007E1B04" w:rsidP="00FB3D4E">
      <w:pPr>
        <w:pStyle w:val="Odstavecseseznamem1"/>
        <w:numPr>
          <w:ilvl w:val="1"/>
          <w:numId w:val="11"/>
        </w:numPr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FB3D4E" w:rsidRPr="00FB3D4E">
        <w:rPr>
          <w:sz w:val="22"/>
          <w:szCs w:val="22"/>
        </w:rPr>
        <w:t>30 kalendářních dnů od data nabytí účinnosti smlouvy.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95A59F" w14:textId="250AF1F2" w:rsidR="009543F2" w:rsidRDefault="009543F2" w:rsidP="009543F2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Brně dne 17.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64FF7DB5" w14:textId="77777777" w:rsidR="009543F2" w:rsidRDefault="009543F2" w:rsidP="009543F2">
      <w:pPr>
        <w:spacing w:after="120"/>
        <w:rPr>
          <w:rFonts w:ascii="Arial" w:hAnsi="Arial" w:cs="Arial"/>
          <w:sz w:val="24"/>
        </w:rPr>
      </w:pPr>
    </w:p>
    <w:p w14:paraId="38866465" w14:textId="77777777" w:rsidR="009543F2" w:rsidRDefault="009543F2" w:rsidP="009543F2">
      <w:pPr>
        <w:spacing w:after="120"/>
        <w:rPr>
          <w:rFonts w:ascii="Arial" w:hAnsi="Arial" w:cs="Arial"/>
          <w:sz w:val="24"/>
        </w:rPr>
      </w:pPr>
    </w:p>
    <w:p w14:paraId="16C63B41" w14:textId="77777777" w:rsidR="009543F2" w:rsidRDefault="009543F2" w:rsidP="009543F2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Luboš Kala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5500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3"/>
        <w:gridCol w:w="993"/>
        <w:gridCol w:w="1092"/>
        <w:gridCol w:w="1061"/>
        <w:gridCol w:w="1440"/>
        <w:gridCol w:w="1015"/>
        <w:gridCol w:w="805"/>
        <w:gridCol w:w="1246"/>
        <w:gridCol w:w="160"/>
      </w:tblGrid>
      <w:tr w:rsidR="00FB3D4E" w:rsidRPr="00FB5484" w14:paraId="0AADFBC7" w14:textId="77777777" w:rsidTr="00FB3D4E">
        <w:trPr>
          <w:gridAfter w:val="1"/>
          <w:wAfter w:w="76" w:type="pct"/>
          <w:trHeight w:val="804"/>
        </w:trPr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3405BE" w:rsidRPr="00FB5484" w:rsidRDefault="003405BE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3405BE" w:rsidRPr="00FB5484" w:rsidRDefault="003405BE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FB3D4E" w14:paraId="2B32F9F4" w14:textId="77777777" w:rsidTr="00FB3D4E">
        <w:trPr>
          <w:trHeight w:val="78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96C9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VCZH08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93DB" w14:textId="77777777" w:rsidR="00DD44A5" w:rsidRDefault="00DD4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NPR Lichnice, Lávka v Lovětínské rokli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58C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49,8806542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5F4C" w14:textId="3890528E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15,5840878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C5D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701D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B378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DF80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AB2" w14:textId="75A9004C" w:rsidR="00DD44A5" w:rsidRDefault="00DD4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orientační poloha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889F" w14:textId="77777777" w:rsidR="00DD44A5" w:rsidRDefault="00DD44A5">
            <w:pPr>
              <w:rPr>
                <w:rFonts w:ascii="Arial" w:hAnsi="Arial" w:cs="Arial"/>
                <w:color w:val="000000"/>
              </w:rPr>
            </w:pPr>
          </w:p>
        </w:tc>
      </w:tr>
      <w:tr w:rsidR="00FB3D4E" w14:paraId="4E6604A1" w14:textId="77777777" w:rsidTr="00FB3D4E">
        <w:trPr>
          <w:trHeight w:val="264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656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VCZH09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9323" w14:textId="77777777" w:rsidR="00DD44A5" w:rsidRDefault="00DD4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NPR Lichnice, Hedvikovská rokle - </w:t>
            </w:r>
            <w:r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5CC9" w14:textId="77777777" w:rsidR="00DD44A5" w:rsidRDefault="00DD4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49,8713408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7844" w14:textId="77777777" w:rsidR="00DD44A5" w:rsidRDefault="00DD4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15,5951064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C19" w14:textId="77777777" w:rsidR="00DD44A5" w:rsidRDefault="00DD4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4B4A" w14:textId="77777777" w:rsidR="00DD44A5" w:rsidRDefault="00DD4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 x cyklisté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3869" w14:textId="77777777" w:rsidR="00DD44A5" w:rsidRDefault="00DD4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0EF4" w14:textId="77777777" w:rsidR="00DD44A5" w:rsidRDefault="00DD4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7564" w14:textId="6F7D64C8" w:rsidR="00DD44A5" w:rsidRDefault="00DD4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orientační poloha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537E" w14:textId="77777777" w:rsidR="00DD44A5" w:rsidRDefault="00DD44A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5F6A5B0B" w14:textId="53B21F0A" w:rsidR="007B0B5F" w:rsidRPr="00622314" w:rsidRDefault="006C6F48" w:rsidP="007B0B5F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0FDF5D29" w14:textId="6D4231D8" w:rsidR="006C6F48" w:rsidRDefault="006C6F48" w:rsidP="006C6F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1F28CB4F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395656">
        <w:rPr>
          <w:sz w:val="22"/>
          <w:szCs w:val="22"/>
        </w:rPr>
        <w:t>30</w:t>
      </w:r>
      <w:r w:rsidR="00481C97">
        <w:rPr>
          <w:sz w:val="22"/>
          <w:szCs w:val="22"/>
        </w:rPr>
        <w:t xml:space="preserve">. </w:t>
      </w:r>
      <w:r w:rsidR="00395656">
        <w:rPr>
          <w:sz w:val="22"/>
          <w:szCs w:val="22"/>
        </w:rPr>
        <w:t>4</w:t>
      </w:r>
      <w:r>
        <w:rPr>
          <w:sz w:val="22"/>
          <w:szCs w:val="22"/>
        </w:rPr>
        <w:t>. následujícího roku</w:t>
      </w:r>
    </w:p>
    <w:p w14:paraId="047DB5B2" w14:textId="2409565F" w:rsidR="00174048" w:rsidRDefault="00174048" w:rsidP="00DC1D51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395656">
        <w:rPr>
          <w:sz w:val="22"/>
          <w:szCs w:val="22"/>
        </w:rPr>
        <w:t>15</w:t>
      </w:r>
      <w:r w:rsidR="00481C97">
        <w:rPr>
          <w:sz w:val="22"/>
          <w:szCs w:val="22"/>
        </w:rPr>
        <w:t xml:space="preserve">. </w:t>
      </w:r>
      <w:r w:rsidR="00395656">
        <w:rPr>
          <w:sz w:val="22"/>
          <w:szCs w:val="22"/>
        </w:rPr>
        <w:t>4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395656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="00395656">
        <w:rPr>
          <w:sz w:val="22"/>
          <w:szCs w:val="22"/>
        </w:rPr>
        <w:t>7</w:t>
      </w:r>
      <w:r>
        <w:rPr>
          <w:sz w:val="22"/>
          <w:szCs w:val="22"/>
        </w:rPr>
        <w:t xml:space="preserve">., za období 1. července až 30. září vždy nejpozději do </w:t>
      </w:r>
      <w:r w:rsidR="00395656">
        <w:rPr>
          <w:sz w:val="22"/>
          <w:szCs w:val="22"/>
        </w:rPr>
        <w:t>15</w:t>
      </w:r>
      <w:r>
        <w:rPr>
          <w:sz w:val="22"/>
          <w:szCs w:val="22"/>
        </w:rPr>
        <w:t>. 1</w:t>
      </w:r>
      <w:r w:rsidR="00395656">
        <w:rPr>
          <w:sz w:val="22"/>
          <w:szCs w:val="22"/>
        </w:rPr>
        <w:t>0</w:t>
      </w:r>
      <w:r>
        <w:rPr>
          <w:sz w:val="22"/>
          <w:szCs w:val="22"/>
        </w:rPr>
        <w:t xml:space="preserve">., za období 1. října až 31. prosince vždy nejpozději do </w:t>
      </w:r>
      <w:r w:rsidR="00395656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="00395656">
        <w:rPr>
          <w:sz w:val="22"/>
          <w:szCs w:val="22"/>
        </w:rPr>
        <w:t>4</w:t>
      </w:r>
      <w:r>
        <w:rPr>
          <w:sz w:val="22"/>
          <w:szCs w:val="22"/>
        </w:rPr>
        <w:t>. následujícího roku</w:t>
      </w:r>
      <w:r>
        <w:rPr>
          <w:sz w:val="22"/>
          <w:szCs w:val="22"/>
        </w:rPr>
        <w:br w:type="page"/>
      </w:r>
    </w:p>
    <w:p w14:paraId="6FD06BE1" w14:textId="77777777" w:rsidR="00DC1D51" w:rsidRDefault="00DC1D51" w:rsidP="00174048">
      <w:pPr>
        <w:pStyle w:val="Odstavecseseznamem1"/>
        <w:ind w:left="0"/>
        <w:rPr>
          <w:sz w:val="22"/>
          <w:szCs w:val="22"/>
        </w:rPr>
      </w:pP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25F98126" w:rsidR="00174048" w:rsidRPr="009543F2" w:rsidRDefault="009543F2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2 199,00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0DB9D33C" w:rsidR="00174048" w:rsidRPr="009543F2" w:rsidRDefault="009543F2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2 660,79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770321C1" w:rsidR="00174048" w:rsidRPr="009543F2" w:rsidRDefault="009543F2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21B0B9D7" w:rsidR="00174048" w:rsidRPr="009543F2" w:rsidRDefault="009543F2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</w:t>
            </w:r>
          </w:p>
        </w:tc>
      </w:tr>
      <w:tr w:rsidR="009543F2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9543F2" w:rsidRPr="00555DE5" w:rsidRDefault="009543F2" w:rsidP="009543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2ED96980" w:rsidR="009543F2" w:rsidRPr="009543F2" w:rsidRDefault="009543F2" w:rsidP="009543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1 500,00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590B5571" w:rsidR="009543F2" w:rsidRPr="009543F2" w:rsidRDefault="009543F2" w:rsidP="009543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1 815,00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239EA" w14:textId="77777777" w:rsidR="002A284A" w:rsidRDefault="002A284A">
      <w:r>
        <w:separator/>
      </w:r>
    </w:p>
  </w:endnote>
  <w:endnote w:type="continuationSeparator" w:id="0">
    <w:p w14:paraId="58744C41" w14:textId="77777777" w:rsidR="002A284A" w:rsidRDefault="002A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50F223E9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915F6D">
      <w:rPr>
        <w:rStyle w:val="slostrnky"/>
        <w:rFonts w:ascii="Arial" w:hAnsi="Arial" w:cs="Arial"/>
        <w:noProof/>
        <w:sz w:val="16"/>
      </w:rPr>
      <w:t>1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FAEDE" w14:textId="77777777" w:rsidR="002A284A" w:rsidRDefault="002A284A">
      <w:r>
        <w:separator/>
      </w:r>
    </w:p>
  </w:footnote>
  <w:footnote w:type="continuationSeparator" w:id="0">
    <w:p w14:paraId="49F38858" w14:textId="77777777" w:rsidR="002A284A" w:rsidRDefault="002A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6DC5"/>
    <w:rsid w:val="00017005"/>
    <w:rsid w:val="00020108"/>
    <w:rsid w:val="00020767"/>
    <w:rsid w:val="0002162B"/>
    <w:rsid w:val="000224D0"/>
    <w:rsid w:val="000317C9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04BDA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3CAC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188"/>
    <w:rsid w:val="002A1205"/>
    <w:rsid w:val="002A2130"/>
    <w:rsid w:val="002A284A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95656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0ABA"/>
    <w:rsid w:val="003E20AF"/>
    <w:rsid w:val="003E29B5"/>
    <w:rsid w:val="003E5230"/>
    <w:rsid w:val="003E62E2"/>
    <w:rsid w:val="003E6F49"/>
    <w:rsid w:val="003F2F9B"/>
    <w:rsid w:val="00401198"/>
    <w:rsid w:val="00401D07"/>
    <w:rsid w:val="0040327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368C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3E7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008D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C6F48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43A6"/>
    <w:rsid w:val="0071544E"/>
    <w:rsid w:val="007163D4"/>
    <w:rsid w:val="007176B0"/>
    <w:rsid w:val="007209B4"/>
    <w:rsid w:val="00720A5C"/>
    <w:rsid w:val="00722207"/>
    <w:rsid w:val="00722385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0B5F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15F6D"/>
    <w:rsid w:val="009230CA"/>
    <w:rsid w:val="009304D4"/>
    <w:rsid w:val="00940675"/>
    <w:rsid w:val="00942404"/>
    <w:rsid w:val="009467E9"/>
    <w:rsid w:val="0095042B"/>
    <w:rsid w:val="00953561"/>
    <w:rsid w:val="009543F2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574B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5C13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5E7D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DEF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0020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69EA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2A61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1D51"/>
    <w:rsid w:val="00DC4472"/>
    <w:rsid w:val="00DC4D40"/>
    <w:rsid w:val="00DC7AEE"/>
    <w:rsid w:val="00DD0F69"/>
    <w:rsid w:val="00DD2323"/>
    <w:rsid w:val="00DD3EB7"/>
    <w:rsid w:val="00DD448D"/>
    <w:rsid w:val="00DD44A5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29BF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EF79DF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3D4E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5152652B-40D0-49FB-A1E8-D41A1B7C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4CC44-7960-495B-B938-6F64C41C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Barbora Čížková</cp:lastModifiedBy>
  <cp:revision>4</cp:revision>
  <cp:lastPrinted>2014-08-18T11:03:00Z</cp:lastPrinted>
  <dcterms:created xsi:type="dcterms:W3CDTF">2021-04-13T09:48:00Z</dcterms:created>
  <dcterms:modified xsi:type="dcterms:W3CDTF">2021-04-19T09:14:00Z</dcterms:modified>
</cp:coreProperties>
</file>