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DB1163" w14:textId="3BBE86C7" w:rsidR="00987422" w:rsidRPr="00352769" w:rsidRDefault="00352769" w:rsidP="009657E2">
      <w:pPr>
        <w:pStyle w:val="Nadpis1"/>
        <w:spacing w:after="480"/>
        <w:contextualSpacing w:val="0"/>
        <w:rPr>
          <w:rFonts w:asciiTheme="minorHAnsi" w:eastAsia="Verdana" w:hAnsiTheme="minorHAnsi" w:cs="UnitPro"/>
          <w:sz w:val="32"/>
          <w:szCs w:val="32"/>
        </w:rPr>
      </w:pPr>
      <w:r>
        <w:rPr>
          <w:rFonts w:asciiTheme="minorHAnsi" w:eastAsia="Verdana" w:hAnsiTheme="minorHAnsi" w:cs="UnitPro"/>
          <w:sz w:val="32"/>
          <w:szCs w:val="32"/>
        </w:rPr>
        <w:t xml:space="preserve">CAMP – </w:t>
      </w:r>
      <w:bookmarkStart w:id="0" w:name="_GoBack"/>
      <w:bookmarkEnd w:id="0"/>
      <w:r w:rsidR="00A52D85" w:rsidRPr="00352769">
        <w:rPr>
          <w:rFonts w:asciiTheme="minorHAnsi" w:eastAsia="Verdana" w:hAnsiTheme="minorHAnsi" w:cs="UnitPro"/>
          <w:sz w:val="32"/>
          <w:szCs w:val="32"/>
        </w:rPr>
        <w:t>Elektroakustika</w:t>
      </w:r>
    </w:p>
    <w:p w14:paraId="2AA3C4B0" w14:textId="6851A6AA" w:rsidR="00560BAB" w:rsidRPr="00F06B4D" w:rsidRDefault="00993353" w:rsidP="005457AD">
      <w:pPr>
        <w:pStyle w:val="Nadpis1"/>
        <w:rPr>
          <w:rFonts w:asciiTheme="minorHAnsi" w:hAnsiTheme="minorHAnsi" w:cs="UnitPro"/>
        </w:rPr>
      </w:pPr>
      <w:bookmarkStart w:id="1" w:name="_af80tl7prv5v" w:colFirst="0" w:colLast="0"/>
      <w:bookmarkStart w:id="2" w:name="_pkju87nermet" w:colFirst="0" w:colLast="0"/>
      <w:bookmarkEnd w:id="1"/>
      <w:bookmarkEnd w:id="2"/>
      <w:r w:rsidRPr="00F06B4D">
        <w:rPr>
          <w:rFonts w:asciiTheme="minorHAnsi" w:hAnsiTheme="minorHAnsi" w:cs="UnitPro"/>
        </w:rPr>
        <w:t>Specifikace</w:t>
      </w:r>
      <w:r w:rsidR="00560BAB" w:rsidRPr="00F06B4D">
        <w:rPr>
          <w:rFonts w:asciiTheme="minorHAnsi" w:hAnsiTheme="minorHAnsi" w:cs="UnitPro"/>
        </w:rPr>
        <w:t xml:space="preserve"> techniky</w:t>
      </w:r>
    </w:p>
    <w:p w14:paraId="0DBA154D" w14:textId="7803E5EF" w:rsidR="0079250F" w:rsidRPr="0079250F" w:rsidRDefault="0079250F" w:rsidP="00BE2285">
      <w:pPr>
        <w:jc w:val="both"/>
        <w:rPr>
          <w:rFonts w:asciiTheme="minorHAnsi" w:hAnsiTheme="minorHAnsi" w:cs="UnitPro"/>
        </w:rPr>
      </w:pPr>
      <w:bookmarkStart w:id="3" w:name="_14mpx6a8znb7" w:colFirst="0" w:colLast="0"/>
      <w:bookmarkEnd w:id="3"/>
      <w:r w:rsidRPr="0079250F">
        <w:rPr>
          <w:rFonts w:asciiTheme="minorHAnsi" w:hAnsiTheme="minorHAnsi" w:cs="UnitPro"/>
        </w:rPr>
        <w:t>Ozvučovací systém se skládá ze dvou hlavních částí: ozvučení panorama</w:t>
      </w:r>
      <w:r w:rsidR="00BE2285">
        <w:rPr>
          <w:rFonts w:asciiTheme="minorHAnsi" w:hAnsiTheme="minorHAnsi" w:cs="UnitPro"/>
        </w:rPr>
        <w:t>tické projekce v hlavním sále a </w:t>
      </w:r>
      <w:r w:rsidRPr="0079250F">
        <w:rPr>
          <w:rFonts w:asciiTheme="minorHAnsi" w:hAnsiTheme="minorHAnsi" w:cs="UnitPro"/>
        </w:rPr>
        <w:t>prostorové ozvučení amfiteátru.</w:t>
      </w:r>
    </w:p>
    <w:p w14:paraId="36CFE32B" w14:textId="797DD092" w:rsidR="0079250F" w:rsidRPr="0079250F" w:rsidRDefault="0079250F" w:rsidP="00BE2285">
      <w:pPr>
        <w:jc w:val="both"/>
        <w:rPr>
          <w:rFonts w:asciiTheme="minorHAnsi" w:hAnsiTheme="minorHAnsi" w:cs="UnitPro"/>
        </w:rPr>
      </w:pPr>
      <w:r w:rsidRPr="0079250F">
        <w:rPr>
          <w:rFonts w:asciiTheme="minorHAnsi" w:hAnsiTheme="minorHAnsi" w:cs="UnitPro"/>
        </w:rPr>
        <w:t>V rámci hlavního sálu je navrženo v polovině podlahové plochy u plátna (stěny) ozvučení čtyřmi závěsnými stropními reprosoustavami s úzkým vyzařovacím úhlem, aby bylo minimalizováno rušení projekce probíhající v amfiteátru. Panoramatická projekce bude doprovázena buď hudebním podkladem</w:t>
      </w:r>
      <w:r>
        <w:rPr>
          <w:rFonts w:asciiTheme="minorHAnsi" w:hAnsiTheme="minorHAnsi" w:cs="UnitPro"/>
        </w:rPr>
        <w:t>,</w:t>
      </w:r>
      <w:r w:rsidRPr="0079250F">
        <w:rPr>
          <w:rFonts w:asciiTheme="minorHAnsi" w:hAnsiTheme="minorHAnsi" w:cs="UnitPro"/>
        </w:rPr>
        <w:t xml:space="preserve"> nebo hlasem. Signál je veden v jednom kanálu.</w:t>
      </w:r>
    </w:p>
    <w:p w14:paraId="604ACB4D" w14:textId="77777777" w:rsidR="0079250F" w:rsidRPr="0079250F" w:rsidRDefault="0079250F" w:rsidP="00BE2285">
      <w:pPr>
        <w:jc w:val="both"/>
        <w:rPr>
          <w:rFonts w:asciiTheme="minorHAnsi" w:hAnsiTheme="minorHAnsi" w:cs="UnitPro"/>
        </w:rPr>
      </w:pPr>
      <w:r w:rsidRPr="0079250F">
        <w:rPr>
          <w:rFonts w:asciiTheme="minorHAnsi" w:hAnsiTheme="minorHAnsi" w:cs="UnitPro"/>
        </w:rPr>
        <w:t>Amfiteátr bude sloužit několika různorodým funkcím: jednak jako prostor pro prezentace a přednášky, jednak jako promítací sál. Z toho důvodu je navrženo prostorové ozvučení se 7 kanály (střed a levý/pravý kanál pro přední, boční a zadní) a jedním subwooferem. Kromě ozvučení je pro potřeby přednášek vybavit prostor mikrofony. Navrženo je 6 bezdrátových mikrofonních systémů (ruční) a 4 bezdrátové (</w:t>
      </w:r>
      <w:proofErr w:type="spellStart"/>
      <w:r w:rsidRPr="0079250F">
        <w:rPr>
          <w:rFonts w:asciiTheme="minorHAnsi" w:hAnsiTheme="minorHAnsi" w:cs="UnitPro"/>
        </w:rPr>
        <w:t>headset</w:t>
      </w:r>
      <w:proofErr w:type="spellEnd"/>
      <w:r w:rsidRPr="0079250F">
        <w:rPr>
          <w:rFonts w:asciiTheme="minorHAnsi" w:hAnsiTheme="minorHAnsi" w:cs="UnitPro"/>
        </w:rPr>
        <w:t>).</w:t>
      </w:r>
    </w:p>
    <w:p w14:paraId="30662B48" w14:textId="3DE2C43C" w:rsidR="0079250F" w:rsidRDefault="0079250F" w:rsidP="00BE2285">
      <w:pPr>
        <w:jc w:val="both"/>
      </w:pPr>
      <w:r w:rsidRPr="0079250F">
        <w:rPr>
          <w:rFonts w:asciiTheme="minorHAnsi" w:hAnsiTheme="minorHAnsi" w:cs="UnitPro"/>
        </w:rPr>
        <w:t>Zvukový procesor musí umožňovat propojení všech vstupů a výstupů a přepínání jednotlivých zón. Vstupem do systému bude jednak media server odbavující video</w:t>
      </w:r>
      <w:r w:rsidR="00BE2285">
        <w:rPr>
          <w:rFonts w:asciiTheme="minorHAnsi" w:hAnsiTheme="minorHAnsi" w:cs="UnitPro"/>
        </w:rPr>
        <w:t xml:space="preserve"> obsah na hlavní projekci, dále </w:t>
      </w:r>
      <w:r w:rsidRPr="0079250F">
        <w:rPr>
          <w:rFonts w:asciiTheme="minorHAnsi" w:hAnsiTheme="minorHAnsi" w:cs="UnitPro"/>
        </w:rPr>
        <w:t xml:space="preserve">mikrofonní systémy, přehrávač/dekodér </w:t>
      </w:r>
      <w:proofErr w:type="spellStart"/>
      <w:r w:rsidRPr="0079250F">
        <w:rPr>
          <w:rFonts w:asciiTheme="minorHAnsi" w:hAnsiTheme="minorHAnsi" w:cs="UnitPro"/>
        </w:rPr>
        <w:t>Blu-ray</w:t>
      </w:r>
      <w:proofErr w:type="spellEnd"/>
      <w:r w:rsidRPr="0079250F">
        <w:rPr>
          <w:rFonts w:asciiTheme="minorHAnsi" w:hAnsiTheme="minorHAnsi" w:cs="UnitPro"/>
        </w:rPr>
        <w:t xml:space="preserve"> a PC pro přednášejícího v amfiteátru (či jiné zařízení připojené k některému z přípojných míst</w:t>
      </w:r>
      <w:r>
        <w:rPr>
          <w:rFonts w:ascii="Verdana" w:eastAsia="Verdana" w:hAnsi="Verdana" w:cs="Verdana"/>
        </w:rPr>
        <w:t>).</w:t>
      </w:r>
    </w:p>
    <w:p w14:paraId="3794A243" w14:textId="77777777" w:rsidR="00987422" w:rsidRPr="00560BAB" w:rsidRDefault="00993353" w:rsidP="005457AD">
      <w:pPr>
        <w:pStyle w:val="Nadpis1"/>
        <w:rPr>
          <w:rFonts w:asciiTheme="minorHAnsi" w:hAnsiTheme="minorHAnsi" w:cs="UnitPro"/>
        </w:rPr>
      </w:pPr>
      <w:bookmarkStart w:id="4" w:name="_c5rpsdy8g2ak" w:colFirst="0" w:colLast="0"/>
      <w:bookmarkEnd w:id="4"/>
      <w:r w:rsidRPr="00F06B4D">
        <w:rPr>
          <w:rFonts w:asciiTheme="minorHAnsi" w:hAnsiTheme="minorHAnsi" w:cs="UnitPro"/>
        </w:rPr>
        <w:t>Instalační podmínky</w:t>
      </w:r>
    </w:p>
    <w:p w14:paraId="00AE23D7" w14:textId="77777777" w:rsidR="0079250F" w:rsidRPr="0079250F" w:rsidRDefault="0079250F" w:rsidP="00BE2285">
      <w:pPr>
        <w:jc w:val="both"/>
        <w:rPr>
          <w:rFonts w:asciiTheme="minorHAnsi" w:hAnsiTheme="minorHAnsi"/>
        </w:rPr>
      </w:pPr>
      <w:r w:rsidRPr="0079250F">
        <w:rPr>
          <w:rFonts w:asciiTheme="minorHAnsi" w:eastAsia="Verdana" w:hAnsiTheme="minorHAnsi" w:cs="Verdana"/>
        </w:rPr>
        <w:t>Součástí dodávky jsou:</w:t>
      </w:r>
    </w:p>
    <w:p w14:paraId="33A1AEF2" w14:textId="77777777" w:rsidR="0079250F" w:rsidRP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 xml:space="preserve">závěsné systémy, </w:t>
      </w:r>
    </w:p>
    <w:p w14:paraId="5CC14A76" w14:textId="77777777" w:rsidR="0079250F" w:rsidRP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 xml:space="preserve">montáž techniky v cílovém prostoru, </w:t>
      </w:r>
    </w:p>
    <w:p w14:paraId="7E528052" w14:textId="77777777" w:rsidR="0079250F" w:rsidRP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 xml:space="preserve">zavedení kabeláže od koncových přístrojů do </w:t>
      </w:r>
      <w:proofErr w:type="spellStart"/>
      <w:r w:rsidRPr="0079250F">
        <w:rPr>
          <w:rFonts w:asciiTheme="minorHAnsi" w:eastAsia="Verdana" w:hAnsiTheme="minorHAnsi" w:cs="Verdana"/>
        </w:rPr>
        <w:t>serverovny</w:t>
      </w:r>
      <w:proofErr w:type="spellEnd"/>
      <w:r w:rsidRPr="0079250F">
        <w:rPr>
          <w:rFonts w:asciiTheme="minorHAnsi" w:eastAsia="Verdana" w:hAnsiTheme="minorHAnsi" w:cs="Verdana"/>
        </w:rPr>
        <w:t xml:space="preserve"> (max. 80m) za udržení kvality signálu, </w:t>
      </w:r>
    </w:p>
    <w:p w14:paraId="3E11BE14" w14:textId="77777777" w:rsidR="0079250F" w:rsidRP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>propojení koncových přístrojů s procesorem, zesilovačem</w:t>
      </w:r>
    </w:p>
    <w:p w14:paraId="147C4563" w14:textId="77777777" w:rsid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>instalace nástěnných panelů k ovládání hlasitosti</w:t>
      </w:r>
    </w:p>
    <w:p w14:paraId="62CF1DB4" w14:textId="7E7E95B7" w:rsidR="0079250F" w:rsidRPr="0079250F" w:rsidRDefault="0079250F" w:rsidP="00BE2285">
      <w:pPr>
        <w:numPr>
          <w:ilvl w:val="0"/>
          <w:numId w:val="5"/>
        </w:numPr>
        <w:ind w:hanging="360"/>
        <w:contextualSpacing/>
        <w:jc w:val="both"/>
        <w:rPr>
          <w:rFonts w:asciiTheme="minorHAnsi" w:eastAsia="Verdana" w:hAnsiTheme="minorHAnsi" w:cs="Verdana"/>
        </w:rPr>
      </w:pPr>
      <w:r w:rsidRPr="0079250F">
        <w:rPr>
          <w:rFonts w:asciiTheme="minorHAnsi" w:eastAsia="Verdana" w:hAnsiTheme="minorHAnsi" w:cs="Verdana"/>
        </w:rPr>
        <w:t>uživatelský manuál v ČJ (překlad může být zhotoven přímo dodavatelem, případné chyby v překladu jsou však na jeho zodpovědnost)</w:t>
      </w:r>
    </w:p>
    <w:p w14:paraId="60B2E6B0" w14:textId="77777777" w:rsidR="0079250F" w:rsidRPr="0079250F" w:rsidRDefault="0079250F" w:rsidP="00BE2285">
      <w:pPr>
        <w:jc w:val="both"/>
        <w:rPr>
          <w:rFonts w:asciiTheme="minorHAnsi" w:hAnsiTheme="minorHAnsi"/>
        </w:rPr>
      </w:pPr>
      <w:r w:rsidRPr="0079250F">
        <w:rPr>
          <w:rFonts w:asciiTheme="minorHAnsi" w:eastAsia="Verdana" w:hAnsiTheme="minorHAnsi" w:cs="Verdana"/>
        </w:rPr>
        <w:t>Dodavatel po instalaci techniky provede test zařízení.</w:t>
      </w:r>
    </w:p>
    <w:p w14:paraId="6386342D" w14:textId="3113B075" w:rsidR="0079250F" w:rsidRPr="00E5263A" w:rsidRDefault="0079250F" w:rsidP="00BE2285">
      <w:pPr>
        <w:jc w:val="both"/>
        <w:rPr>
          <w:rFonts w:asciiTheme="minorHAnsi" w:eastAsia="Verdana" w:hAnsiTheme="minorHAnsi" w:cs="Verdana"/>
        </w:rPr>
      </w:pPr>
      <w:r w:rsidRPr="00E5263A">
        <w:rPr>
          <w:rFonts w:asciiTheme="minorHAnsi" w:eastAsia="Verdana" w:hAnsiTheme="minorHAnsi" w:cs="Verdana"/>
        </w:rPr>
        <w:t>Stropní konstrukce sálu sestává z průvlaků I 640 a stropnic IPE 240 (á 1200 mm), na které je možné techniku zavěsit, nebo v případě potřeby vyšší přesnosti umístění vl</w:t>
      </w:r>
      <w:r w:rsidR="00BE2285">
        <w:rPr>
          <w:rFonts w:asciiTheme="minorHAnsi" w:eastAsia="Verdana" w:hAnsiTheme="minorHAnsi" w:cs="Verdana"/>
        </w:rPr>
        <w:t>ožit pomocný ocelový profil. Ze </w:t>
      </w:r>
      <w:r w:rsidRPr="00E5263A">
        <w:rPr>
          <w:rFonts w:asciiTheme="minorHAnsi" w:eastAsia="Verdana" w:hAnsiTheme="minorHAnsi" w:cs="Verdana"/>
        </w:rPr>
        <w:t xml:space="preserve">stropu je svěšena (ca 600 mm) hustá síť vytápění, která se skládá z nosného roštu a samotného </w:t>
      </w:r>
      <w:r w:rsidRPr="00E5263A">
        <w:rPr>
          <w:rFonts w:asciiTheme="minorHAnsi" w:eastAsia="Verdana" w:hAnsiTheme="minorHAnsi" w:cs="Verdana"/>
        </w:rPr>
        <w:lastRenderedPageBreak/>
        <w:t>topného potrubí. Ta je z</w:t>
      </w:r>
      <w:r>
        <w:rPr>
          <w:rFonts w:asciiTheme="minorHAnsi" w:eastAsia="Verdana" w:hAnsiTheme="minorHAnsi" w:cs="Verdana"/>
        </w:rPr>
        <w:t xml:space="preserve"> </w:t>
      </w:r>
      <w:r w:rsidRPr="00E5263A">
        <w:rPr>
          <w:rFonts w:asciiTheme="minorHAnsi" w:eastAsia="Verdana" w:hAnsiTheme="minorHAnsi" w:cs="Verdana"/>
        </w:rPr>
        <w:t>hlediska projekce neprostupná</w:t>
      </w:r>
      <w:r>
        <w:rPr>
          <w:rFonts w:asciiTheme="minorHAnsi" w:eastAsia="Verdana" w:hAnsiTheme="minorHAnsi" w:cs="Verdana"/>
        </w:rPr>
        <w:t>,</w:t>
      </w:r>
      <w:r w:rsidRPr="00E5263A">
        <w:rPr>
          <w:rFonts w:asciiTheme="minorHAnsi" w:eastAsia="Verdana" w:hAnsiTheme="minorHAnsi" w:cs="Verdana"/>
        </w:rPr>
        <w:t xml:space="preserve"> a projekční te</w:t>
      </w:r>
      <w:r w:rsidR="00BE2285">
        <w:rPr>
          <w:rFonts w:asciiTheme="minorHAnsi" w:eastAsia="Verdana" w:hAnsiTheme="minorHAnsi" w:cs="Verdana"/>
        </w:rPr>
        <w:t>chnika tedy musí být svěšena až </w:t>
      </w:r>
      <w:r w:rsidRPr="00E5263A">
        <w:rPr>
          <w:rFonts w:asciiTheme="minorHAnsi" w:eastAsia="Verdana" w:hAnsiTheme="minorHAnsi" w:cs="Verdana"/>
        </w:rPr>
        <w:t>pod ní. Je nutné použít mechanicky odolné variabilní držáky projektorů s otočnou hlavicí.</w:t>
      </w:r>
    </w:p>
    <w:p w14:paraId="4A48CD52" w14:textId="77777777" w:rsidR="0079250F" w:rsidRPr="0079250F" w:rsidRDefault="0079250F" w:rsidP="00BE2285">
      <w:pPr>
        <w:jc w:val="both"/>
        <w:rPr>
          <w:rFonts w:asciiTheme="minorHAnsi" w:hAnsiTheme="minorHAnsi"/>
        </w:rPr>
      </w:pPr>
      <w:r w:rsidRPr="0079250F">
        <w:rPr>
          <w:rFonts w:asciiTheme="minorHAnsi" w:eastAsia="Verdana" w:hAnsiTheme="minorHAnsi" w:cs="Verdana"/>
        </w:rPr>
        <w:t>Zadavatel současně poptává techniku na odbavování obsahu, projekci video obsahu a nahrávací systém. Součást dodávky je též součinnost s ostatními dodavateli a zadavatelem při propojování jednotlivých částí instalace.</w:t>
      </w:r>
    </w:p>
    <w:p w14:paraId="19F4C254" w14:textId="5DCFE0D6" w:rsidR="00F06B4D" w:rsidRDefault="00F06B4D" w:rsidP="005457AD">
      <w:pPr>
        <w:pStyle w:val="Nadpis1"/>
        <w:rPr>
          <w:rFonts w:asciiTheme="minorHAnsi" w:hAnsiTheme="minorHAnsi" w:cs="UnitPro"/>
        </w:rPr>
      </w:pPr>
      <w:r w:rsidRPr="00F06B4D">
        <w:rPr>
          <w:rFonts w:asciiTheme="minorHAnsi" w:hAnsiTheme="minorHAnsi" w:cs="UnitPro"/>
        </w:rPr>
        <w:t>Školení</w:t>
      </w:r>
    </w:p>
    <w:p w14:paraId="424DD1D7" w14:textId="44E8D25C" w:rsidR="008E03D9" w:rsidRDefault="00F06B4D" w:rsidP="00BE2285">
      <w:pPr>
        <w:contextualSpacing/>
        <w:jc w:val="both"/>
        <w:rPr>
          <w:rFonts w:asciiTheme="minorHAnsi" w:eastAsia="Verdana" w:hAnsiTheme="minorHAnsi" w:cs="UnitPro"/>
        </w:rPr>
      </w:pPr>
      <w:r w:rsidRPr="00F06B4D">
        <w:rPr>
          <w:rFonts w:asciiTheme="minorHAnsi" w:eastAsia="Verdana" w:hAnsiTheme="minorHAnsi" w:cs="UnitPro"/>
        </w:rPr>
        <w:t>Smluvní strany se</w:t>
      </w:r>
      <w:r w:rsidR="007B2620">
        <w:rPr>
          <w:rFonts w:asciiTheme="minorHAnsi" w:eastAsia="Verdana" w:hAnsiTheme="minorHAnsi" w:cs="UnitPro"/>
        </w:rPr>
        <w:t xml:space="preserve"> dohodly -</w:t>
      </w:r>
      <w:r w:rsidRPr="00F06B4D">
        <w:rPr>
          <w:rFonts w:asciiTheme="minorHAnsi" w:eastAsia="Verdana" w:hAnsiTheme="minorHAnsi" w:cs="UnitPro"/>
        </w:rPr>
        <w:t xml:space="preserve"> s ohledem na to, že zhotovitel má zájem na minimali</w:t>
      </w:r>
      <w:r>
        <w:rPr>
          <w:rFonts w:asciiTheme="minorHAnsi" w:eastAsia="Verdana" w:hAnsiTheme="minorHAnsi" w:cs="UnitPro"/>
        </w:rPr>
        <w:t>zaci chyb při užívání zařízení příslušným zam</w:t>
      </w:r>
      <w:r w:rsidR="007B2620">
        <w:rPr>
          <w:rFonts w:asciiTheme="minorHAnsi" w:eastAsia="Verdana" w:hAnsiTheme="minorHAnsi" w:cs="UnitPro"/>
        </w:rPr>
        <w:t>ěstnancem objednatele</w:t>
      </w:r>
      <w:r w:rsidR="008E03D9">
        <w:rPr>
          <w:rFonts w:asciiTheme="minorHAnsi" w:eastAsia="Verdana" w:hAnsiTheme="minorHAnsi" w:cs="UnitPro"/>
        </w:rPr>
        <w:t xml:space="preserve"> a dodržování zásad </w:t>
      </w:r>
      <w:r w:rsidR="008E03D9">
        <w:t>bezpečné manipulace a práce s veškerým dodaným vybavením</w:t>
      </w:r>
      <w:r w:rsidR="007B2620">
        <w:rPr>
          <w:rFonts w:asciiTheme="minorHAnsi" w:eastAsia="Verdana" w:hAnsiTheme="minorHAnsi" w:cs="UnitPro"/>
        </w:rPr>
        <w:t xml:space="preserve">, </w:t>
      </w:r>
      <w:r>
        <w:rPr>
          <w:rFonts w:asciiTheme="minorHAnsi" w:eastAsia="Verdana" w:hAnsiTheme="minorHAnsi" w:cs="UnitPro"/>
        </w:rPr>
        <w:t>že zhotovitel v ceně služeb objednateli poskytne školení pro</w:t>
      </w:r>
      <w:r w:rsidR="00BE2285">
        <w:rPr>
          <w:rFonts w:asciiTheme="minorHAnsi" w:eastAsia="Verdana" w:hAnsiTheme="minorHAnsi" w:cs="UnitPro"/>
        </w:rPr>
        <w:t xml:space="preserve"> uživatele a </w:t>
      </w:r>
      <w:r>
        <w:rPr>
          <w:rFonts w:asciiTheme="minorHAnsi" w:eastAsia="Verdana" w:hAnsiTheme="minorHAnsi" w:cs="UnitPro"/>
        </w:rPr>
        <w:t>IT správce objednatele ke každému nainstalovanému typu zařízení</w:t>
      </w:r>
      <w:r w:rsidR="008E03D9">
        <w:rPr>
          <w:rFonts w:asciiTheme="minorHAnsi" w:eastAsia="Verdana" w:hAnsiTheme="minorHAnsi" w:cs="UnitPro"/>
        </w:rPr>
        <w:t>. Uživatelé budou do detailu seznámeni s hlavními funkcemi, budou jim vysvětleny a názorně předvedeny také další uživatelské funkce a možnosti konfigurace systému.</w:t>
      </w:r>
    </w:p>
    <w:p w14:paraId="1CEF566A" w14:textId="77777777" w:rsidR="008E03D9" w:rsidRDefault="008E03D9" w:rsidP="005457AD">
      <w:pPr>
        <w:contextualSpacing/>
        <w:rPr>
          <w:rFonts w:asciiTheme="minorHAnsi" w:eastAsia="Verdana" w:hAnsiTheme="minorHAnsi" w:cs="UnitPro"/>
        </w:rPr>
      </w:pPr>
    </w:p>
    <w:p w14:paraId="616E83C7" w14:textId="77777777" w:rsidR="009657E2" w:rsidRDefault="009657E2" w:rsidP="005457AD">
      <w:pPr>
        <w:contextualSpacing/>
        <w:rPr>
          <w:rFonts w:asciiTheme="minorHAnsi" w:eastAsia="Verdana" w:hAnsiTheme="minorHAnsi" w:cs="UnitPro"/>
        </w:rPr>
      </w:pPr>
    </w:p>
    <w:sectPr w:rsidR="009657E2" w:rsidSect="00902533">
      <w:headerReference w:type="default" r:id="rId9"/>
      <w:headerReference w:type="first" r:id="rId10"/>
      <w:footerReference w:type="first" r:id="rId11"/>
      <w:pgSz w:w="12240" w:h="15840"/>
      <w:pgMar w:top="993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446D2" w14:textId="77777777" w:rsidR="00683C09" w:rsidRDefault="00683C09">
      <w:pPr>
        <w:spacing w:before="0" w:line="240" w:lineRule="auto"/>
      </w:pPr>
      <w:r>
        <w:separator/>
      </w:r>
    </w:p>
  </w:endnote>
  <w:endnote w:type="continuationSeparator" w:id="0">
    <w:p w14:paraId="09690411" w14:textId="77777777" w:rsidR="00683C09" w:rsidRDefault="00683C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tPro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9B52F" w14:textId="45D04673" w:rsidR="009657E2" w:rsidRDefault="009657E2">
    <w:pPr>
      <w:pStyle w:val="Zpat"/>
      <w:jc w:val="right"/>
    </w:pPr>
  </w:p>
  <w:p w14:paraId="36175D0E" w14:textId="77777777" w:rsidR="009657E2" w:rsidRDefault="009657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E4423" w14:textId="77777777" w:rsidR="00683C09" w:rsidRDefault="00683C09">
      <w:pPr>
        <w:spacing w:before="0" w:line="240" w:lineRule="auto"/>
      </w:pPr>
      <w:r>
        <w:separator/>
      </w:r>
    </w:p>
  </w:footnote>
  <w:footnote w:type="continuationSeparator" w:id="0">
    <w:p w14:paraId="1467E481" w14:textId="77777777" w:rsidR="00683C09" w:rsidRDefault="00683C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CA5B" w14:textId="77777777" w:rsidR="00987422" w:rsidRDefault="00987422">
    <w:pPr>
      <w:spacing w:before="400"/>
    </w:pPr>
  </w:p>
  <w:p w14:paraId="0E7DDB01" w14:textId="2CDB220F" w:rsidR="00987422" w:rsidRDefault="00987422">
    <w:pPr>
      <w:spacing w:befor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5A804" w14:textId="093CD5B3" w:rsidR="001A262A" w:rsidRPr="001A262A" w:rsidRDefault="001A262A">
    <w:pPr>
      <w:pStyle w:val="Zhlav"/>
      <w:rPr>
        <w:b/>
        <w:sz w:val="24"/>
        <w:szCs w:val="24"/>
      </w:rPr>
    </w:pPr>
    <w:r w:rsidRPr="001A262A">
      <w:rPr>
        <w:b/>
        <w:sz w:val="24"/>
        <w:szCs w:val="24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6E6F"/>
    <w:multiLevelType w:val="hybridMultilevel"/>
    <w:tmpl w:val="D0D40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FD8"/>
    <w:multiLevelType w:val="multilevel"/>
    <w:tmpl w:val="CBDA0C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9B604BB"/>
    <w:multiLevelType w:val="multilevel"/>
    <w:tmpl w:val="2E56DE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BBB3877"/>
    <w:multiLevelType w:val="multilevel"/>
    <w:tmpl w:val="B99074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134284F"/>
    <w:multiLevelType w:val="multilevel"/>
    <w:tmpl w:val="0C60FF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22"/>
    <w:rsid w:val="000242D3"/>
    <w:rsid w:val="000362D7"/>
    <w:rsid w:val="000916EF"/>
    <w:rsid w:val="00092317"/>
    <w:rsid w:val="00097EA0"/>
    <w:rsid w:val="000A5055"/>
    <w:rsid w:val="000C047B"/>
    <w:rsid w:val="000D7466"/>
    <w:rsid w:val="000E6DC6"/>
    <w:rsid w:val="00101432"/>
    <w:rsid w:val="001078B0"/>
    <w:rsid w:val="001229F2"/>
    <w:rsid w:val="001A262A"/>
    <w:rsid w:val="001A7B57"/>
    <w:rsid w:val="001D5AD1"/>
    <w:rsid w:val="002107CE"/>
    <w:rsid w:val="00247BE3"/>
    <w:rsid w:val="002F3B61"/>
    <w:rsid w:val="00312510"/>
    <w:rsid w:val="003231F1"/>
    <w:rsid w:val="00352769"/>
    <w:rsid w:val="00353867"/>
    <w:rsid w:val="00394796"/>
    <w:rsid w:val="003A53C4"/>
    <w:rsid w:val="003C0168"/>
    <w:rsid w:val="003D6AD9"/>
    <w:rsid w:val="003E460D"/>
    <w:rsid w:val="00426E3B"/>
    <w:rsid w:val="004441B6"/>
    <w:rsid w:val="00463B96"/>
    <w:rsid w:val="005213B4"/>
    <w:rsid w:val="005457AD"/>
    <w:rsid w:val="00560BAB"/>
    <w:rsid w:val="00581B20"/>
    <w:rsid w:val="005A14E7"/>
    <w:rsid w:val="005E17CB"/>
    <w:rsid w:val="006460EB"/>
    <w:rsid w:val="006765CD"/>
    <w:rsid w:val="00683C09"/>
    <w:rsid w:val="00694EE7"/>
    <w:rsid w:val="006B60E8"/>
    <w:rsid w:val="006D2D1B"/>
    <w:rsid w:val="006D66F0"/>
    <w:rsid w:val="00733042"/>
    <w:rsid w:val="00753F37"/>
    <w:rsid w:val="0079250F"/>
    <w:rsid w:val="007B2620"/>
    <w:rsid w:val="007E5B49"/>
    <w:rsid w:val="007F37AB"/>
    <w:rsid w:val="008B06B1"/>
    <w:rsid w:val="008E03D9"/>
    <w:rsid w:val="00902533"/>
    <w:rsid w:val="009161C9"/>
    <w:rsid w:val="009440A3"/>
    <w:rsid w:val="00964AEB"/>
    <w:rsid w:val="009657E2"/>
    <w:rsid w:val="009826AA"/>
    <w:rsid w:val="00987422"/>
    <w:rsid w:val="00991FC6"/>
    <w:rsid w:val="00993353"/>
    <w:rsid w:val="00996FEB"/>
    <w:rsid w:val="009A7BF3"/>
    <w:rsid w:val="009F0CC0"/>
    <w:rsid w:val="009F352E"/>
    <w:rsid w:val="00A408B1"/>
    <w:rsid w:val="00A52D85"/>
    <w:rsid w:val="00AB7DDD"/>
    <w:rsid w:val="00AD3D95"/>
    <w:rsid w:val="00BB791D"/>
    <w:rsid w:val="00BE2285"/>
    <w:rsid w:val="00BE54A2"/>
    <w:rsid w:val="00BF7162"/>
    <w:rsid w:val="00C254E8"/>
    <w:rsid w:val="00C310D3"/>
    <w:rsid w:val="00C75478"/>
    <w:rsid w:val="00D63F5B"/>
    <w:rsid w:val="00DC5CBD"/>
    <w:rsid w:val="00DD2446"/>
    <w:rsid w:val="00E3608A"/>
    <w:rsid w:val="00E5263A"/>
    <w:rsid w:val="00E92EEC"/>
    <w:rsid w:val="00ED5392"/>
    <w:rsid w:val="00F06B4D"/>
    <w:rsid w:val="00F24559"/>
    <w:rsid w:val="00F312B3"/>
    <w:rsid w:val="00F34C58"/>
    <w:rsid w:val="00F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CD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GB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lang w:val="cs-CZ"/>
    </w:rPr>
  </w:style>
  <w:style w:type="paragraph" w:styleId="Nadpis1">
    <w:name w:val="heading 1"/>
    <w:basedOn w:val="Normln"/>
    <w:next w:val="Normln"/>
    <w:pPr>
      <w:spacing w:before="480" w:line="240" w:lineRule="auto"/>
      <w:contextualSpacing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spacing w:before="320" w:line="240" w:lineRule="auto"/>
      <w:contextualSpacing/>
      <w:outlineLvl w:val="1"/>
    </w:pPr>
    <w:rPr>
      <w:b/>
      <w:color w:val="00AB44"/>
      <w:sz w:val="28"/>
      <w:szCs w:val="28"/>
    </w:rPr>
  </w:style>
  <w:style w:type="paragraph" w:styleId="Nadpis3">
    <w:name w:val="heading 3"/>
    <w:basedOn w:val="Normln"/>
    <w:next w:val="Normln"/>
    <w:pPr>
      <w:spacing w:line="240" w:lineRule="auto"/>
      <w:contextualSpacing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320" w:line="240" w:lineRule="auto"/>
      <w:contextualSpacing/>
    </w:pPr>
    <w:rPr>
      <w:sz w:val="72"/>
      <w:szCs w:val="72"/>
    </w:rPr>
  </w:style>
  <w:style w:type="paragraph" w:styleId="Podtitul">
    <w:name w:val="Subtitle"/>
    <w:basedOn w:val="Normln"/>
    <w:next w:val="Normln"/>
    <w:pPr>
      <w:spacing w:before="0" w:line="240" w:lineRule="auto"/>
      <w:contextualSpacing/>
    </w:pPr>
    <w:rPr>
      <w:color w:val="666666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254E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4E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4E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4E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4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4E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E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0B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BA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60B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BAB"/>
    <w:rPr>
      <w:lang w:val="cs-CZ"/>
    </w:rPr>
  </w:style>
  <w:style w:type="paragraph" w:styleId="Odstavecseseznamem">
    <w:name w:val="List Paragraph"/>
    <w:basedOn w:val="Normln"/>
    <w:uiPriority w:val="34"/>
    <w:qFormat/>
    <w:rsid w:val="00F06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GB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lang w:val="cs-CZ"/>
    </w:rPr>
  </w:style>
  <w:style w:type="paragraph" w:styleId="Nadpis1">
    <w:name w:val="heading 1"/>
    <w:basedOn w:val="Normln"/>
    <w:next w:val="Normln"/>
    <w:pPr>
      <w:spacing w:before="480" w:line="240" w:lineRule="auto"/>
      <w:contextualSpacing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spacing w:before="320" w:line="240" w:lineRule="auto"/>
      <w:contextualSpacing/>
      <w:outlineLvl w:val="1"/>
    </w:pPr>
    <w:rPr>
      <w:b/>
      <w:color w:val="00AB44"/>
      <w:sz w:val="28"/>
      <w:szCs w:val="28"/>
    </w:rPr>
  </w:style>
  <w:style w:type="paragraph" w:styleId="Nadpis3">
    <w:name w:val="heading 3"/>
    <w:basedOn w:val="Normln"/>
    <w:next w:val="Normln"/>
    <w:pPr>
      <w:spacing w:line="240" w:lineRule="auto"/>
      <w:contextualSpacing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320" w:line="240" w:lineRule="auto"/>
      <w:contextualSpacing/>
    </w:pPr>
    <w:rPr>
      <w:sz w:val="72"/>
      <w:szCs w:val="72"/>
    </w:rPr>
  </w:style>
  <w:style w:type="paragraph" w:styleId="Podtitul">
    <w:name w:val="Subtitle"/>
    <w:basedOn w:val="Normln"/>
    <w:next w:val="Normln"/>
    <w:pPr>
      <w:spacing w:before="0" w:line="240" w:lineRule="auto"/>
      <w:contextualSpacing/>
    </w:pPr>
    <w:rPr>
      <w:color w:val="666666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254E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4E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4E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4E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4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4E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E8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0B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BA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60BA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BAB"/>
    <w:rPr>
      <w:lang w:val="cs-CZ"/>
    </w:rPr>
  </w:style>
  <w:style w:type="paragraph" w:styleId="Odstavecseseznamem">
    <w:name w:val="List Paragraph"/>
    <w:basedOn w:val="Normln"/>
    <w:uiPriority w:val="34"/>
    <w:qFormat/>
    <w:rsid w:val="00F0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327B-3EAB-4378-9928-38B7CED1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IPR Praha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Kulhánková Jitka Mgr. (IPR/RED)</dc:creator>
  <cp:lastModifiedBy>Vávrová Eva Ing. (IPR/SPE)</cp:lastModifiedBy>
  <cp:revision>11</cp:revision>
  <cp:lastPrinted>2017-01-18T13:39:00Z</cp:lastPrinted>
  <dcterms:created xsi:type="dcterms:W3CDTF">2017-01-17T10:21:00Z</dcterms:created>
  <dcterms:modified xsi:type="dcterms:W3CDTF">2017-02-02T11:58:00Z</dcterms:modified>
</cp:coreProperties>
</file>