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before="79" w:after="79" w:line="240" w:lineRule="exact"/>
        <w:rPr>
          <w:sz w:val="19"/>
          <w:szCs w:val="19"/>
        </w:rPr>
      </w:pPr>
    </w:p>
    <w:p>
      <w:pPr>
        <w:widowControl w:val="0"/>
        <w:spacing w:line="1" w:lineRule="exact"/>
        <w:sectPr>
          <w:footerReference w:type="default" r:id="rId5"/>
          <w:footnotePr>
            <w:pos w:val="pageBottom"/>
            <w:numFmt w:val="decimal"/>
            <w:numRestart w:val="continuous"/>
          </w:footnotePr>
          <w:pgSz w:w="11900" w:h="16840"/>
          <w:pgMar w:top="1129" w:left="873" w:right="645" w:bottom="1750" w:header="0" w:footer="3" w:gutter="0"/>
          <w:pgNumType w:start="1"/>
          <w:cols w:space="720"/>
          <w:noEndnote/>
          <w:rtlGutter w:val="0"/>
          <w:docGrid w:linePitch="360"/>
        </w:sectPr>
      </w:pPr>
    </w:p>
    <w:p>
      <w:pPr>
        <w:pStyle w:val="Style17"/>
        <w:keepNext/>
        <w:keepLines/>
        <w:widowControl w:val="0"/>
        <w:shd w:val="clear" w:color="auto" w:fill="auto"/>
        <w:bidi w:val="0"/>
        <w:spacing w:before="0" w:after="0" w:line="240" w:lineRule="auto"/>
        <w:ind w:left="0" w:right="0" w:firstLine="0"/>
        <w:jc w:val="center"/>
      </w:pPr>
      <w:r>
        <mc:AlternateContent>
          <mc:Choice Requires="wps">
            <w:drawing>
              <wp:anchor distT="0" distB="101600" distL="0" distR="0" simplePos="0" relativeHeight="125829378" behindDoc="0" locked="0" layoutInCell="1" allowOverlap="1">
                <wp:simplePos x="0" y="0"/>
                <wp:positionH relativeFrom="page">
                  <wp:posOffset>737235</wp:posOffset>
                </wp:positionH>
                <wp:positionV relativeFrom="paragraph">
                  <wp:posOffset>495300</wp:posOffset>
                </wp:positionV>
                <wp:extent cx="6224270" cy="521335"/>
                <wp:wrapTopAndBottom/>
                <wp:docPr id="6" name="Shape 6"/>
                <a:graphic xmlns:a="http://schemas.openxmlformats.org/drawingml/2006/main">
                  <a:graphicData uri="http://schemas.microsoft.com/office/word/2010/wordprocessingShape">
                    <wps:wsp>
                      <wps:cNvSpPr txBox="1"/>
                      <wps:spPr>
                        <a:xfrm>
                          <a:ext cx="6224270" cy="521335"/>
                        </a:xfrm>
                        <a:prstGeom prst="rect"/>
                        <a:noFill/>
                      </wps:spPr>
                      <wps:txbx>
                        <w:txbxContent>
                          <w:tbl>
                            <w:tblPr>
                              <w:tblOverlap w:val="never"/>
                              <w:jc w:val="left"/>
                              <w:tblLayout w:type="fixed"/>
                            </w:tblPr>
                            <w:tblGrid>
                              <w:gridCol w:w="1901"/>
                              <w:gridCol w:w="7901"/>
                            </w:tblGrid>
                            <w:tr>
                              <w:trPr>
                                <w:tblHeader/>
                                <w:trHeight w:val="821"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rPr>
                                      <w:sz w:val="34"/>
                                      <w:szCs w:val="34"/>
                                    </w:rPr>
                                  </w:pPr>
                                  <w:r>
                                    <w:rPr>
                                      <w:color w:val="000000"/>
                                      <w:spacing w:val="0"/>
                                      <w:w w:val="100"/>
                                      <w:position w:val="0"/>
                                      <w:sz w:val="22"/>
                                      <w:szCs w:val="22"/>
                                      <w:shd w:val="clear" w:color="auto" w:fill="auto"/>
                                      <w:lang w:val="cs-CZ" w:eastAsia="cs-CZ" w:bidi="cs-CZ"/>
                                    </w:rPr>
                                    <w:t>na akci</w:t>
                                  </w:r>
                                  <w:r>
                                    <w:rPr>
                                      <w:color w:val="000000"/>
                                      <w:spacing w:val="0"/>
                                      <w:w w:val="100"/>
                                      <w:position w:val="0"/>
                                      <w:sz w:val="30"/>
                                      <w:szCs w:val="30"/>
                                      <w:shd w:val="clear" w:color="auto" w:fill="auto"/>
                                      <w:lang w:val="cs-CZ" w:eastAsia="cs-CZ" w:bidi="cs-CZ"/>
                                    </w:rPr>
                                    <w:t xml:space="preserve">: </w:t>
                                  </w:r>
                                  <w:r>
                                    <w:rPr>
                                      <w:color w:val="000000"/>
                                      <w:spacing w:val="0"/>
                                      <w:w w:val="100"/>
                                      <w:position w:val="0"/>
                                      <w:sz w:val="34"/>
                                      <w:szCs w:val="34"/>
                                      <w:shd w:val="clear" w:color="auto" w:fill="auto"/>
                                      <w:lang w:val="cs-CZ" w:eastAsia="cs-CZ" w:bidi="cs-CZ"/>
                                    </w:rPr>
                                    <w:t>III/3793 Březské - most ev. č. 3793-2</w:t>
                                  </w:r>
                                </w:p>
                              </w:tc>
                            </w:tr>
                          </w:tbl>
                          <w:p>
                            <w:pPr>
                              <w:widowControl w:val="0"/>
                              <w:spacing w:line="1" w:lineRule="exact"/>
                            </w:pPr>
                          </w:p>
                        </w:txbxContent>
                      </wps:txbx>
                      <wps:bodyPr lIns="0" tIns="0" rIns="0" bIns="0">
                        <a:noAutoFit/>
                      </wps:bodyPr>
                    </wps:wsp>
                  </a:graphicData>
                </a:graphic>
              </wp:anchor>
            </w:drawing>
          </mc:Choice>
          <mc:Fallback>
            <w:pict>
              <v:shape id="_x0000_s1032" type="#_x0000_t202" style="position:absolute;margin-left:58.049999999999997pt;margin-top:39.pt;width:490.10000000000002pt;height:41.049999999999997pt;z-index:-125829375;mso-wrap-distance-left:0;mso-wrap-distance-right:0;mso-wrap-distance-bottom:8.pt;mso-position-horizontal-relative:page" filled="f" stroked="f">
                <v:textbox inset="0,0,0,0">
                  <w:txbxContent>
                    <w:tbl>
                      <w:tblPr>
                        <w:tblOverlap w:val="never"/>
                        <w:jc w:val="left"/>
                        <w:tblLayout w:type="fixed"/>
                      </w:tblPr>
                      <w:tblGrid>
                        <w:gridCol w:w="1901"/>
                        <w:gridCol w:w="7901"/>
                      </w:tblGrid>
                      <w:tr>
                        <w:trPr>
                          <w:tblHeader/>
                          <w:trHeight w:val="821"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rPr>
                                <w:sz w:val="34"/>
                                <w:szCs w:val="34"/>
                              </w:rPr>
                            </w:pPr>
                            <w:r>
                              <w:rPr>
                                <w:color w:val="000000"/>
                                <w:spacing w:val="0"/>
                                <w:w w:val="100"/>
                                <w:position w:val="0"/>
                                <w:sz w:val="22"/>
                                <w:szCs w:val="22"/>
                                <w:shd w:val="clear" w:color="auto" w:fill="auto"/>
                                <w:lang w:val="cs-CZ" w:eastAsia="cs-CZ" w:bidi="cs-CZ"/>
                              </w:rPr>
                              <w:t>na akci</w:t>
                            </w:r>
                            <w:r>
                              <w:rPr>
                                <w:color w:val="000000"/>
                                <w:spacing w:val="0"/>
                                <w:w w:val="100"/>
                                <w:position w:val="0"/>
                                <w:sz w:val="30"/>
                                <w:szCs w:val="30"/>
                                <w:shd w:val="clear" w:color="auto" w:fill="auto"/>
                                <w:lang w:val="cs-CZ" w:eastAsia="cs-CZ" w:bidi="cs-CZ"/>
                              </w:rPr>
                              <w:t xml:space="preserve">: </w:t>
                            </w:r>
                            <w:r>
                              <w:rPr>
                                <w:color w:val="000000"/>
                                <w:spacing w:val="0"/>
                                <w:w w:val="100"/>
                                <w:position w:val="0"/>
                                <w:sz w:val="34"/>
                                <w:szCs w:val="34"/>
                                <w:shd w:val="clear" w:color="auto" w:fill="auto"/>
                                <w:lang w:val="cs-CZ" w:eastAsia="cs-CZ" w:bidi="cs-CZ"/>
                              </w:rPr>
                              <w:t>III/3793 Březské - most ev. č. 3793-2</w:t>
                            </w:r>
                          </w:p>
                        </w:tc>
                      </w:tr>
                    </w:tbl>
                    <w:p>
                      <w:pPr>
                        <w:widowControl w:val="0"/>
                        <w:spacing w:line="1" w:lineRule="exact"/>
                      </w:pPr>
                    </w:p>
                  </w:txbxContent>
                </v:textbox>
                <w10:wrap type="topAndBottom" anchorx="page"/>
              </v:shape>
            </w:pict>
          </mc:Fallback>
        </mc:AlternateContent>
      </w:r>
      <w:bookmarkStart w:id="0" w:name="bookmark0"/>
      <w:bookmarkStart w:id="1" w:name="bookmark1"/>
      <w:r>
        <w:rPr>
          <w:color w:val="000000"/>
          <w:spacing w:val="0"/>
          <w:w w:val="100"/>
          <w:position w:val="0"/>
          <w:shd w:val="clear" w:color="auto" w:fill="auto"/>
          <w:lang w:val="cs-CZ" w:eastAsia="cs-CZ" w:bidi="cs-CZ"/>
        </w:rPr>
        <w:t>Smlouva o zajištění výkonu technického dozoru</w:t>
        <w:br/>
        <w:t>stavebníka na staveništi</w:t>
      </w:r>
      <w:bookmarkEnd w:id="0"/>
      <w:bookmarkEnd w:id="1"/>
    </w:p>
    <w:tbl>
      <w:tblPr>
        <w:tblpPr w:leftFromText="0" w:rightFromText="0" w:topFromText="0" w:bottomFromText="0" w:horzAnchor="page" w:tblpX="1161" w:vertAnchor="text" w:tblpY="8420"/>
        <w:jc w:val="left"/>
        <w:tblLayout w:type="fixed"/>
      </w:tblPr>
      <w:tblGrid>
        <w:gridCol w:w="1901"/>
        <w:gridCol w:w="7901"/>
      </w:tblGrid>
      <w:tr>
        <w:trPr>
          <w:tblHeader/>
          <w:trHeight w:val="59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25023446</w:t>
            </w:r>
          </w:p>
          <w:p>
            <w:pPr>
              <w:pStyle w:val="Style6"/>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CZ25023446</w:t>
            </w:r>
          </w:p>
        </w:tc>
      </w:tr>
    </w:tbl>
    <w:p>
      <w:pPr>
        <w:pStyle w:val="Style19"/>
        <w:keepNext/>
        <w:keepLines/>
        <w:widowControl w:val="0"/>
        <w:shd w:val="clear" w:color="auto" w:fill="auto"/>
        <w:bidi w:val="0"/>
        <w:spacing w:before="120" w:after="400" w:line="240" w:lineRule="auto"/>
        <w:ind w:left="0" w:right="0" w:firstLine="520"/>
        <w:jc w:val="left"/>
      </w:pPr>
      <w:r>
        <mc:AlternateContent>
          <mc:Choice Requires="wps">
            <w:drawing>
              <wp:anchor distT="167640" distB="0" distL="6350" distR="0" simplePos="0" relativeHeight="125829380" behindDoc="0" locked="0" layoutInCell="1" allowOverlap="1">
                <wp:simplePos x="0" y="0"/>
                <wp:positionH relativeFrom="page">
                  <wp:posOffset>737235</wp:posOffset>
                </wp:positionH>
                <wp:positionV relativeFrom="paragraph">
                  <wp:posOffset>2313940</wp:posOffset>
                </wp:positionV>
                <wp:extent cx="6224270" cy="536575"/>
                <wp:wrapTopAndBottom/>
                <wp:docPr id="8" name="Shape 8"/>
                <a:graphic xmlns:a="http://schemas.openxmlformats.org/drawingml/2006/main">
                  <a:graphicData uri="http://schemas.microsoft.com/office/word/2010/wordprocessingShape">
                    <wps:wsp>
                      <wps:cNvSpPr txBox="1"/>
                      <wps:spPr>
                        <a:xfrm>
                          <a:ext cx="6224270" cy="536575"/>
                        </a:xfrm>
                        <a:prstGeom prst="rect"/>
                        <a:noFill/>
                      </wps:spPr>
                      <wps:txbx>
                        <w:txbxContent>
                          <w:tbl>
                            <w:tblPr>
                              <w:tblOverlap w:val="never"/>
                              <w:jc w:val="left"/>
                              <w:tblLayout w:type="fixed"/>
                            </w:tblPr>
                            <w:tblGrid>
                              <w:gridCol w:w="1901"/>
                              <w:gridCol w:w="7901"/>
                            </w:tblGrid>
                            <w:tr>
                              <w:trPr>
                                <w:tblHeader/>
                                <w:trHeight w:val="547"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00090450</w:t>
                                  </w:r>
                                </w:p>
                              </w:tc>
                            </w:tr>
                            <w:tr>
                              <w:trPr>
                                <w:trHeight w:val="298"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CZ00090450</w:t>
                                  </w:r>
                                </w:p>
                              </w:tc>
                            </w:tr>
                          </w:tbl>
                          <w:p>
                            <w:pPr>
                              <w:widowControl w:val="0"/>
                              <w:spacing w:line="1" w:lineRule="exact"/>
                            </w:pPr>
                          </w:p>
                        </w:txbxContent>
                      </wps:txbx>
                      <wps:bodyPr lIns="0" tIns="0" rIns="0" bIns="0">
                        <a:noAutoFit/>
                      </wps:bodyPr>
                    </wps:wsp>
                  </a:graphicData>
                </a:graphic>
              </wp:anchor>
            </w:drawing>
          </mc:Choice>
          <mc:Fallback>
            <w:pict>
              <v:shape id="_x0000_s1034" type="#_x0000_t202" style="position:absolute;margin-left:58.049999999999997pt;margin-top:182.19999999999999pt;width:490.10000000000002pt;height:42.25pt;z-index:-125829373;mso-wrap-distance-left:0.5pt;mso-wrap-distance-top:13.199999999999999pt;mso-wrap-distance-right:0;mso-position-horizontal-relative:page" filled="f" stroked="f">
                <v:textbox inset="0,0,0,0">
                  <w:txbxContent>
                    <w:tbl>
                      <w:tblPr>
                        <w:tblOverlap w:val="never"/>
                        <w:jc w:val="left"/>
                        <w:tblLayout w:type="fixed"/>
                      </w:tblPr>
                      <w:tblGrid>
                        <w:gridCol w:w="1901"/>
                        <w:gridCol w:w="7901"/>
                      </w:tblGrid>
                      <w:tr>
                        <w:trPr>
                          <w:tblHeader/>
                          <w:trHeight w:val="547"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00090450</w:t>
                            </w:r>
                          </w:p>
                        </w:tc>
                      </w:tr>
                      <w:tr>
                        <w:trPr>
                          <w:trHeight w:val="298"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CZ00090450</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730885</wp:posOffset>
                </wp:positionH>
                <wp:positionV relativeFrom="paragraph">
                  <wp:posOffset>2146300</wp:posOffset>
                </wp:positionV>
                <wp:extent cx="1136650" cy="189230"/>
                <wp:wrapNone/>
                <wp:docPr id="10" name="Shape 10"/>
                <a:graphic xmlns:a="http://schemas.openxmlformats.org/drawingml/2006/main">
                  <a:graphicData uri="http://schemas.microsoft.com/office/word/2010/wordprocessingShape">
                    <wps:wsp>
                      <wps:cNvSpPr txBox="1"/>
                      <wps:spPr>
                        <a:xfrm>
                          <a:ext cx="1136650" cy="1892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xbxContent>
                      </wps:txbx>
                      <wps:bodyPr lIns="0" tIns="0" rIns="0" bIns="0">
                        <a:noAutoFit/>
                      </wps:bodyPr>
                    </wps:wsp>
                  </a:graphicData>
                </a:graphic>
              </wp:anchor>
            </w:drawing>
          </mc:Choice>
          <mc:Fallback>
            <w:pict>
              <v:shape id="_x0000_s1036" type="#_x0000_t202" style="position:absolute;margin-left:57.549999999999997pt;margin-top:169.pt;width:89.5pt;height:14.9pt;z-index:251657729;mso-wrap-distance-left:0;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xbxContent>
                </v:textbox>
                <w10:wrap anchorx="page"/>
              </v:shape>
            </w:pict>
          </mc:Fallback>
        </mc:AlternateContent>
      </w:r>
      <w:r>
        <mc:AlternateContent>
          <mc:Choice Requires="wps">
            <w:drawing>
              <wp:anchor distT="0" distB="0" distL="114300" distR="114300" simplePos="0" relativeHeight="125829382" behindDoc="0" locked="0" layoutInCell="1" allowOverlap="1">
                <wp:simplePos x="0" y="0"/>
                <wp:positionH relativeFrom="page">
                  <wp:posOffset>730885</wp:posOffset>
                </wp:positionH>
                <wp:positionV relativeFrom="paragraph">
                  <wp:posOffset>2819400</wp:posOffset>
                </wp:positionV>
                <wp:extent cx="2225040" cy="953770"/>
                <wp:wrapTopAndBottom/>
                <wp:docPr id="12" name="Shape 12"/>
                <a:graphic xmlns:a="http://schemas.openxmlformats.org/drawingml/2006/main">
                  <a:graphicData uri="http://schemas.microsoft.com/office/word/2010/wordprocessingShape">
                    <wps:wsp>
                      <wps:cNvSpPr txBox="1"/>
                      <wps:spPr>
                        <a:xfrm>
                          <a:ext cx="2225040" cy="953770"/>
                        </a:xfrm>
                        <a:prstGeom prst="rect"/>
                        <a:noFill/>
                      </wps:spPr>
                      <wps:txbx>
                        <w:txbxContent>
                          <w:p>
                            <w:pPr>
                              <w:pStyle w:val="Style12"/>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Telefon:</w:t>
                            </w:r>
                          </w:p>
                          <w:p>
                            <w:pPr>
                              <w:pStyle w:val="Style12"/>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E-mail:</w:t>
                            </w:r>
                          </w:p>
                          <w:p>
                            <w:pPr>
                              <w:pStyle w:val="Style12"/>
                              <w:keepNext w:val="0"/>
                              <w:keepLines w:val="0"/>
                              <w:widowControl w:val="0"/>
                              <w:shd w:val="clear" w:color="auto" w:fill="auto"/>
                              <w:bidi w:val="0"/>
                              <w:spacing w:before="0" w:after="120" w:line="252" w:lineRule="auto"/>
                              <w:ind w:left="0" w:right="0" w:firstLine="0"/>
                              <w:jc w:val="left"/>
                            </w:pPr>
                            <w:r>
                              <w:rPr>
                                <w:color w:val="000000"/>
                                <w:spacing w:val="0"/>
                                <w:w w:val="100"/>
                                <w:position w:val="0"/>
                                <w:shd w:val="clear" w:color="auto" w:fill="auto"/>
                                <w:lang w:val="cs-CZ" w:eastAsia="cs-CZ" w:bidi="cs-CZ"/>
                              </w:rPr>
                              <w:t>Zřizovatel: Kraj Vysočina (dále jen „Objednatel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w:t>
                            </w:r>
                          </w:p>
                          <w:p>
                            <w:pPr>
                              <w:pStyle w:val="Style12"/>
                              <w:keepNext w:val="0"/>
                              <w:keepLines w:val="0"/>
                              <w:widowControl w:val="0"/>
                              <w:shd w:val="clear" w:color="auto" w:fill="auto"/>
                              <w:bidi w:val="0"/>
                              <w:spacing w:before="0" w:after="0" w:line="252" w:lineRule="auto"/>
                              <w:ind w:left="0" w:right="0" w:firstLine="0"/>
                              <w:jc w:val="left"/>
                            </w:pPr>
                            <w:r>
                              <w:rPr>
                                <w:b/>
                                <w:bCs/>
                                <w:color w:val="000000"/>
                                <w:spacing w:val="0"/>
                                <w:w w:val="100"/>
                                <w:position w:val="0"/>
                                <w:shd w:val="clear" w:color="auto" w:fill="auto"/>
                                <w:lang w:val="cs-CZ" w:eastAsia="cs-CZ" w:bidi="cs-CZ"/>
                              </w:rPr>
                              <w:t>a</w:t>
                            </w:r>
                          </w:p>
                        </w:txbxContent>
                      </wps:txbx>
                      <wps:bodyPr lIns="0" tIns="0" rIns="0" bIns="0">
                        <a:noAutoFit/>
                      </wps:bodyPr>
                    </wps:wsp>
                  </a:graphicData>
                </a:graphic>
              </wp:anchor>
            </w:drawing>
          </mc:Choice>
          <mc:Fallback>
            <w:pict>
              <v:shape id="_x0000_s1038" type="#_x0000_t202" style="position:absolute;margin-left:57.549999999999997pt;margin-top:222.pt;width:175.19999999999999pt;height:75.099999999999994pt;z-index:-125829371;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Telefon:</w:t>
                      </w:r>
                    </w:p>
                    <w:p>
                      <w:pPr>
                        <w:pStyle w:val="Style12"/>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E-mail:</w:t>
                      </w:r>
                    </w:p>
                    <w:p>
                      <w:pPr>
                        <w:pStyle w:val="Style12"/>
                        <w:keepNext w:val="0"/>
                        <w:keepLines w:val="0"/>
                        <w:widowControl w:val="0"/>
                        <w:shd w:val="clear" w:color="auto" w:fill="auto"/>
                        <w:bidi w:val="0"/>
                        <w:spacing w:before="0" w:after="120" w:line="252" w:lineRule="auto"/>
                        <w:ind w:left="0" w:right="0" w:firstLine="0"/>
                        <w:jc w:val="left"/>
                      </w:pPr>
                      <w:r>
                        <w:rPr>
                          <w:color w:val="000000"/>
                          <w:spacing w:val="0"/>
                          <w:w w:val="100"/>
                          <w:position w:val="0"/>
                          <w:shd w:val="clear" w:color="auto" w:fill="auto"/>
                          <w:lang w:val="cs-CZ" w:eastAsia="cs-CZ" w:bidi="cs-CZ"/>
                        </w:rPr>
                        <w:t>Zřizovatel: Kraj Vysočina (dále jen „Objednatel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w:t>
                      </w:r>
                    </w:p>
                    <w:p>
                      <w:pPr>
                        <w:pStyle w:val="Style12"/>
                        <w:keepNext w:val="0"/>
                        <w:keepLines w:val="0"/>
                        <w:widowControl w:val="0"/>
                        <w:shd w:val="clear" w:color="auto" w:fill="auto"/>
                        <w:bidi w:val="0"/>
                        <w:spacing w:before="0" w:after="0" w:line="252" w:lineRule="auto"/>
                        <w:ind w:left="0" w:right="0" w:firstLine="0"/>
                        <w:jc w:val="left"/>
                      </w:pPr>
                      <w:r>
                        <w:rPr>
                          <w:b/>
                          <w:bCs/>
                          <w:color w:val="000000"/>
                          <w:spacing w:val="0"/>
                          <w:w w:val="100"/>
                          <w:position w:val="0"/>
                          <w:shd w:val="clear" w:color="auto" w:fill="auto"/>
                          <w:lang w:val="cs-CZ" w:eastAsia="cs-CZ" w:bidi="cs-CZ"/>
                        </w:rPr>
                        <w:t>a</w:t>
                      </w:r>
                    </w:p>
                  </w:txbxContent>
                </v:textbox>
                <w10:wrap type="topAndBottom" anchorx="page"/>
              </v:shape>
            </w:pict>
          </mc:Fallback>
        </mc:AlternateContent>
      </w:r>
      <w:bookmarkStart w:id="2" w:name="bookmark2"/>
      <w:bookmarkStart w:id="3" w:name="bookmark3"/>
      <w:r>
        <w:rPr>
          <w:color w:val="000000"/>
          <w:spacing w:val="0"/>
          <w:w w:val="100"/>
          <w:position w:val="0"/>
          <w:shd w:val="clear" w:color="auto" w:fill="auto"/>
          <w:lang w:val="cs-CZ" w:eastAsia="cs-CZ" w:bidi="cs-CZ"/>
        </w:rPr>
        <w:t>uzavřená podle § 1746 odst. 2 zákona č. 89/2012 Sb., občanský zákoník, v platném znění</w:t>
      </w:r>
      <w:bookmarkEnd w:id="2"/>
      <w:bookmarkEnd w:id="3"/>
    </w:p>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Číslo smlouvy objednatele:</w:t>
      </w:r>
    </w:p>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Číslo smlouvy dodavatele:</w:t>
      </w:r>
    </w:p>
    <w:tbl>
      <w:tblPr>
        <w:tblOverlap w:val="never"/>
        <w:jc w:val="center"/>
        <w:tblLayout w:type="fixed"/>
      </w:tblPr>
      <w:tblGrid>
        <w:gridCol w:w="1901"/>
        <w:gridCol w:w="7901"/>
      </w:tblGrid>
      <w:tr>
        <w:trPr>
          <w:trHeight w:val="65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2520" w:right="0" w:firstLine="0"/>
              <w:jc w:val="left"/>
            </w:pPr>
            <w:r>
              <w:rPr>
                <w:b/>
                <w:bCs/>
                <w:color w:val="000000"/>
                <w:spacing w:val="0"/>
                <w:w w:val="100"/>
                <w:position w:val="0"/>
                <w:shd w:val="clear" w:color="auto" w:fill="auto"/>
                <w:lang w:val="cs-CZ" w:eastAsia="cs-CZ" w:bidi="cs-CZ"/>
              </w:rPr>
              <w:t>Článek 1</w:t>
            </w:r>
          </w:p>
          <w:p>
            <w:pPr>
              <w:pStyle w:val="Style6"/>
              <w:keepNext w:val="0"/>
              <w:keepLines w:val="0"/>
              <w:widowControl w:val="0"/>
              <w:shd w:val="clear" w:color="auto" w:fill="auto"/>
              <w:bidi w:val="0"/>
              <w:spacing w:before="0" w:after="0" w:line="240" w:lineRule="auto"/>
              <w:ind w:left="2200" w:right="0" w:firstLine="0"/>
              <w:jc w:val="left"/>
            </w:pPr>
            <w:r>
              <w:rPr>
                <w:b/>
                <w:bCs/>
                <w:color w:val="000000"/>
                <w:spacing w:val="0"/>
                <w:w w:val="100"/>
                <w:position w:val="0"/>
                <w:shd w:val="clear" w:color="auto" w:fill="auto"/>
                <w:lang w:val="cs-CZ" w:eastAsia="cs-CZ" w:bidi="cs-CZ"/>
              </w:rPr>
              <w:t>Smluvní strany</w:t>
            </w:r>
          </w:p>
        </w:tc>
      </w:tr>
      <w:tr>
        <w:trPr>
          <w:trHeight w:val="322"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5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Kosovská 1122/16, 586 01 Jihlava</w:t>
            </w:r>
          </w:p>
        </w:tc>
      </w:tr>
      <w:tr>
        <w:trPr>
          <w:trHeight w:val="288"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Ing. Radovanem Necidem ředitelem organizace</w:t>
            </w:r>
          </w:p>
        </w:tc>
      </w:tr>
    </w:tbl>
    <w:p>
      <w:pPr>
        <w:widowControl w:val="0"/>
        <w:spacing w:line="1" w:lineRule="exact"/>
      </w:pPr>
    </w:p>
    <w:tbl>
      <w:tblPr>
        <w:tblOverlap w:val="never"/>
        <w:jc w:val="left"/>
        <w:tblLayout w:type="fixed"/>
      </w:tblPr>
      <w:tblGrid>
        <w:gridCol w:w="1901"/>
        <w:gridCol w:w="7901"/>
      </w:tblGrid>
      <w:tr>
        <w:trPr>
          <w:trHeight w:val="293" w:hRule="exact"/>
        </w:trPr>
        <w:tc>
          <w:tcPr>
            <w:tcBorders/>
            <w:shd w:val="clear" w:color="auto" w:fill="FFFFFF"/>
            <w:vAlign w:val="bottom"/>
          </w:tcPr>
          <w:p>
            <w:pPr>
              <w:pStyle w:val="Style6"/>
              <w:keepNext w:val="0"/>
              <w:keepLines w:val="0"/>
              <w:framePr w:w="9802" w:h="293" w:hSpace="10" w:vSpace="269" w:wrap="notBeside" w:vAnchor="text" w:hAnchor="text" w:x="296" w:y="27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tc>
        <w:tc>
          <w:tcPr>
            <w:tcBorders/>
            <w:shd w:val="clear" w:color="auto" w:fill="FFFFFF"/>
            <w:vAlign w:val="bottom"/>
          </w:tcPr>
          <w:p>
            <w:pPr>
              <w:pStyle w:val="Style6"/>
              <w:keepNext w:val="0"/>
              <w:keepLines w:val="0"/>
              <w:framePr w:w="9802" w:h="293" w:hSpace="10" w:vSpace="269" w:wrap="notBeside" w:vAnchor="text" w:hAnchor="text" w:x="296" w:y="27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referent investiční výstavby</w:t>
            </w:r>
          </w:p>
        </w:tc>
      </w:tr>
    </w:tbl>
    <w:p>
      <w:pPr>
        <w:pStyle w:val="Style10"/>
        <w:keepNext w:val="0"/>
        <w:keepLines w:val="0"/>
        <w:framePr w:w="5170" w:h="269" w:hSpace="285" w:wrap="notBeside" w:vAnchor="text" w:hAnchor="text" w:x="286"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p>
      <w:pPr>
        <w:widowControl w:val="0"/>
        <w:spacing w:after="119" w:line="1" w:lineRule="exact"/>
      </w:pPr>
    </w:p>
    <w:p>
      <w:pPr>
        <w:widowControl w:val="0"/>
        <w:spacing w:after="119" w:line="1" w:lineRule="exact"/>
      </w:pPr>
    </w:p>
    <w:tbl>
      <w:tblPr>
        <w:tblOverlap w:val="never"/>
        <w:jc w:val="center"/>
        <w:tblLayout w:type="fixed"/>
      </w:tblPr>
      <w:tblGrid>
        <w:gridCol w:w="1901"/>
        <w:gridCol w:w="7901"/>
      </w:tblGrid>
      <w:tr>
        <w:trPr>
          <w:trHeight w:val="254"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IBR Consulting, s.r.o.</w:t>
            </w:r>
          </w:p>
        </w:tc>
      </w:tr>
      <w:tr>
        <w:trPr>
          <w:trHeight w:val="254"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Sokolovská 352/215, 190 00 Praha 9</w:t>
            </w:r>
          </w:p>
        </w:tc>
      </w:tr>
      <w:tr>
        <w:trPr>
          <w:trHeight w:val="288"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Ing. Františkem Benčem, Ph.D., jednatelem</w:t>
            </w:r>
          </w:p>
        </w:tc>
      </w:tr>
    </w:tbl>
    <w:p>
      <w:pPr>
        <w:pStyle w:val="Style10"/>
        <w:keepNext w:val="0"/>
        <w:keepLines w:val="0"/>
        <w:widowControl w:val="0"/>
        <w:shd w:val="clear" w:color="auto" w:fill="auto"/>
        <w:bidi w:val="0"/>
        <w:spacing w:before="0" w:after="0" w:line="254" w:lineRule="auto"/>
        <w:ind w:left="0" w:right="0" w:firstLine="0"/>
        <w:jc w:val="left"/>
      </w:pPr>
      <w:r>
        <w:rPr>
          <w:color w:val="000000"/>
          <w:spacing w:val="0"/>
          <w:w w:val="100"/>
          <w:position w:val="0"/>
          <w:shd w:val="clear" w:color="auto" w:fill="auto"/>
          <w:lang w:val="cs-CZ" w:eastAsia="cs-CZ" w:bidi="cs-CZ"/>
        </w:rPr>
        <w:t>zapsán v obchodním rejstříku vedeném u Městského soudu v Praze, oddíl C, vložka 235748 Osoby pověřené jednat jménem zhotovitele ve věcech</w:t>
      </w:r>
    </w:p>
    <w:p>
      <w:pPr>
        <w:widowControl w:val="0"/>
        <w:spacing w:line="1" w:lineRule="exact"/>
      </w:pPr>
    </w:p>
    <w:tbl>
      <w:tblPr>
        <w:tblOverlap w:val="never"/>
        <w:jc w:val="left"/>
        <w:tblLayout w:type="fixed"/>
      </w:tblPr>
      <w:tblGrid>
        <w:gridCol w:w="1901"/>
        <w:gridCol w:w="7901"/>
      </w:tblGrid>
      <w:tr>
        <w:trPr>
          <w:trHeight w:val="298" w:hRule="exact"/>
        </w:trPr>
        <w:tc>
          <w:tcPr>
            <w:tcBorders/>
            <w:shd w:val="clear" w:color="auto" w:fill="FFFFFF"/>
            <w:vAlign w:val="bottom"/>
          </w:tcPr>
          <w:p>
            <w:pPr>
              <w:pStyle w:val="Style6"/>
              <w:keepNext w:val="0"/>
              <w:keepLines w:val="0"/>
              <w:framePr w:w="9802" w:h="298" w:hSpace="10" w:vSpace="792" w:wrap="notBeside" w:vAnchor="text" w:hAnchor="text" w:x="296"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6"/>
              <w:keepNext w:val="0"/>
              <w:keepLines w:val="0"/>
              <w:framePr w:w="9802" w:h="298" w:hSpace="10" w:vSpace="792" w:wrap="notBeside" w:vAnchor="text" w:hAnchor="text" w:x="296" w:y="1"/>
              <w:widowControl w:val="0"/>
              <w:shd w:val="clear" w:color="auto" w:fill="auto"/>
              <w:bidi w:val="0"/>
              <w:spacing w:before="0" w:after="0" w:line="240" w:lineRule="auto"/>
              <w:ind w:left="2660" w:right="0" w:firstLine="0"/>
              <w:jc w:val="left"/>
            </w:pPr>
            <w:r>
              <w:rPr>
                <w:color w:val="000000"/>
                <w:spacing w:val="0"/>
                <w:w w:val="100"/>
                <w:position w:val="0"/>
                <w:shd w:val="clear" w:color="auto" w:fill="auto"/>
                <w:lang w:val="cs-CZ" w:eastAsia="cs-CZ" w:bidi="cs-CZ"/>
              </w:rPr>
              <w:t>, jednatel</w:t>
            </w:r>
          </w:p>
        </w:tc>
      </w:tr>
    </w:tbl>
    <w:p>
      <w:pPr>
        <w:pStyle w:val="Style10"/>
        <w:keepNext w:val="0"/>
        <w:keepLines w:val="0"/>
        <w:framePr w:w="1790" w:h="854" w:hSpace="285" w:wrap="notBeside" w:vAnchor="text" w:hAnchor="text" w:x="286" w:y="236"/>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 xml:space="preserve">technických: </w:t>
      </w:r>
      <w:r>
        <w:rPr>
          <w:color w:val="000000"/>
          <w:spacing w:val="0"/>
          <w:w w:val="100"/>
          <w:position w:val="0"/>
          <w:shd w:val="clear" w:color="auto" w:fill="auto"/>
          <w:lang w:val="cs-CZ" w:eastAsia="cs-CZ" w:bidi="cs-CZ"/>
        </w:rPr>
        <w:t>Bankovní spojení: Č. účtu:</w:t>
      </w:r>
    </w:p>
    <w:p>
      <w:pPr>
        <w:widowControl w:val="0"/>
        <w:spacing w:line="1" w:lineRule="exact"/>
      </w:pPr>
    </w:p>
    <w:p>
      <w:pPr>
        <w:pStyle w:val="Style1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Telefon:</w:t>
      </w:r>
    </w:p>
    <w:p>
      <w:pPr>
        <w:pStyle w:val="Style12"/>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E-mail:</w:t>
      </w:r>
    </w:p>
    <w:p>
      <w:pPr>
        <w:pStyle w:val="Style12"/>
        <w:keepNext w:val="0"/>
        <w:keepLines w:val="0"/>
        <w:widowControl w:val="0"/>
        <w:shd w:val="clear" w:color="auto" w:fill="auto"/>
        <w:bidi w:val="0"/>
        <w:spacing w:before="0" w:after="780" w:line="259" w:lineRule="auto"/>
        <w:ind w:left="0" w:right="0" w:firstLine="0"/>
        <w:jc w:val="left"/>
      </w:pPr>
      <w:r>
        <w:rPr>
          <w:color w:val="000000"/>
          <w:spacing w:val="0"/>
          <w:w w:val="100"/>
          <w:position w:val="0"/>
          <w:shd w:val="clear" w:color="auto" w:fill="auto"/>
          <w:lang w:val="cs-CZ" w:eastAsia="cs-CZ" w:bidi="cs-CZ"/>
        </w:rPr>
        <w:t>(dále jen „TDS“)</w:t>
      </w:r>
    </w:p>
    <w:p>
      <w:pPr>
        <w:pStyle w:val="Style12"/>
        <w:keepNext w:val="0"/>
        <w:keepLines w:val="0"/>
        <w:widowControl w:val="0"/>
        <w:shd w:val="clear" w:color="auto" w:fill="auto"/>
        <w:bidi w:val="0"/>
        <w:spacing w:before="0" w:after="520" w:line="259" w:lineRule="auto"/>
        <w:ind w:left="0" w:right="0" w:firstLine="0"/>
        <w:jc w:val="left"/>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 xml:space="preserve">s tím, že TDS je oprávněn provádět činnosti technického dozoru stavebníka dle zákona č. 360/1992 Sb., o výkonu povolání autorizovaných architektů </w:t>
      </w:r>
      <w:r>
        <w:rPr>
          <w:color w:val="000000"/>
          <w:spacing w:val="0"/>
          <w:w w:val="100"/>
          <w:position w:val="0"/>
          <w:shd w:val="clear" w:color="auto" w:fill="auto"/>
          <w:lang w:val="cs-CZ" w:eastAsia="cs-CZ" w:bidi="cs-CZ"/>
        </w:rPr>
        <w:t>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1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2</w:t>
      </w:r>
    </w:p>
    <w:p>
      <w:pPr>
        <w:pStyle w:val="Style19"/>
        <w:keepNext/>
        <w:keepLines/>
        <w:widowControl w:val="0"/>
        <w:shd w:val="clear" w:color="auto" w:fill="auto"/>
        <w:bidi w:val="0"/>
        <w:spacing w:before="0" w:after="80"/>
        <w:ind w:left="0" w:right="0" w:firstLine="0"/>
        <w:jc w:val="center"/>
      </w:pPr>
      <w:bookmarkStart w:id="4" w:name="bookmark4"/>
      <w:bookmarkStart w:id="5" w:name="bookmark5"/>
      <w:r>
        <w:rPr>
          <w:color w:val="000000"/>
          <w:spacing w:val="0"/>
          <w:w w:val="100"/>
          <w:position w:val="0"/>
          <w:shd w:val="clear" w:color="auto" w:fill="auto"/>
          <w:lang w:val="cs-CZ" w:eastAsia="cs-CZ" w:bidi="cs-CZ"/>
        </w:rPr>
        <w:t>Předmět smlouvy</w:t>
      </w:r>
      <w:bookmarkEnd w:id="4"/>
      <w:bookmarkEnd w:id="5"/>
    </w:p>
    <w:p>
      <w:pPr>
        <w:pStyle w:val="Style12"/>
        <w:keepNext w:val="0"/>
        <w:keepLines w:val="0"/>
        <w:widowControl w:val="0"/>
        <w:numPr>
          <w:ilvl w:val="0"/>
          <w:numId w:val="1"/>
        </w:numPr>
        <w:shd w:val="clear" w:color="auto" w:fill="auto"/>
        <w:tabs>
          <w:tab w:pos="684" w:val="left"/>
        </w:tabs>
        <w:bidi w:val="0"/>
        <w:spacing w:before="0" w:after="340"/>
        <w:ind w:left="0" w:right="0" w:firstLine="0"/>
        <w:jc w:val="both"/>
      </w:pPr>
      <w:r>
        <w:rPr>
          <w:color w:val="000000"/>
          <w:spacing w:val="0"/>
          <w:w w:val="100"/>
          <w:position w:val="0"/>
          <w:shd w:val="clear" w:color="auto" w:fill="auto"/>
          <w:lang w:val="cs-CZ" w:eastAsia="cs-CZ" w:bidi="cs-CZ"/>
        </w:rPr>
        <w:t>TDS se zavazuje pro objednatele vykonávat funkci technického dozoru stavebníka na staveništi po celou dobu přípravy a realizace stavby</w:t>
      </w:r>
    </w:p>
    <w:p>
      <w:pPr>
        <w:pStyle w:val="Style19"/>
        <w:keepNext/>
        <w:keepLines/>
        <w:widowControl w:val="0"/>
        <w:shd w:val="clear" w:color="auto" w:fill="auto"/>
        <w:tabs>
          <w:tab w:pos="1373" w:val="left"/>
        </w:tabs>
        <w:bidi w:val="0"/>
        <w:spacing w:before="0" w:after="340"/>
        <w:ind w:left="0" w:right="0" w:firstLine="0"/>
        <w:jc w:val="both"/>
      </w:pPr>
      <w:bookmarkStart w:id="6" w:name="bookmark6"/>
      <w:bookmarkStart w:id="7" w:name="bookmark7"/>
      <w:r>
        <w:rPr>
          <w:b w:val="0"/>
          <w:bCs w:val="0"/>
          <w:color w:val="000000"/>
          <w:spacing w:val="0"/>
          <w:w w:val="100"/>
          <w:position w:val="0"/>
          <w:shd w:val="clear" w:color="auto" w:fill="auto"/>
          <w:lang w:val="cs-CZ" w:eastAsia="cs-CZ" w:bidi="cs-CZ"/>
        </w:rPr>
        <w:t>na akci:</w:t>
        <w:tab/>
      </w:r>
      <w:r>
        <w:rPr>
          <w:color w:val="000000"/>
          <w:spacing w:val="0"/>
          <w:w w:val="100"/>
          <w:position w:val="0"/>
          <w:shd w:val="clear" w:color="auto" w:fill="auto"/>
          <w:lang w:val="cs-CZ" w:eastAsia="cs-CZ" w:bidi="cs-CZ"/>
        </w:rPr>
        <w:t>111/3793 Březské - most ev. č. 3793-2</w:t>
      </w:r>
      <w:bookmarkEnd w:id="6"/>
      <w:bookmarkEnd w:id="7"/>
    </w:p>
    <w:p>
      <w:pPr>
        <w:pStyle w:val="Style12"/>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cs-CZ" w:eastAsia="cs-CZ" w:bidi="cs-CZ"/>
        </w:rPr>
        <w:t xml:space="preserve">a to v souladu s nabídkou dodavatele podanou v rámci výběrového řízení ze dne </w:t>
      </w:r>
      <w:r>
        <w:rPr>
          <w:b/>
          <w:bCs/>
          <w:color w:val="000000"/>
          <w:spacing w:val="0"/>
          <w:w w:val="100"/>
          <w:position w:val="0"/>
          <w:shd w:val="clear" w:color="auto" w:fill="auto"/>
          <w:lang w:val="cs-CZ" w:eastAsia="cs-CZ" w:bidi="cs-CZ"/>
        </w:rPr>
        <w:t xml:space="preserve">4. 3. 2021 </w:t>
      </w:r>
      <w:r>
        <w:rPr>
          <w:color w:val="000000"/>
          <w:spacing w:val="0"/>
          <w:w w:val="100"/>
          <w:position w:val="0"/>
          <w:shd w:val="clear" w:color="auto" w:fill="auto"/>
          <w:lang w:val="cs-CZ" w:eastAsia="cs-CZ" w:bidi="cs-CZ"/>
        </w:rPr>
        <w:t xml:space="preserve">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12"/>
        <w:keepNext w:val="0"/>
        <w:keepLines w:val="0"/>
        <w:widowControl w:val="0"/>
        <w:numPr>
          <w:ilvl w:val="0"/>
          <w:numId w:val="1"/>
        </w:numPr>
        <w:shd w:val="clear" w:color="auto" w:fill="auto"/>
        <w:tabs>
          <w:tab w:pos="684" w:val="left"/>
        </w:tabs>
        <w:bidi w:val="0"/>
        <w:spacing w:before="0" w:after="80"/>
        <w:ind w:left="0" w:right="0" w:firstLine="0"/>
        <w:jc w:val="both"/>
      </w:pPr>
      <w:r>
        <w:rPr>
          <w:color w:val="000000"/>
          <w:spacing w:val="0"/>
          <w:w w:val="100"/>
          <w:position w:val="0"/>
          <w:shd w:val="clear" w:color="auto" w:fill="auto"/>
          <w:lang w:val="cs-CZ" w:eastAsia="cs-CZ" w:bidi="cs-CZ"/>
        </w:rPr>
        <w:t>TDS prohlašuje, že splňuje požadavky na odbornou způsobilost pro výkon technického dozoru stavebníka na staveništi</w:t>
      </w:r>
    </w:p>
    <w:p>
      <w:pPr>
        <w:pStyle w:val="Style12"/>
        <w:keepNext w:val="0"/>
        <w:keepLines w:val="0"/>
        <w:widowControl w:val="0"/>
        <w:numPr>
          <w:ilvl w:val="0"/>
          <w:numId w:val="1"/>
        </w:numPr>
        <w:shd w:val="clear" w:color="auto" w:fill="auto"/>
        <w:tabs>
          <w:tab w:pos="684" w:val="left"/>
        </w:tabs>
        <w:bidi w:val="0"/>
        <w:spacing w:before="0" w:after="520"/>
        <w:ind w:left="0" w:right="0" w:firstLine="0"/>
        <w:jc w:val="both"/>
      </w:pPr>
      <w:r>
        <w:rPr>
          <w:color w:val="000000"/>
          <w:spacing w:val="0"/>
          <w:w w:val="100"/>
          <w:position w:val="0"/>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1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3</w:t>
      </w:r>
    </w:p>
    <w:p>
      <w:pPr>
        <w:pStyle w:val="Style19"/>
        <w:keepNext/>
        <w:keepLines/>
        <w:widowControl w:val="0"/>
        <w:shd w:val="clear" w:color="auto" w:fill="auto"/>
        <w:bidi w:val="0"/>
        <w:spacing w:before="0" w:after="80"/>
        <w:ind w:left="0" w:right="0" w:firstLine="0"/>
        <w:jc w:val="center"/>
      </w:pPr>
      <w:bookmarkStart w:id="8" w:name="bookmark8"/>
      <w:bookmarkStart w:id="9" w:name="bookmark9"/>
      <w:r>
        <w:rPr>
          <w:color w:val="000000"/>
          <w:spacing w:val="0"/>
          <w:w w:val="100"/>
          <w:position w:val="0"/>
          <w:shd w:val="clear" w:color="auto" w:fill="auto"/>
          <w:lang w:val="cs-CZ" w:eastAsia="cs-CZ" w:bidi="cs-CZ"/>
        </w:rPr>
        <w:t>Rozsah a obsah předmětu plnění</w:t>
      </w:r>
      <w:bookmarkEnd w:id="8"/>
      <w:bookmarkEnd w:id="9"/>
    </w:p>
    <w:p>
      <w:pPr>
        <w:pStyle w:val="Style12"/>
        <w:keepNext w:val="0"/>
        <w:keepLines w:val="0"/>
        <w:widowControl w:val="0"/>
        <w:shd w:val="clear" w:color="auto" w:fill="auto"/>
        <w:bidi w:val="0"/>
        <w:spacing w:before="0" w:after="80"/>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19"/>
        <w:keepNext/>
        <w:keepLines/>
        <w:widowControl w:val="0"/>
        <w:numPr>
          <w:ilvl w:val="1"/>
          <w:numId w:val="1"/>
        </w:numPr>
        <w:shd w:val="clear" w:color="auto" w:fill="auto"/>
        <w:tabs>
          <w:tab w:pos="684" w:val="left"/>
        </w:tabs>
        <w:bidi w:val="0"/>
        <w:spacing w:before="0" w:after="80"/>
        <w:ind w:left="0" w:right="0" w:firstLine="0"/>
        <w:jc w:val="both"/>
      </w:pPr>
      <w:bookmarkStart w:id="10" w:name="bookmark10"/>
      <w:bookmarkStart w:id="11" w:name="bookmark11"/>
      <w:r>
        <w:rPr>
          <w:color w:val="000000"/>
          <w:spacing w:val="0"/>
          <w:w w:val="100"/>
          <w:position w:val="0"/>
          <w:shd w:val="clear" w:color="auto" w:fill="auto"/>
          <w:lang w:val="cs-CZ" w:eastAsia="cs-CZ" w:bidi="cs-CZ"/>
        </w:rPr>
        <w:t>Přípravné činnosti před zahájením stavby spočívající zejména v činnostech:</w:t>
      </w:r>
      <w:bookmarkEnd w:id="10"/>
      <w:bookmarkEnd w:id="11"/>
    </w:p>
    <w:p>
      <w:pPr>
        <w:pStyle w:val="Style12"/>
        <w:keepNext w:val="0"/>
        <w:keepLines w:val="0"/>
        <w:widowControl w:val="0"/>
        <w:numPr>
          <w:ilvl w:val="0"/>
          <w:numId w:val="3"/>
        </w:numPr>
        <w:shd w:val="clear" w:color="auto" w:fill="auto"/>
        <w:tabs>
          <w:tab w:pos="1108" w:val="left"/>
        </w:tabs>
        <w:bidi w:val="0"/>
        <w:spacing w:before="0" w:after="140" w:line="211" w:lineRule="auto"/>
        <w:ind w:left="1120" w:right="0" w:hanging="420"/>
        <w:jc w:val="both"/>
      </w:pPr>
      <w:r>
        <w:rPr>
          <w:color w:val="000000"/>
          <w:spacing w:val="0"/>
          <w:w w:val="100"/>
          <w:position w:val="0"/>
          <w:shd w:val="clear" w:color="auto" w:fill="auto"/>
          <w:lang w:val="cs-CZ" w:eastAsia="cs-CZ" w:bidi="cs-CZ"/>
        </w:rPr>
        <w:t>seznámení se s problematikou stavby včetně znalosti projektové dokumentace dle DSP a PDPS a soupisu prací</w:t>
      </w:r>
    </w:p>
    <w:p>
      <w:pPr>
        <w:pStyle w:val="Style12"/>
        <w:keepNext w:val="0"/>
        <w:keepLines w:val="0"/>
        <w:widowControl w:val="0"/>
        <w:numPr>
          <w:ilvl w:val="0"/>
          <w:numId w:val="3"/>
        </w:numPr>
        <w:shd w:val="clear" w:color="auto" w:fill="auto"/>
        <w:tabs>
          <w:tab w:pos="1108" w:val="left"/>
        </w:tabs>
        <w:bidi w:val="0"/>
        <w:spacing w:before="0" w:after="80" w:line="175" w:lineRule="auto"/>
        <w:ind w:left="1120" w:right="0" w:hanging="420"/>
        <w:jc w:val="both"/>
      </w:pPr>
      <w:r>
        <w:rPr>
          <w:color w:val="000000"/>
          <w:spacing w:val="0"/>
          <w:w w:val="100"/>
          <w:position w:val="0"/>
          <w:shd w:val="clear" w:color="auto" w:fill="auto"/>
          <w:lang w:val="cs-CZ" w:eastAsia="cs-CZ" w:bidi="cs-CZ"/>
        </w:rPr>
        <w:t>získání podrobné znalosti obsahu Smlouvy o dílo včetně jejích příloh, rozpočtu a OP</w:t>
      </w:r>
    </w:p>
    <w:p>
      <w:pPr>
        <w:pStyle w:val="Style12"/>
        <w:keepNext w:val="0"/>
        <w:keepLines w:val="0"/>
        <w:widowControl w:val="0"/>
        <w:numPr>
          <w:ilvl w:val="0"/>
          <w:numId w:val="3"/>
        </w:numPr>
        <w:shd w:val="clear" w:color="auto" w:fill="auto"/>
        <w:tabs>
          <w:tab w:pos="1108" w:val="left"/>
        </w:tabs>
        <w:bidi w:val="0"/>
        <w:spacing w:before="0" w:after="140" w:line="228" w:lineRule="auto"/>
        <w:ind w:left="1120" w:right="0" w:hanging="420"/>
        <w:jc w:val="both"/>
      </w:pPr>
      <w:r>
        <w:rPr>
          <w:color w:val="000000"/>
          <w:spacing w:val="0"/>
          <w:w w:val="100"/>
          <w:position w:val="0"/>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12"/>
        <w:keepNext w:val="0"/>
        <w:keepLines w:val="0"/>
        <w:widowControl w:val="0"/>
        <w:numPr>
          <w:ilvl w:val="0"/>
          <w:numId w:val="3"/>
        </w:numPr>
        <w:shd w:val="clear" w:color="auto" w:fill="auto"/>
        <w:tabs>
          <w:tab w:pos="1108" w:val="left"/>
        </w:tabs>
        <w:bidi w:val="0"/>
        <w:spacing w:before="0" w:after="80" w:line="175" w:lineRule="auto"/>
        <w:ind w:left="1120" w:right="0" w:hanging="420"/>
        <w:jc w:val="both"/>
      </w:pPr>
      <w:r>
        <w:rPr>
          <w:color w:val="000000"/>
          <w:spacing w:val="0"/>
          <w:w w:val="100"/>
          <w:position w:val="0"/>
          <w:shd w:val="clear" w:color="auto" w:fill="auto"/>
          <w:lang w:val="cs-CZ" w:eastAsia="cs-CZ" w:bidi="cs-CZ"/>
        </w:rPr>
        <w:t>prohlídka staveniště před zahájením vlastních stavebních prací</w:t>
      </w:r>
    </w:p>
    <w:p>
      <w:pPr>
        <w:pStyle w:val="Style12"/>
        <w:keepNext w:val="0"/>
        <w:keepLines w:val="0"/>
        <w:widowControl w:val="0"/>
        <w:numPr>
          <w:ilvl w:val="0"/>
          <w:numId w:val="3"/>
        </w:numPr>
        <w:shd w:val="clear" w:color="auto" w:fill="auto"/>
        <w:tabs>
          <w:tab w:pos="1108" w:val="left"/>
        </w:tabs>
        <w:bidi w:val="0"/>
        <w:spacing w:before="0" w:after="220" w:line="221" w:lineRule="auto"/>
        <w:ind w:left="1120" w:right="0" w:hanging="420"/>
        <w:jc w:val="both"/>
      </w:pPr>
      <w:r>
        <w:rPr>
          <w:color w:val="000000"/>
          <w:spacing w:val="0"/>
          <w:w w:val="100"/>
          <w:position w:val="0"/>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19"/>
        <w:keepNext/>
        <w:keepLines/>
        <w:widowControl w:val="0"/>
        <w:numPr>
          <w:ilvl w:val="1"/>
          <w:numId w:val="1"/>
        </w:numPr>
        <w:shd w:val="clear" w:color="auto" w:fill="auto"/>
        <w:tabs>
          <w:tab w:pos="684" w:val="left"/>
        </w:tabs>
        <w:bidi w:val="0"/>
        <w:spacing w:before="0" w:after="80"/>
        <w:ind w:left="0" w:right="0" w:firstLine="0"/>
        <w:jc w:val="both"/>
      </w:pPr>
      <w:bookmarkStart w:id="12" w:name="bookmark12"/>
      <w:bookmarkStart w:id="13" w:name="bookmark13"/>
      <w:r>
        <w:rPr>
          <w:color w:val="000000"/>
          <w:spacing w:val="0"/>
          <w:w w:val="100"/>
          <w:position w:val="0"/>
          <w:shd w:val="clear" w:color="auto" w:fill="auto"/>
          <w:lang w:val="cs-CZ" w:eastAsia="cs-CZ" w:bidi="cs-CZ"/>
        </w:rPr>
        <w:t>Práce spojené s prováděním stavby spočívající zejména v činnostech:</w:t>
      </w:r>
      <w:bookmarkEnd w:id="12"/>
      <w:bookmarkEnd w:id="13"/>
    </w:p>
    <w:p>
      <w:pPr>
        <w:pStyle w:val="Style12"/>
        <w:keepNext w:val="0"/>
        <w:keepLines w:val="0"/>
        <w:widowControl w:val="0"/>
        <w:numPr>
          <w:ilvl w:val="0"/>
          <w:numId w:val="3"/>
        </w:numPr>
        <w:shd w:val="clear" w:color="auto" w:fill="auto"/>
        <w:tabs>
          <w:tab w:pos="1108" w:val="left"/>
        </w:tabs>
        <w:bidi w:val="0"/>
        <w:spacing w:before="0" w:after="120" w:line="211" w:lineRule="auto"/>
        <w:ind w:left="1120" w:right="0" w:hanging="420"/>
        <w:jc w:val="both"/>
      </w:pPr>
      <w:r>
        <w:rPr>
          <w:color w:val="000000"/>
          <w:spacing w:val="0"/>
          <w:w w:val="100"/>
          <w:position w:val="0"/>
          <w:shd w:val="clear" w:color="auto" w:fill="auto"/>
          <w:lang w:val="cs-CZ" w:eastAsia="cs-CZ" w:bidi="cs-CZ"/>
        </w:rPr>
        <w:t xml:space="preserve">fyzická přítomnost a výkon technického dozoru stavebníka na staveništi a to </w:t>
      </w:r>
      <w:r>
        <w:rPr>
          <w:b/>
          <w:bCs/>
          <w:color w:val="000000"/>
          <w:spacing w:val="0"/>
          <w:w w:val="100"/>
          <w:position w:val="0"/>
          <w:shd w:val="clear" w:color="auto" w:fill="auto"/>
          <w:lang w:val="cs-CZ" w:eastAsia="cs-CZ" w:bidi="cs-CZ"/>
        </w:rPr>
        <w:t>minimálně ve 2 dnech v průběhu kalendářního týdne</w:t>
      </w:r>
      <w:r>
        <w:rPr>
          <w:color w:val="000000"/>
          <w:spacing w:val="0"/>
          <w:w w:val="100"/>
          <w:position w:val="0"/>
          <w:shd w:val="clear" w:color="auto" w:fill="auto"/>
          <w:lang w:val="cs-CZ" w:eastAsia="cs-CZ" w:bidi="cs-CZ"/>
        </w:rPr>
        <w:t xml:space="preserve">, pokud nebude se zadavatelem dohodnuto jinak </w:t>
      </w:r>
      <w:r>
        <w:rPr>
          <w:color w:val="000000"/>
          <w:spacing w:val="0"/>
          <w:w w:val="100"/>
          <w:position w:val="0"/>
          <w:shd w:val="clear" w:color="auto" w:fill="auto"/>
          <w:lang w:val="cs-CZ" w:eastAsia="cs-CZ" w:bidi="cs-CZ"/>
        </w:rPr>
        <w:t>nepřetržitá fyzická přítomnost a výkon technického dozoru stavebníka na staveništi po dobu pokládky asfaltových vrstev</w:t>
      </w:r>
    </w:p>
    <w:p>
      <w:pPr>
        <w:pStyle w:val="Style12"/>
        <w:keepNext w:val="0"/>
        <w:keepLines w:val="0"/>
        <w:widowControl w:val="0"/>
        <w:shd w:val="clear" w:color="auto" w:fill="auto"/>
        <w:bidi w:val="0"/>
        <w:spacing w:before="0" w:after="120" w:line="252" w:lineRule="auto"/>
        <w:ind w:left="1120" w:right="0" w:firstLine="0"/>
        <w:jc w:val="both"/>
      </w:pPr>
      <w:r>
        <w:rPr>
          <w:color w:val="000000"/>
          <w:spacing w:val="0"/>
          <w:w w:val="100"/>
          <w:position w:val="0"/>
          <w:shd w:val="clear" w:color="auto" w:fill="auto"/>
          <w:lang w:val="cs-CZ" w:eastAsia="cs-CZ" w:bidi="cs-CZ"/>
        </w:rPr>
        <w:t>soustavná kontrola dodržování podmínek smlouvy o dílo uzavřené mezi stavebníkem a zhotovitelem</w:t>
      </w:r>
    </w:p>
    <w:p>
      <w:pPr>
        <w:pStyle w:val="Style12"/>
        <w:keepNext w:val="0"/>
        <w:keepLines w:val="0"/>
        <w:widowControl w:val="0"/>
        <w:shd w:val="clear" w:color="auto" w:fill="auto"/>
        <w:bidi w:val="0"/>
        <w:spacing w:before="0" w:after="120"/>
        <w:ind w:left="1120" w:right="0" w:firstLine="0"/>
        <w:jc w:val="both"/>
      </w:pPr>
      <w:r>
        <w:rPr>
          <w:color w:val="000000"/>
          <w:spacing w:val="0"/>
          <w:w w:val="100"/>
          <w:position w:val="0"/>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12"/>
        <w:keepNext w:val="0"/>
        <w:keepLines w:val="0"/>
        <w:widowControl w:val="0"/>
        <w:shd w:val="clear" w:color="auto" w:fill="auto"/>
        <w:bidi w:val="0"/>
        <w:spacing w:before="0" w:after="120" w:line="276" w:lineRule="auto"/>
        <w:ind w:left="1120" w:right="0" w:firstLine="0"/>
        <w:jc w:val="both"/>
      </w:pPr>
      <w:r>
        <w:rPr>
          <w:color w:val="000000"/>
          <w:spacing w:val="0"/>
          <w:w w:val="100"/>
          <w:position w:val="0"/>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 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12"/>
        <w:keepNext w:val="0"/>
        <w:keepLines w:val="0"/>
        <w:widowControl w:val="0"/>
        <w:shd w:val="clear" w:color="auto" w:fill="auto"/>
        <w:bidi w:val="0"/>
        <w:spacing w:before="0" w:after="120" w:line="288" w:lineRule="auto"/>
        <w:ind w:left="1120" w:right="0" w:firstLine="0"/>
        <w:jc w:val="both"/>
      </w:pPr>
      <w:r>
        <w:rPr>
          <w:color w:val="000000"/>
          <w:spacing w:val="0"/>
          <w:w w:val="100"/>
          <w:position w:val="0"/>
          <w:shd w:val="clear" w:color="auto" w:fill="auto"/>
          <w:lang w:val="cs-CZ" w:eastAsia="cs-CZ" w:bidi="cs-CZ"/>
        </w:rPr>
        <w:t>kontrola věcné a cenové správnosti a úplnosti oceňovacích podkladů a faktur, jejich soulad s podmínkami smlouvy o dílo a jejich předkládání zadavateli k evidenci či proplacení 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12"/>
        <w:keepNext w:val="0"/>
        <w:keepLines w:val="0"/>
        <w:widowControl w:val="0"/>
        <w:shd w:val="clear" w:color="auto" w:fill="auto"/>
        <w:bidi w:val="0"/>
        <w:spacing w:before="0" w:after="120"/>
        <w:ind w:left="1120" w:right="0" w:firstLine="0"/>
        <w:jc w:val="both"/>
      </w:pPr>
      <w:r>
        <w:rPr>
          <w:color w:val="000000"/>
          <w:spacing w:val="0"/>
          <w:w w:val="100"/>
          <w:position w:val="0"/>
          <w:shd w:val="clear" w:color="auto" w:fill="auto"/>
          <w:lang w:val="cs-CZ" w:eastAsia="cs-CZ" w:bidi="cs-CZ"/>
        </w:rPr>
        <w:t>kontrola dodržování schválených technologických postupů</w:t>
      </w:r>
    </w:p>
    <w:p>
      <w:pPr>
        <w:pStyle w:val="Style12"/>
        <w:keepNext w:val="0"/>
        <w:keepLines w:val="0"/>
        <w:widowControl w:val="0"/>
        <w:shd w:val="clear" w:color="auto" w:fill="auto"/>
        <w:bidi w:val="0"/>
        <w:spacing w:before="0" w:after="120"/>
        <w:ind w:left="1120" w:right="0" w:firstLine="0"/>
        <w:jc w:val="both"/>
      </w:pPr>
      <w:r>
        <w:rPr>
          <w:color w:val="000000"/>
          <w:spacing w:val="0"/>
          <w:w w:val="100"/>
          <w:position w:val="0"/>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12"/>
        <w:keepNext w:val="0"/>
        <w:keepLines w:val="0"/>
        <w:widowControl w:val="0"/>
        <w:shd w:val="clear" w:color="auto" w:fill="auto"/>
        <w:bidi w:val="0"/>
        <w:spacing w:before="0" w:after="120"/>
        <w:ind w:left="1120" w:right="0" w:firstLine="0"/>
        <w:jc w:val="both"/>
      </w:pPr>
      <w:r>
        <w:rPr>
          <w:color w:val="000000"/>
          <w:spacing w:val="0"/>
          <w:w w:val="100"/>
          <w:position w:val="0"/>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12"/>
        <w:keepNext w:val="0"/>
        <w:keepLines w:val="0"/>
        <w:widowControl w:val="0"/>
        <w:shd w:val="clear" w:color="auto" w:fill="auto"/>
        <w:bidi w:val="0"/>
        <w:spacing w:before="0" w:after="120"/>
        <w:ind w:left="1120" w:right="0" w:firstLine="0"/>
        <w:jc w:val="both"/>
      </w:pPr>
      <w:r>
        <w:rPr>
          <w:color w:val="000000"/>
          <w:spacing w:val="0"/>
          <w:w w:val="100"/>
          <w:position w:val="0"/>
          <w:shd w:val="clear" w:color="auto" w:fill="auto"/>
          <w:lang w:val="cs-CZ" w:eastAsia="cs-CZ" w:bidi="cs-CZ"/>
        </w:rPr>
        <w:t>sledování dodržování platných legislativních předpisů a závazných ČSN, případně závazných částí ČSN v rámci stavby</w:t>
      </w:r>
    </w:p>
    <w:p>
      <w:pPr>
        <w:pStyle w:val="Style12"/>
        <w:keepNext w:val="0"/>
        <w:keepLines w:val="0"/>
        <w:widowControl w:val="0"/>
        <w:shd w:val="clear" w:color="auto" w:fill="auto"/>
        <w:bidi w:val="0"/>
        <w:spacing w:before="0" w:after="120"/>
        <w:ind w:left="1120" w:right="0" w:firstLine="0"/>
        <w:jc w:val="both"/>
      </w:pPr>
      <w:r>
        <w:rPr>
          <w:color w:val="000000"/>
          <w:spacing w:val="0"/>
          <w:w w:val="100"/>
          <w:position w:val="0"/>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12"/>
        <w:keepNext w:val="0"/>
        <w:keepLines w:val="0"/>
        <w:widowControl w:val="0"/>
        <w:shd w:val="clear" w:color="auto" w:fill="auto"/>
        <w:bidi w:val="0"/>
        <w:spacing w:before="0" w:after="120" w:line="252" w:lineRule="auto"/>
        <w:ind w:left="1120" w:right="0" w:firstLine="0"/>
        <w:jc w:val="both"/>
      </w:pPr>
      <w:r>
        <w:rPr>
          <w:color w:val="000000"/>
          <w:spacing w:val="0"/>
          <w:w w:val="100"/>
          <w:position w:val="0"/>
          <w:shd w:val="clear" w:color="auto" w:fill="auto"/>
          <w:lang w:val="cs-CZ" w:eastAsia="cs-CZ" w:bidi="cs-CZ"/>
        </w:rPr>
        <w:t>spolupráce s odpovědnými pracovníky zhotovitele při provádění opatření na odvrácení, nebo omezení škod při ohrožení stavby živelnými událostmi</w:t>
      </w:r>
    </w:p>
    <w:p>
      <w:pPr>
        <w:pStyle w:val="Style12"/>
        <w:keepNext w:val="0"/>
        <w:keepLines w:val="0"/>
        <w:widowControl w:val="0"/>
        <w:shd w:val="clear" w:color="auto" w:fill="auto"/>
        <w:bidi w:val="0"/>
        <w:spacing w:before="0" w:after="120"/>
        <w:ind w:left="1120" w:right="0" w:firstLine="0"/>
        <w:jc w:val="both"/>
      </w:pPr>
      <w:r>
        <w:rPr>
          <w:color w:val="000000"/>
          <w:spacing w:val="0"/>
          <w:w w:val="100"/>
          <w:position w:val="0"/>
          <w:shd w:val="clear" w:color="auto" w:fill="auto"/>
          <w:lang w:val="cs-CZ" w:eastAsia="cs-CZ" w:bidi="cs-CZ"/>
        </w:rPr>
        <w:t>shromažďování, kontrola a zajištění všech dokladů o provedených předepsaných zkouškách a revizích, evidence všech protokolů a zápisů</w:t>
      </w:r>
    </w:p>
    <w:p>
      <w:pPr>
        <w:pStyle w:val="Style12"/>
        <w:keepNext w:val="0"/>
        <w:keepLines w:val="0"/>
        <w:widowControl w:val="0"/>
        <w:shd w:val="clear" w:color="auto" w:fill="auto"/>
        <w:bidi w:val="0"/>
        <w:spacing w:before="0" w:after="120"/>
        <w:ind w:left="1120" w:right="0" w:firstLine="0"/>
        <w:jc w:val="both"/>
      </w:pPr>
      <w:r>
        <w:rPr>
          <w:color w:val="000000"/>
          <w:spacing w:val="0"/>
          <w:w w:val="100"/>
          <w:position w:val="0"/>
          <w:shd w:val="clear" w:color="auto" w:fill="auto"/>
          <w:lang w:val="cs-CZ" w:eastAsia="cs-CZ" w:bidi="cs-CZ"/>
        </w:rPr>
        <w:t>kontrola dodržení časového postupu prací a návrhy na řešení vzniklých prodlev</w:t>
      </w:r>
    </w:p>
    <w:p>
      <w:pPr>
        <w:pStyle w:val="Style12"/>
        <w:keepNext w:val="0"/>
        <w:keepLines w:val="0"/>
        <w:widowControl w:val="0"/>
        <w:shd w:val="clear" w:color="auto" w:fill="auto"/>
        <w:bidi w:val="0"/>
        <w:spacing w:before="0" w:after="120"/>
        <w:ind w:left="1120" w:right="0" w:firstLine="0"/>
        <w:jc w:val="both"/>
      </w:pPr>
      <w:r>
        <w:rPr>
          <w:color w:val="000000"/>
          <w:spacing w:val="0"/>
          <w:w w:val="100"/>
          <w:position w:val="0"/>
          <w:shd w:val="clear" w:color="auto" w:fill="auto"/>
          <w:lang w:val="cs-CZ" w:eastAsia="cs-CZ" w:bidi="cs-CZ"/>
        </w:rPr>
        <w:t>příprava podkladů pro odevzdání a převzetí stavby, nebo její části</w:t>
      </w:r>
    </w:p>
    <w:p>
      <w:pPr>
        <w:pStyle w:val="Style12"/>
        <w:keepNext w:val="0"/>
        <w:keepLines w:val="0"/>
        <w:widowControl w:val="0"/>
        <w:shd w:val="clear" w:color="auto" w:fill="auto"/>
        <w:bidi w:val="0"/>
        <w:spacing w:before="0" w:after="120" w:line="259" w:lineRule="auto"/>
        <w:ind w:left="1120" w:right="0" w:firstLine="0"/>
        <w:jc w:val="both"/>
      </w:pPr>
      <w:r>
        <w:rPr>
          <w:color w:val="000000"/>
          <w:spacing w:val="0"/>
          <w:w w:val="100"/>
          <w:position w:val="0"/>
          <w:shd w:val="clear" w:color="auto" w:fill="auto"/>
          <w:lang w:val="cs-CZ" w:eastAsia="cs-CZ" w:bidi="cs-CZ"/>
        </w:rPr>
        <w:t>provedení soupisu vad a případných nedodělků a kontrola jejich odstraňování, zápis o předání a převzetí dokončené stavby investorem</w:t>
      </w:r>
    </w:p>
    <w:p>
      <w:pPr>
        <w:pStyle w:val="Style12"/>
        <w:keepNext w:val="0"/>
        <w:keepLines w:val="0"/>
        <w:widowControl w:val="0"/>
        <w:shd w:val="clear" w:color="auto" w:fill="auto"/>
        <w:bidi w:val="0"/>
        <w:spacing w:before="0" w:after="120" w:line="384" w:lineRule="auto"/>
        <w:ind w:left="1120" w:right="0" w:firstLine="0"/>
        <w:jc w:val="both"/>
      </w:pPr>
      <w:r>
        <w:rPr>
          <w:color w:val="000000"/>
          <w:spacing w:val="0"/>
          <w:w w:val="100"/>
          <w:position w:val="0"/>
          <w:shd w:val="clear" w:color="auto" w:fill="auto"/>
          <w:lang w:val="cs-CZ" w:eastAsia="cs-CZ" w:bidi="cs-CZ"/>
        </w:rPr>
        <w:t>kontrola vyklizení staveniště zhotovitelem uplatňování požadavků na zhotovitele vyplývající z předání a převzetí díla</w:t>
      </w:r>
    </w:p>
    <w:p>
      <w:pPr>
        <w:pStyle w:val="Style12"/>
        <w:keepNext w:val="0"/>
        <w:keepLines w:val="0"/>
        <w:widowControl w:val="0"/>
        <w:numPr>
          <w:ilvl w:val="0"/>
          <w:numId w:val="3"/>
        </w:numPr>
        <w:shd w:val="clear" w:color="auto" w:fill="auto"/>
        <w:tabs>
          <w:tab w:pos="1109" w:val="left"/>
        </w:tabs>
        <w:bidi w:val="0"/>
        <w:spacing w:before="0" w:after="80" w:line="211" w:lineRule="auto"/>
        <w:ind w:left="1120" w:right="0" w:hanging="420"/>
        <w:jc w:val="left"/>
      </w:pPr>
      <w:r>
        <w:rPr>
          <w:color w:val="000000"/>
          <w:spacing w:val="0"/>
          <w:w w:val="100"/>
          <w:position w:val="0"/>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19"/>
        <w:keepNext/>
        <w:keepLines/>
        <w:widowControl w:val="0"/>
        <w:numPr>
          <w:ilvl w:val="1"/>
          <w:numId w:val="1"/>
        </w:numPr>
        <w:shd w:val="clear" w:color="auto" w:fill="auto"/>
        <w:tabs>
          <w:tab w:pos="588" w:val="left"/>
        </w:tabs>
        <w:bidi w:val="0"/>
        <w:spacing w:before="0" w:after="80"/>
        <w:ind w:left="0" w:right="0" w:firstLine="0"/>
        <w:jc w:val="both"/>
      </w:pPr>
      <w:bookmarkStart w:id="14" w:name="bookmark14"/>
      <w:bookmarkStart w:id="15" w:name="bookmark15"/>
      <w:r>
        <w:rPr>
          <w:color w:val="000000"/>
          <w:spacing w:val="0"/>
          <w:w w:val="100"/>
          <w:position w:val="0"/>
          <w:shd w:val="clear" w:color="auto" w:fill="auto"/>
          <w:lang w:val="cs-CZ" w:eastAsia="cs-CZ" w:bidi="cs-CZ"/>
        </w:rPr>
        <w:t>Práce po dokončení stavby spočívající zejména v činnostech:</w:t>
      </w:r>
      <w:bookmarkEnd w:id="14"/>
      <w:bookmarkEnd w:id="15"/>
    </w:p>
    <w:p>
      <w:pPr>
        <w:pStyle w:val="Style12"/>
        <w:keepNext w:val="0"/>
        <w:keepLines w:val="0"/>
        <w:widowControl w:val="0"/>
        <w:numPr>
          <w:ilvl w:val="0"/>
          <w:numId w:val="3"/>
        </w:numPr>
        <w:shd w:val="clear" w:color="auto" w:fill="auto"/>
        <w:tabs>
          <w:tab w:pos="1109" w:val="left"/>
        </w:tabs>
        <w:bidi w:val="0"/>
        <w:spacing w:before="0" w:after="80" w:line="221" w:lineRule="auto"/>
        <w:ind w:left="1120" w:right="0" w:hanging="420"/>
        <w:jc w:val="both"/>
      </w:pPr>
      <w:r>
        <w:rPr>
          <w:color w:val="000000"/>
          <w:spacing w:val="0"/>
          <w:w w:val="100"/>
          <w:position w:val="0"/>
          <w:shd w:val="clear" w:color="auto" w:fill="auto"/>
          <w:lang w:val="cs-CZ" w:eastAsia="cs-CZ" w:bidi="cs-CZ"/>
        </w:rPr>
        <w:t>opatření závazných stanovisek dotčených orgánů k užívání stavby vyžadovaná zvláštními právními předpisy pro vydání kolaudačního souhlasu (příprava podkladů pro žádost o kolaudační řízení), případně zajištění oznámení o předčasném užívání stavby</w:t>
      </w:r>
    </w:p>
    <w:p>
      <w:pPr>
        <w:pStyle w:val="Style12"/>
        <w:keepNext w:val="0"/>
        <w:keepLines w:val="0"/>
        <w:widowControl w:val="0"/>
        <w:numPr>
          <w:ilvl w:val="0"/>
          <w:numId w:val="3"/>
        </w:numPr>
        <w:shd w:val="clear" w:color="auto" w:fill="auto"/>
        <w:tabs>
          <w:tab w:pos="1109" w:val="left"/>
        </w:tabs>
        <w:bidi w:val="0"/>
        <w:spacing w:before="0" w:after="80" w:line="221" w:lineRule="auto"/>
        <w:ind w:left="1120" w:right="0" w:hanging="420"/>
        <w:jc w:val="both"/>
      </w:pPr>
      <w:r>
        <w:rPr>
          <w:color w:val="000000"/>
          <w:spacing w:val="0"/>
          <w:w w:val="100"/>
          <w:position w:val="0"/>
          <w:shd w:val="clear" w:color="auto" w:fill="auto"/>
          <w:lang w:val="cs-CZ" w:eastAsia="cs-CZ" w:bidi="cs-CZ"/>
        </w:rPr>
        <w:t>účast na kolaudačním řízení, účast na závěrečné kontrolní prohlídce stavby stavebním úřadem, obstarání vydání kolaudačního souhlasu, případně oznámení o předčasném užívání stavby</w:t>
      </w:r>
    </w:p>
    <w:p>
      <w:pPr>
        <w:pStyle w:val="Style12"/>
        <w:keepNext w:val="0"/>
        <w:keepLines w:val="0"/>
        <w:widowControl w:val="0"/>
        <w:numPr>
          <w:ilvl w:val="0"/>
          <w:numId w:val="3"/>
        </w:numPr>
        <w:shd w:val="clear" w:color="auto" w:fill="auto"/>
        <w:tabs>
          <w:tab w:pos="1109" w:val="left"/>
        </w:tabs>
        <w:bidi w:val="0"/>
        <w:spacing w:before="0" w:after="380" w:line="209" w:lineRule="auto"/>
        <w:ind w:left="1120" w:right="0" w:hanging="420"/>
        <w:jc w:val="both"/>
      </w:pPr>
      <w:r>
        <w:rPr>
          <w:color w:val="000000"/>
          <w:spacing w:val="0"/>
          <w:w w:val="100"/>
          <w:position w:val="0"/>
          <w:shd w:val="clear" w:color="auto" w:fill="auto"/>
          <w:lang w:val="cs-CZ" w:eastAsia="cs-CZ" w:bidi="cs-CZ"/>
        </w:rPr>
        <w:t>zpracování podkladů pro závěrečné vyúčtování stavby po odstranění event. kolaudačních závad.</w:t>
      </w:r>
    </w:p>
    <w:p>
      <w:pPr>
        <w:pStyle w:val="Style1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4</w:t>
      </w:r>
    </w:p>
    <w:p>
      <w:pPr>
        <w:pStyle w:val="Style19"/>
        <w:keepNext/>
        <w:keepLines/>
        <w:widowControl w:val="0"/>
        <w:shd w:val="clear" w:color="auto" w:fill="auto"/>
        <w:bidi w:val="0"/>
        <w:spacing w:before="0" w:after="80"/>
        <w:ind w:left="0" w:right="0" w:firstLine="0"/>
        <w:jc w:val="center"/>
      </w:pPr>
      <w:bookmarkStart w:id="16" w:name="bookmark16"/>
      <w:bookmarkStart w:id="17" w:name="bookmark17"/>
      <w:r>
        <w:rPr>
          <w:color w:val="000000"/>
          <w:spacing w:val="0"/>
          <w:w w:val="100"/>
          <w:position w:val="0"/>
          <w:shd w:val="clear" w:color="auto" w:fill="auto"/>
          <w:lang w:val="cs-CZ" w:eastAsia="cs-CZ" w:bidi="cs-CZ"/>
        </w:rPr>
        <w:t>Čas plnění</w:t>
      </w:r>
      <w:bookmarkEnd w:id="16"/>
      <w:bookmarkEnd w:id="17"/>
    </w:p>
    <w:p>
      <w:pPr>
        <w:pStyle w:val="Style12"/>
        <w:keepNext w:val="0"/>
        <w:keepLines w:val="0"/>
        <w:widowControl w:val="0"/>
        <w:numPr>
          <w:ilvl w:val="0"/>
          <w:numId w:val="5"/>
        </w:numPr>
        <w:shd w:val="clear" w:color="auto" w:fill="auto"/>
        <w:tabs>
          <w:tab w:pos="588" w:val="left"/>
        </w:tabs>
        <w:bidi w:val="0"/>
        <w:spacing w:before="0" w:after="80"/>
        <w:ind w:left="0" w:right="0" w:firstLine="0"/>
        <w:jc w:val="both"/>
      </w:pPr>
      <w:r>
        <w:rPr>
          <w:color w:val="000000"/>
          <w:spacing w:val="0"/>
          <w:w w:val="100"/>
          <w:position w:val="0"/>
          <w:shd w:val="clear" w:color="auto" w:fill="auto"/>
          <w:lang w:val="cs-CZ" w:eastAsia="cs-CZ" w:bidi="cs-CZ"/>
        </w:rPr>
        <w:t>TDS zahájí svoji činnost okamžikem prvního úkonu.</w:t>
      </w:r>
    </w:p>
    <w:p>
      <w:pPr>
        <w:pStyle w:val="Style12"/>
        <w:keepNext w:val="0"/>
        <w:keepLines w:val="0"/>
        <w:widowControl w:val="0"/>
        <w:numPr>
          <w:ilvl w:val="0"/>
          <w:numId w:val="5"/>
        </w:numPr>
        <w:shd w:val="clear" w:color="auto" w:fill="auto"/>
        <w:tabs>
          <w:tab w:pos="588" w:val="left"/>
        </w:tabs>
        <w:bidi w:val="0"/>
        <w:spacing w:before="0" w:after="380"/>
        <w:ind w:left="0" w:right="0" w:firstLine="0"/>
        <w:jc w:val="both"/>
      </w:pPr>
      <w:r>
        <w:rPr>
          <w:color w:val="000000"/>
          <w:spacing w:val="0"/>
          <w:w w:val="100"/>
          <w:position w:val="0"/>
          <w:shd w:val="clear" w:color="auto" w:fill="auto"/>
          <w:lang w:val="cs-CZ" w:eastAsia="cs-CZ" w:bidi="cs-CZ"/>
        </w:rPr>
        <w:t>TDS ukončí činnost okamžikem, kdy jsou fyzicky ukončeny práce na stavbě.</w:t>
      </w:r>
    </w:p>
    <w:p>
      <w:pPr>
        <w:pStyle w:val="Style1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5</w:t>
      </w:r>
    </w:p>
    <w:p>
      <w:pPr>
        <w:pStyle w:val="Style19"/>
        <w:keepNext/>
        <w:keepLines/>
        <w:widowControl w:val="0"/>
        <w:shd w:val="clear" w:color="auto" w:fill="auto"/>
        <w:bidi w:val="0"/>
        <w:spacing w:before="0" w:after="80"/>
        <w:ind w:left="0" w:right="0" w:firstLine="0"/>
        <w:jc w:val="center"/>
      </w:pPr>
      <w:bookmarkStart w:id="18" w:name="bookmark18"/>
      <w:bookmarkStart w:id="19" w:name="bookmark19"/>
      <w:r>
        <w:rPr>
          <w:color w:val="000000"/>
          <w:spacing w:val="0"/>
          <w:w w:val="100"/>
          <w:position w:val="0"/>
          <w:shd w:val="clear" w:color="auto" w:fill="auto"/>
          <w:lang w:val="cs-CZ" w:eastAsia="cs-CZ" w:bidi="cs-CZ"/>
        </w:rPr>
        <w:t>Odměna TDS, platební podmínky</w:t>
      </w:r>
      <w:bookmarkEnd w:id="18"/>
      <w:bookmarkEnd w:id="19"/>
    </w:p>
    <w:p>
      <w:pPr>
        <w:pStyle w:val="Style12"/>
        <w:keepNext w:val="0"/>
        <w:keepLines w:val="0"/>
        <w:widowControl w:val="0"/>
        <w:numPr>
          <w:ilvl w:val="0"/>
          <w:numId w:val="7"/>
        </w:numPr>
        <w:shd w:val="clear" w:color="auto" w:fill="auto"/>
        <w:tabs>
          <w:tab w:pos="588" w:val="left"/>
        </w:tabs>
        <w:bidi w:val="0"/>
        <w:spacing w:before="0" w:after="380"/>
        <w:ind w:left="0" w:right="0" w:firstLine="0"/>
        <w:jc w:val="left"/>
      </w:pPr>
      <w:r>
        <w:rPr>
          <w:color w:val="000000"/>
          <w:spacing w:val="0"/>
          <w:w w:val="100"/>
          <w:position w:val="0"/>
          <w:shd w:val="clear" w:color="auto" w:fill="auto"/>
          <w:lang w:val="cs-CZ" w:eastAsia="cs-CZ" w:bidi="cs-CZ"/>
        </w:rPr>
        <w:t>Objednatel se zavazuje zaplatit TDS za uskutečnění činností podle této smlouvy smluvní dohodnutou odměnu ve výši:</w:t>
      </w:r>
    </w:p>
    <w:p>
      <w:pPr>
        <w:pStyle w:val="Style12"/>
        <w:keepNext w:val="0"/>
        <w:keepLines w:val="0"/>
        <w:widowControl w:val="0"/>
        <w:shd w:val="clear" w:color="auto" w:fill="auto"/>
        <w:bidi w:val="0"/>
        <w:spacing w:before="0" w:after="380"/>
        <w:ind w:left="0" w:right="0" w:firstLine="580"/>
        <w:jc w:val="both"/>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TDS - práce před zahájením a po dokončení stavby</w:t>
      </w:r>
    </w:p>
    <w:tbl>
      <w:tblPr>
        <w:tblOverlap w:val="never"/>
        <w:jc w:val="center"/>
        <w:tblLayout w:type="fixed"/>
      </w:tblPr>
      <w:tblGrid>
        <w:gridCol w:w="4282"/>
        <w:gridCol w:w="3734"/>
      </w:tblGrid>
      <w:tr>
        <w:trPr>
          <w:trHeight w:val="49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10 000,00 Kč bez DPH</w:t>
            </w:r>
          </w:p>
        </w:tc>
      </w:tr>
      <w:tr>
        <w:trPr>
          <w:trHeight w:val="49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16 000,00 Kč bez DPH</w:t>
            </w:r>
          </w:p>
        </w:tc>
      </w:tr>
      <w:tr>
        <w:trPr>
          <w:trHeight w:val="490"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26 000,00 Kč</w:t>
            </w:r>
          </w:p>
        </w:tc>
      </w:tr>
      <w:tr>
        <w:trPr>
          <w:trHeight w:val="422"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5 460,00 Kč</w:t>
            </w:r>
          </w:p>
        </w:tc>
      </w:tr>
      <w:tr>
        <w:trPr>
          <w:trHeight w:val="557"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31 460,00 Kč</w:t>
            </w:r>
          </w:p>
        </w:tc>
      </w:tr>
    </w:tbl>
    <w:p>
      <w:pPr>
        <w:widowControl w:val="0"/>
        <w:spacing w:after="379" w:line="1" w:lineRule="exact"/>
      </w:pPr>
    </w:p>
    <w:p>
      <w:pPr>
        <w:pStyle w:val="Style12"/>
        <w:keepNext w:val="0"/>
        <w:keepLines w:val="0"/>
        <w:widowControl w:val="0"/>
        <w:shd w:val="clear" w:color="auto" w:fill="auto"/>
        <w:bidi w:val="0"/>
        <w:spacing w:before="0" w:after="220" w:line="240" w:lineRule="auto"/>
        <w:ind w:left="0" w:right="0" w:firstLine="700"/>
        <w:jc w:val="both"/>
      </w:pPr>
      <w:r>
        <w:rPr>
          <w:b/>
          <w:bCs/>
          <w:color w:val="000000"/>
          <w:spacing w:val="0"/>
          <w:w w:val="100"/>
          <w:position w:val="0"/>
          <w:shd w:val="clear" w:color="auto" w:fill="auto"/>
          <w:lang w:val="cs-CZ" w:eastAsia="cs-CZ" w:bidi="cs-CZ"/>
        </w:rPr>
        <w:t xml:space="preserve">b) </w:t>
      </w:r>
      <w:r>
        <w:rPr>
          <w:b/>
          <w:bCs/>
          <w:color w:val="000000"/>
          <w:spacing w:val="0"/>
          <w:w w:val="100"/>
          <w:position w:val="0"/>
          <w:u w:val="single"/>
          <w:shd w:val="clear" w:color="auto" w:fill="auto"/>
          <w:lang w:val="cs-CZ" w:eastAsia="cs-CZ" w:bidi="cs-CZ"/>
        </w:rPr>
        <w:t>Výkon TDS - práce spojené s prováděním stavby</w:t>
      </w:r>
    </w:p>
    <w:tbl>
      <w:tblPr>
        <w:tblOverlap w:val="never"/>
        <w:jc w:val="center"/>
        <w:tblLayout w:type="fixed"/>
      </w:tblPr>
      <w:tblGrid>
        <w:gridCol w:w="4282"/>
        <w:gridCol w:w="3734"/>
      </w:tblGrid>
      <w:tr>
        <w:trPr>
          <w:trHeight w:val="672"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59" w:lineRule="auto"/>
              <w:ind w:left="0" w:right="0" w:firstLine="0"/>
              <w:jc w:val="left"/>
            </w:pPr>
            <w:r>
              <w:rPr>
                <w:b/>
                <w:bCs/>
                <w:color w:val="000000"/>
                <w:spacing w:val="0"/>
                <w:w w:val="100"/>
                <w:position w:val="0"/>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550,00 Kč bez DPH</w:t>
            </w:r>
          </w:p>
        </w:tc>
      </w:tr>
      <w:tr>
        <w:trPr>
          <w:trHeight w:val="672"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59" w:lineRule="auto"/>
              <w:ind w:left="0" w:right="0" w:firstLine="0"/>
              <w:jc w:val="left"/>
            </w:pPr>
            <w:r>
              <w:rPr>
                <w:b/>
                <w:bCs/>
                <w:color w:val="000000"/>
                <w:spacing w:val="0"/>
                <w:w w:val="100"/>
                <w:position w:val="0"/>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650,00 Kč bez DPH</w:t>
            </w:r>
          </w:p>
        </w:tc>
      </w:tr>
    </w:tbl>
    <w:p>
      <w:pPr>
        <w:pStyle w:val="Style12"/>
        <w:keepNext w:val="0"/>
        <w:keepLines w:val="0"/>
        <w:widowControl w:val="0"/>
        <w:numPr>
          <w:ilvl w:val="0"/>
          <w:numId w:val="7"/>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konzultačních dnů.</w:t>
      </w:r>
    </w:p>
    <w:p>
      <w:pPr>
        <w:pStyle w:val="Style12"/>
        <w:keepNext w:val="0"/>
        <w:keepLines w:val="0"/>
        <w:widowControl w:val="0"/>
        <w:numPr>
          <w:ilvl w:val="0"/>
          <w:numId w:val="7"/>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12"/>
        <w:keepNext w:val="0"/>
        <w:keepLines w:val="0"/>
        <w:widowControl w:val="0"/>
        <w:numPr>
          <w:ilvl w:val="0"/>
          <w:numId w:val="7"/>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Ke sjednané ceně bez DPH za zajištění TDS bude u plátce DPH účtována daň z přidané hodnoty v zákonné výši.</w:t>
      </w:r>
    </w:p>
    <w:p>
      <w:pPr>
        <w:pStyle w:val="Style12"/>
        <w:keepNext w:val="0"/>
        <w:keepLines w:val="0"/>
        <w:widowControl w:val="0"/>
        <w:numPr>
          <w:ilvl w:val="0"/>
          <w:numId w:val="7"/>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12"/>
        <w:keepNext w:val="0"/>
        <w:keepLines w:val="0"/>
        <w:widowControl w:val="0"/>
        <w:numPr>
          <w:ilvl w:val="0"/>
          <w:numId w:val="7"/>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pPr>
        <w:pStyle w:val="Style12"/>
        <w:keepNext w:val="0"/>
        <w:keepLines w:val="0"/>
        <w:widowControl w:val="0"/>
        <w:numPr>
          <w:ilvl w:val="0"/>
          <w:numId w:val="7"/>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Dohodnutá odměna bude TDS proplacena na základě jeho daňového dokladu (faktury).</w:t>
      </w:r>
    </w:p>
    <w:p>
      <w:pPr>
        <w:pStyle w:val="Style12"/>
        <w:keepNext w:val="0"/>
        <w:keepLines w:val="0"/>
        <w:widowControl w:val="0"/>
        <w:numPr>
          <w:ilvl w:val="0"/>
          <w:numId w:val="7"/>
        </w:numPr>
        <w:shd w:val="clear" w:color="auto" w:fill="auto"/>
        <w:tabs>
          <w:tab w:pos="552" w:val="left"/>
        </w:tabs>
        <w:bidi w:val="0"/>
        <w:spacing w:before="0" w:line="240" w:lineRule="auto"/>
        <w:ind w:left="0" w:right="0" w:firstLine="0"/>
        <w:jc w:val="both"/>
      </w:pPr>
      <w:r>
        <w:rPr>
          <w:color w:val="000000"/>
          <w:spacing w:val="0"/>
          <w:w w:val="100"/>
          <w:position w:val="0"/>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12"/>
        <w:keepNext w:val="0"/>
        <w:keepLines w:val="0"/>
        <w:widowControl w:val="0"/>
        <w:numPr>
          <w:ilvl w:val="0"/>
          <w:numId w:val="7"/>
        </w:numPr>
        <w:shd w:val="clear" w:color="auto" w:fill="auto"/>
        <w:tabs>
          <w:tab w:pos="552" w:val="left"/>
        </w:tabs>
        <w:bidi w:val="0"/>
        <w:spacing w:before="0" w:line="240"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12"/>
        <w:keepNext w:val="0"/>
        <w:keepLines w:val="0"/>
        <w:widowControl w:val="0"/>
        <w:numPr>
          <w:ilvl w:val="0"/>
          <w:numId w:val="7"/>
        </w:numPr>
        <w:shd w:val="clear" w:color="auto" w:fill="auto"/>
        <w:tabs>
          <w:tab w:pos="637" w:val="left"/>
        </w:tabs>
        <w:bidi w:val="0"/>
        <w:spacing w:before="0"/>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pPr>
        <w:pStyle w:val="Style12"/>
        <w:keepNext w:val="0"/>
        <w:keepLines w:val="0"/>
        <w:widowControl w:val="0"/>
        <w:numPr>
          <w:ilvl w:val="0"/>
          <w:numId w:val="7"/>
        </w:numPr>
        <w:shd w:val="clear" w:color="auto" w:fill="auto"/>
        <w:tabs>
          <w:tab w:pos="637" w:val="left"/>
        </w:tabs>
        <w:bidi w:val="0"/>
        <w:spacing w:before="0"/>
        <w:ind w:left="0" w:right="0" w:firstLine="0"/>
        <w:jc w:val="both"/>
      </w:pPr>
      <w:r>
        <w:rPr>
          <w:color w:val="000000"/>
          <w:spacing w:val="0"/>
          <w:w w:val="100"/>
          <w:position w:val="0"/>
          <w:shd w:val="clear" w:color="auto" w:fill="auto"/>
          <w:lang w:val="cs-CZ" w:eastAsia="cs-CZ" w:bidi="cs-CZ"/>
        </w:rP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12"/>
        <w:keepNext w:val="0"/>
        <w:keepLines w:val="0"/>
        <w:widowControl w:val="0"/>
        <w:numPr>
          <w:ilvl w:val="0"/>
          <w:numId w:val="7"/>
        </w:numPr>
        <w:shd w:val="clear" w:color="auto" w:fill="auto"/>
        <w:tabs>
          <w:tab w:pos="637" w:val="left"/>
        </w:tabs>
        <w:bidi w:val="0"/>
        <w:spacing w:before="0"/>
        <w:ind w:left="0" w:right="0" w:firstLine="0"/>
        <w:jc w:val="both"/>
      </w:pPr>
      <w:r>
        <w:rPr>
          <w:color w:val="000000"/>
          <w:spacing w:val="0"/>
          <w:w w:val="100"/>
          <w:position w:val="0"/>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12"/>
        <w:keepNext w:val="0"/>
        <w:keepLines w:val="0"/>
        <w:widowControl w:val="0"/>
        <w:numPr>
          <w:ilvl w:val="0"/>
          <w:numId w:val="7"/>
        </w:numPr>
        <w:shd w:val="clear" w:color="auto" w:fill="auto"/>
        <w:tabs>
          <w:tab w:pos="637" w:val="left"/>
        </w:tabs>
        <w:bidi w:val="0"/>
        <w:spacing w:before="0"/>
        <w:ind w:left="0" w:right="0" w:firstLine="0"/>
        <w:jc w:val="both"/>
      </w:pPr>
      <w:r>
        <w:rPr>
          <w:color w:val="000000"/>
          <w:spacing w:val="0"/>
          <w:w w:val="100"/>
          <w:position w:val="0"/>
          <w:shd w:val="clear" w:color="auto" w:fill="auto"/>
          <w:lang w:val="cs-CZ" w:eastAsia="cs-CZ" w:bidi="cs-CZ"/>
        </w:rPr>
        <w:t>Lhůta splatnosti daňových dokladů se vzájemnou dohodou sjednává do 30 dnů ode dne, kdy objednatel obdrží oprávněně vystavený daňový doklad.</w:t>
      </w:r>
    </w:p>
    <w:p>
      <w:pPr>
        <w:pStyle w:val="Style12"/>
        <w:keepNext w:val="0"/>
        <w:keepLines w:val="0"/>
        <w:widowControl w:val="0"/>
        <w:numPr>
          <w:ilvl w:val="0"/>
          <w:numId w:val="7"/>
        </w:numPr>
        <w:shd w:val="clear" w:color="auto" w:fill="auto"/>
        <w:tabs>
          <w:tab w:pos="637" w:val="left"/>
        </w:tabs>
        <w:bidi w:val="0"/>
        <w:spacing w:before="0" w:after="520"/>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1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6</w:t>
      </w:r>
    </w:p>
    <w:p>
      <w:pPr>
        <w:pStyle w:val="Style19"/>
        <w:keepNext/>
        <w:keepLines/>
        <w:widowControl w:val="0"/>
        <w:shd w:val="clear" w:color="auto" w:fill="auto"/>
        <w:bidi w:val="0"/>
        <w:spacing w:before="0"/>
        <w:ind w:left="0" w:right="0" w:firstLine="0"/>
        <w:jc w:val="center"/>
      </w:pPr>
      <w:bookmarkStart w:id="20" w:name="bookmark20"/>
      <w:bookmarkStart w:id="21" w:name="bookmark21"/>
      <w:r>
        <w:rPr>
          <w:color w:val="000000"/>
          <w:spacing w:val="0"/>
          <w:w w:val="100"/>
          <w:position w:val="0"/>
          <w:shd w:val="clear" w:color="auto" w:fill="auto"/>
          <w:lang w:val="cs-CZ" w:eastAsia="cs-CZ" w:bidi="cs-CZ"/>
        </w:rPr>
        <w:t>Práva a povinnosti smluvních stran</w:t>
      </w:r>
      <w:bookmarkEnd w:id="20"/>
      <w:bookmarkEnd w:id="21"/>
    </w:p>
    <w:p>
      <w:pPr>
        <w:pStyle w:val="Style12"/>
        <w:keepNext w:val="0"/>
        <w:keepLines w:val="0"/>
        <w:widowControl w:val="0"/>
        <w:numPr>
          <w:ilvl w:val="0"/>
          <w:numId w:val="9"/>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TDS je povinen postupovat při zařizování smluvené záležitosti s veškerou odbornou péčí, podle svých schopností a znalostí a podle pokynů objednatele.</w:t>
      </w:r>
    </w:p>
    <w:p>
      <w:pPr>
        <w:pStyle w:val="Style12"/>
        <w:keepNext w:val="0"/>
        <w:keepLines w:val="0"/>
        <w:widowControl w:val="0"/>
        <w:numPr>
          <w:ilvl w:val="0"/>
          <w:numId w:val="9"/>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r>
        <w:rPr>
          <w:b/>
          <w:bCs/>
          <w:color w:val="000000"/>
          <w:spacing w:val="0"/>
          <w:w w:val="100"/>
          <w:position w:val="0"/>
          <w:shd w:val="clear" w:color="auto" w:fill="auto"/>
          <w:lang w:val="cs-CZ" w:eastAsia="cs-CZ" w:bidi="cs-CZ"/>
        </w:rPr>
        <w:t>.</w:t>
      </w:r>
    </w:p>
    <w:p>
      <w:pPr>
        <w:pStyle w:val="Style12"/>
        <w:keepNext w:val="0"/>
        <w:keepLines w:val="0"/>
        <w:widowControl w:val="0"/>
        <w:numPr>
          <w:ilvl w:val="0"/>
          <w:numId w:val="9"/>
        </w:numPr>
        <w:shd w:val="clear" w:color="auto" w:fill="auto"/>
        <w:tabs>
          <w:tab w:pos="552" w:val="left"/>
        </w:tabs>
        <w:bidi w:val="0"/>
        <w:spacing w:before="0" w:after="220"/>
        <w:ind w:left="0" w:right="0" w:firstLine="0"/>
        <w:jc w:val="both"/>
      </w:pPr>
      <w:r>
        <w:rPr>
          <w:color w:val="000000"/>
          <w:spacing w:val="0"/>
          <w:w w:val="100"/>
          <w:position w:val="0"/>
          <w:shd w:val="clear" w:color="auto" w:fill="auto"/>
          <w:lang w:val="cs-CZ" w:eastAsia="cs-CZ" w:bidi="cs-CZ"/>
        </w:rPr>
        <w:t>Odpovědné osoby, které budou zajišťovat výkon technického dozoru stavebníka na staveništi:</w:t>
      </w:r>
    </w:p>
    <w:p>
      <w:pPr>
        <w:pStyle w:val="Style12"/>
        <w:keepNext w:val="0"/>
        <w:keepLines w:val="0"/>
        <w:widowControl w:val="0"/>
        <w:shd w:val="clear" w:color="auto" w:fill="auto"/>
        <w:bidi w:val="0"/>
        <w:spacing w:before="0" w:after="220" w:line="259" w:lineRule="auto"/>
        <w:ind w:left="1280" w:right="0" w:firstLine="0"/>
        <w:jc w:val="left"/>
      </w:pPr>
      <w:r>
        <w:rPr>
          <w:b/>
          <w:bCs/>
          <w:color w:val="000000"/>
          <w:spacing w:val="0"/>
          <w:w w:val="100"/>
          <w:position w:val="0"/>
          <w:shd w:val="clear" w:color="auto" w:fill="auto"/>
          <w:lang w:val="cs-CZ" w:eastAsia="cs-CZ" w:bidi="cs-CZ"/>
        </w:rPr>
        <w:t xml:space="preserve">Odpovědný TDS - Mosty a inženýrské konstrukce </w:t>
      </w:r>
      <w:r>
        <w:rPr>
          <w:color w:val="000000"/>
          <w:spacing w:val="0"/>
          <w:w w:val="100"/>
          <w:position w:val="0"/>
          <w:shd w:val="clear" w:color="auto" w:fill="auto"/>
          <w:lang w:val="cs-CZ" w:eastAsia="cs-CZ" w:bidi="cs-CZ"/>
        </w:rPr>
        <w:t>(jméno, příjmení, titul, číslo autorizace):</w:t>
      </w:r>
    </w:p>
    <w:p>
      <w:pPr>
        <w:pStyle w:val="Style12"/>
        <w:keepNext w:val="0"/>
        <w:keepLines w:val="0"/>
        <w:widowControl w:val="0"/>
        <w:numPr>
          <w:ilvl w:val="0"/>
          <w:numId w:val="9"/>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oprávněn změnit tyto osob</w:t>
      </w:r>
      <w:r>
        <w:rPr>
          <w:color w:val="000000"/>
          <w:spacing w:val="0"/>
          <w:w w:val="100"/>
          <w:position w:val="0"/>
          <w:shd w:val="clear" w:color="auto" w:fill="auto"/>
          <w:lang w:val="cs-CZ" w:eastAsia="cs-CZ" w:bidi="cs-CZ"/>
        </w:rPr>
        <w:t xml:space="preserve">y 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r>
        <w:rPr>
          <w:b/>
          <w:bCs/>
          <w:color w:val="000000"/>
          <w:spacing w:val="0"/>
          <w:w w:val="100"/>
          <w:position w:val="0"/>
          <w:shd w:val="clear" w:color="auto" w:fill="auto"/>
          <w:lang w:val="cs-CZ" w:eastAsia="cs-CZ" w:bidi="cs-CZ"/>
        </w:rPr>
        <w:t>.</w:t>
      </w:r>
    </w:p>
    <w:p>
      <w:pPr>
        <w:pStyle w:val="Style12"/>
        <w:keepNext w:val="0"/>
        <w:keepLines w:val="0"/>
        <w:widowControl w:val="0"/>
        <w:numPr>
          <w:ilvl w:val="0"/>
          <w:numId w:val="9"/>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12"/>
        <w:keepNext w:val="0"/>
        <w:keepLines w:val="0"/>
        <w:widowControl w:val="0"/>
        <w:numPr>
          <w:ilvl w:val="0"/>
          <w:numId w:val="9"/>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TDS je povinen předat objednateli bez zbytečného odkladu věci, které za něj převzal při vyřizování záležitostí.</w:t>
      </w:r>
    </w:p>
    <w:p>
      <w:pPr>
        <w:pStyle w:val="Style12"/>
        <w:keepNext w:val="0"/>
        <w:keepLines w:val="0"/>
        <w:widowControl w:val="0"/>
        <w:numPr>
          <w:ilvl w:val="0"/>
          <w:numId w:val="9"/>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Objednatel se zavazuje poskytnout TDS veškeré informace, které jsou nutné k zařízení záležitosti.</w:t>
      </w:r>
    </w:p>
    <w:p>
      <w:pPr>
        <w:pStyle w:val="Style12"/>
        <w:keepNext w:val="0"/>
        <w:keepLines w:val="0"/>
        <w:widowControl w:val="0"/>
        <w:numPr>
          <w:ilvl w:val="0"/>
          <w:numId w:val="9"/>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TDS, který se týká předmětu této smlouvy.</w:t>
      </w:r>
    </w:p>
    <w:p>
      <w:pPr>
        <w:pStyle w:val="Style12"/>
        <w:keepNext w:val="0"/>
        <w:keepLines w:val="0"/>
        <w:widowControl w:val="0"/>
        <w:numPr>
          <w:ilvl w:val="0"/>
          <w:numId w:val="9"/>
        </w:numPr>
        <w:shd w:val="clear" w:color="auto" w:fill="auto"/>
        <w:tabs>
          <w:tab w:pos="552" w:val="left"/>
        </w:tabs>
        <w:bidi w:val="0"/>
        <w:spacing w:before="0" w:after="480" w:line="259" w:lineRule="auto"/>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1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7</w:t>
      </w:r>
    </w:p>
    <w:p>
      <w:pPr>
        <w:pStyle w:val="Style19"/>
        <w:keepNext/>
        <w:keepLines/>
        <w:widowControl w:val="0"/>
        <w:shd w:val="clear" w:color="auto" w:fill="auto"/>
        <w:bidi w:val="0"/>
        <w:spacing w:before="0"/>
        <w:ind w:left="0" w:right="0" w:firstLine="0"/>
        <w:jc w:val="center"/>
      </w:pPr>
      <w:bookmarkStart w:id="22" w:name="bookmark22"/>
      <w:bookmarkStart w:id="23" w:name="bookmark23"/>
      <w:r>
        <w:rPr>
          <w:color w:val="000000"/>
          <w:spacing w:val="0"/>
          <w:w w:val="100"/>
          <w:position w:val="0"/>
          <w:shd w:val="clear" w:color="auto" w:fill="auto"/>
          <w:lang w:val="cs-CZ" w:eastAsia="cs-CZ" w:bidi="cs-CZ"/>
        </w:rPr>
        <w:t>Změna závazku</w:t>
      </w:r>
      <w:bookmarkEnd w:id="22"/>
      <w:bookmarkEnd w:id="23"/>
    </w:p>
    <w:p>
      <w:pPr>
        <w:pStyle w:val="Style12"/>
        <w:keepNext w:val="0"/>
        <w:keepLines w:val="0"/>
        <w:widowControl w:val="0"/>
        <w:numPr>
          <w:ilvl w:val="0"/>
          <w:numId w:val="11"/>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12"/>
        <w:keepNext w:val="0"/>
        <w:keepLines w:val="0"/>
        <w:widowControl w:val="0"/>
        <w:numPr>
          <w:ilvl w:val="0"/>
          <w:numId w:val="11"/>
        </w:numPr>
        <w:shd w:val="clear" w:color="auto" w:fill="auto"/>
        <w:tabs>
          <w:tab w:pos="552" w:val="left"/>
        </w:tabs>
        <w:bidi w:val="0"/>
        <w:spacing w:before="0" w:after="640"/>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1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8</w:t>
      </w:r>
    </w:p>
    <w:p>
      <w:pPr>
        <w:pStyle w:val="Style19"/>
        <w:keepNext/>
        <w:keepLines/>
        <w:widowControl w:val="0"/>
        <w:shd w:val="clear" w:color="auto" w:fill="auto"/>
        <w:bidi w:val="0"/>
        <w:spacing w:before="0"/>
        <w:ind w:left="0" w:right="0" w:firstLine="0"/>
        <w:jc w:val="center"/>
      </w:pPr>
      <w:bookmarkStart w:id="24" w:name="bookmark24"/>
      <w:bookmarkStart w:id="25" w:name="bookmark25"/>
      <w:r>
        <w:rPr>
          <w:color w:val="000000"/>
          <w:spacing w:val="0"/>
          <w:w w:val="100"/>
          <w:position w:val="0"/>
          <w:shd w:val="clear" w:color="auto" w:fill="auto"/>
          <w:lang w:val="cs-CZ" w:eastAsia="cs-CZ" w:bidi="cs-CZ"/>
        </w:rPr>
        <w:t>Sankce</w:t>
      </w:r>
      <w:bookmarkEnd w:id="24"/>
      <w:bookmarkEnd w:id="25"/>
    </w:p>
    <w:p>
      <w:pPr>
        <w:pStyle w:val="Style12"/>
        <w:keepNext w:val="0"/>
        <w:keepLines w:val="0"/>
        <w:widowControl w:val="0"/>
        <w:numPr>
          <w:ilvl w:val="0"/>
          <w:numId w:val="13"/>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pPr>
        <w:pStyle w:val="Style12"/>
        <w:keepNext w:val="0"/>
        <w:keepLines w:val="0"/>
        <w:widowControl w:val="0"/>
        <w:numPr>
          <w:ilvl w:val="0"/>
          <w:numId w:val="13"/>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způsobenou TDS a zjednání nápravy vedoucí k odstranění vady.</w:t>
      </w:r>
    </w:p>
    <w:p>
      <w:pPr>
        <w:pStyle w:val="Style12"/>
        <w:keepNext w:val="0"/>
        <w:keepLines w:val="0"/>
        <w:widowControl w:val="0"/>
        <w:numPr>
          <w:ilvl w:val="0"/>
          <w:numId w:val="13"/>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V případě prodlení objednatele se zaplacením faktur uhradí objednatel TDS smluvní pokutu v zákonné výši za každý den prodlení.</w:t>
      </w:r>
    </w:p>
    <w:p>
      <w:pPr>
        <w:pStyle w:val="Style12"/>
        <w:keepNext w:val="0"/>
        <w:keepLines w:val="0"/>
        <w:widowControl w:val="0"/>
        <w:numPr>
          <w:ilvl w:val="0"/>
          <w:numId w:val="13"/>
        </w:numPr>
        <w:shd w:val="clear" w:color="auto" w:fill="auto"/>
        <w:tabs>
          <w:tab w:pos="552" w:val="left"/>
        </w:tabs>
        <w:bidi w:val="0"/>
        <w:spacing w:before="0"/>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19"/>
        <w:keepNext/>
        <w:keepLines/>
        <w:widowControl w:val="0"/>
        <w:shd w:val="clear" w:color="auto" w:fill="auto"/>
        <w:bidi w:val="0"/>
        <w:spacing w:before="0" w:line="252"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Článek 9</w:t>
        <w:br/>
        <w:t>Odpovědnost za škodu</w:t>
      </w:r>
      <w:bookmarkEnd w:id="26"/>
      <w:bookmarkEnd w:id="27"/>
    </w:p>
    <w:p>
      <w:pPr>
        <w:pStyle w:val="Style12"/>
        <w:keepNext w:val="0"/>
        <w:keepLines w:val="0"/>
        <w:widowControl w:val="0"/>
        <w:numPr>
          <w:ilvl w:val="0"/>
          <w:numId w:val="15"/>
        </w:numPr>
        <w:shd w:val="clear" w:color="auto" w:fill="auto"/>
        <w:tabs>
          <w:tab w:pos="576" w:val="left"/>
        </w:tabs>
        <w:bidi w:val="0"/>
        <w:spacing w:before="0"/>
        <w:ind w:left="0" w:right="0" w:firstLine="0"/>
        <w:jc w:val="both"/>
      </w:pPr>
      <w:r>
        <w:rPr>
          <w:b/>
          <w:bCs/>
          <w:color w:val="000000"/>
          <w:spacing w:val="0"/>
          <w:w w:val="100"/>
          <w:position w:val="0"/>
          <w:shd w:val="clear" w:color="auto" w:fill="auto"/>
          <w:lang w:val="cs-CZ" w:eastAsia="cs-CZ" w:bidi="cs-CZ"/>
        </w:rPr>
        <w:t>TDS odpovídá za škodu, která objednateli vznikne v důsledku vadného plnění, a to v plném rozsahu</w:t>
      </w:r>
      <w:r>
        <w:rPr>
          <w:color w:val="000000"/>
          <w:spacing w:val="0"/>
          <w:w w:val="100"/>
          <w:position w:val="0"/>
          <w:shd w:val="clear" w:color="auto" w:fill="auto"/>
          <w:lang w:val="cs-CZ" w:eastAsia="cs-CZ" w:bidi="cs-CZ"/>
        </w:rPr>
        <w:t>. Za škodu se považuje i újma, která objednateli vznikla tím, že musel vynaložit náklady v důsledku porušení povinností TDS.</w:t>
      </w:r>
    </w:p>
    <w:p>
      <w:pPr>
        <w:pStyle w:val="Style12"/>
        <w:keepNext w:val="0"/>
        <w:keepLines w:val="0"/>
        <w:widowControl w:val="0"/>
        <w:numPr>
          <w:ilvl w:val="0"/>
          <w:numId w:val="15"/>
        </w:numPr>
        <w:shd w:val="clear" w:color="auto" w:fill="auto"/>
        <w:tabs>
          <w:tab w:pos="576" w:val="left"/>
        </w:tabs>
        <w:bidi w:val="0"/>
        <w:spacing w:before="0"/>
        <w:ind w:left="0" w:right="0" w:firstLine="0"/>
        <w:jc w:val="both"/>
      </w:pPr>
      <w:r>
        <w:rPr>
          <w:b/>
          <w:bCs/>
          <w:color w:val="000000"/>
          <w:spacing w:val="0"/>
          <w:w w:val="100"/>
          <w:position w:val="0"/>
          <w:shd w:val="clear" w:color="auto" w:fill="auto"/>
          <w:lang w:val="cs-CZ" w:eastAsia="cs-CZ" w:bidi="cs-CZ"/>
        </w:rPr>
        <w:t>TDS se zavazuje</w:t>
      </w:r>
      <w:r>
        <w:rPr>
          <w:color w:val="000000"/>
          <w:spacing w:val="0"/>
          <w:w w:val="100"/>
          <w:position w:val="0"/>
          <w:shd w:val="clear" w:color="auto" w:fill="auto"/>
          <w:lang w:val="cs-CZ" w:eastAsia="cs-CZ" w:bidi="cs-CZ"/>
        </w:rPr>
        <w:t xml:space="preserve">, 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1.000.000,00Kč</w:t>
      </w:r>
      <w:r>
        <w:rPr>
          <w:color w:val="000000"/>
          <w:spacing w:val="0"/>
          <w:w w:val="100"/>
          <w:position w:val="0"/>
          <w:shd w:val="clear" w:color="auto" w:fill="auto"/>
          <w:lang w:val="cs-CZ" w:eastAsia="cs-CZ" w:bidi="cs-CZ"/>
        </w:rPr>
        <w:t>.</w:t>
      </w:r>
    </w:p>
    <w:p>
      <w:pPr>
        <w:pStyle w:val="Style12"/>
        <w:keepNext w:val="0"/>
        <w:keepLines w:val="0"/>
        <w:widowControl w:val="0"/>
        <w:numPr>
          <w:ilvl w:val="0"/>
          <w:numId w:val="15"/>
        </w:numPr>
        <w:shd w:val="clear" w:color="auto" w:fill="auto"/>
        <w:tabs>
          <w:tab w:pos="576" w:val="left"/>
        </w:tabs>
        <w:bidi w:val="0"/>
        <w:spacing w:before="0" w:after="360"/>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1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10</w:t>
      </w:r>
    </w:p>
    <w:p>
      <w:pPr>
        <w:pStyle w:val="Style19"/>
        <w:keepNext/>
        <w:keepLines/>
        <w:widowControl w:val="0"/>
        <w:shd w:val="clear" w:color="auto" w:fill="auto"/>
        <w:bidi w:val="0"/>
        <w:spacing w:before="0"/>
        <w:ind w:left="0" w:right="0" w:firstLine="0"/>
        <w:jc w:val="center"/>
      </w:pPr>
      <w:bookmarkStart w:id="28" w:name="bookmark28"/>
      <w:bookmarkStart w:id="29" w:name="bookmark29"/>
      <w:r>
        <w:rPr>
          <w:color w:val="000000"/>
          <w:spacing w:val="0"/>
          <w:w w:val="100"/>
          <w:position w:val="0"/>
          <w:shd w:val="clear" w:color="auto" w:fill="auto"/>
          <w:lang w:val="cs-CZ" w:eastAsia="cs-CZ" w:bidi="cs-CZ"/>
        </w:rPr>
        <w:t>Ostatní ujednání, závěrečná ustanovení</w:t>
      </w:r>
      <w:bookmarkEnd w:id="28"/>
      <w:bookmarkEnd w:id="29"/>
    </w:p>
    <w:p>
      <w:pPr>
        <w:pStyle w:val="Style12"/>
        <w:keepNext w:val="0"/>
        <w:keepLines w:val="0"/>
        <w:widowControl w:val="0"/>
        <w:numPr>
          <w:ilvl w:val="0"/>
          <w:numId w:val="17"/>
        </w:numPr>
        <w:shd w:val="clear" w:color="auto" w:fill="auto"/>
        <w:tabs>
          <w:tab w:pos="624" w:val="left"/>
        </w:tabs>
        <w:bidi w:val="0"/>
        <w:spacing w:before="0"/>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12"/>
        <w:keepNext w:val="0"/>
        <w:keepLines w:val="0"/>
        <w:widowControl w:val="0"/>
        <w:numPr>
          <w:ilvl w:val="0"/>
          <w:numId w:val="17"/>
        </w:numPr>
        <w:shd w:val="clear" w:color="auto" w:fill="auto"/>
        <w:tabs>
          <w:tab w:pos="624" w:val="left"/>
        </w:tabs>
        <w:bidi w:val="0"/>
        <w:spacing w:before="0"/>
        <w:ind w:left="0" w:right="0" w:firstLine="0"/>
        <w:jc w:val="both"/>
      </w:pPr>
      <w:r>
        <w:rPr>
          <w:color w:val="000000"/>
          <w:spacing w:val="0"/>
          <w:w w:val="100"/>
          <w:position w:val="0"/>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12"/>
        <w:keepNext w:val="0"/>
        <w:keepLines w:val="0"/>
        <w:widowControl w:val="0"/>
        <w:numPr>
          <w:ilvl w:val="0"/>
          <w:numId w:val="17"/>
        </w:numPr>
        <w:shd w:val="clear" w:color="auto" w:fill="auto"/>
        <w:tabs>
          <w:tab w:pos="624" w:val="left"/>
        </w:tabs>
        <w:bidi w:val="0"/>
        <w:spacing w:before="0"/>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12"/>
        <w:keepNext w:val="0"/>
        <w:keepLines w:val="0"/>
        <w:widowControl w:val="0"/>
        <w:numPr>
          <w:ilvl w:val="0"/>
          <w:numId w:val="17"/>
        </w:numPr>
        <w:shd w:val="clear" w:color="auto" w:fill="auto"/>
        <w:tabs>
          <w:tab w:pos="624" w:val="left"/>
        </w:tabs>
        <w:bidi w:val="0"/>
        <w:spacing w:before="0"/>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12"/>
        <w:keepNext w:val="0"/>
        <w:keepLines w:val="0"/>
        <w:widowControl w:val="0"/>
        <w:numPr>
          <w:ilvl w:val="0"/>
          <w:numId w:val="17"/>
        </w:numPr>
        <w:shd w:val="clear" w:color="auto" w:fill="auto"/>
        <w:tabs>
          <w:tab w:pos="624" w:val="left"/>
        </w:tabs>
        <w:bidi w:val="0"/>
        <w:spacing w:before="0"/>
        <w:ind w:left="0" w:right="0" w:firstLine="0"/>
        <w:jc w:val="both"/>
      </w:pPr>
      <w:r>
        <w:rPr>
          <w:b/>
          <w:bCs/>
          <w:color w:val="000000"/>
          <w:spacing w:val="0"/>
          <w:w w:val="100"/>
          <w:position w:val="0"/>
          <w:shd w:val="clear" w:color="auto" w:fill="auto"/>
          <w:lang w:val="cs-CZ" w:eastAsia="cs-CZ" w:bidi="cs-CZ"/>
        </w:rPr>
        <w:t>Smlouva je uzavírána s odloženou účinností, přičemž tato Smlouva nabývá účinnosti dnem nabytí účinnosti smlouvy o dílo se zhotovitelem stavby.</w:t>
      </w:r>
    </w:p>
    <w:p>
      <w:pPr>
        <w:pStyle w:val="Style12"/>
        <w:keepNext w:val="0"/>
        <w:keepLines w:val="0"/>
        <w:widowControl w:val="0"/>
        <w:numPr>
          <w:ilvl w:val="0"/>
          <w:numId w:val="17"/>
        </w:numPr>
        <w:shd w:val="clear" w:color="auto" w:fill="auto"/>
        <w:tabs>
          <w:tab w:pos="624" w:val="left"/>
        </w:tabs>
        <w:bidi w:val="0"/>
        <w:spacing w:before="0"/>
        <w:ind w:left="0" w:right="0" w:firstLine="0"/>
        <w:jc w:val="both"/>
      </w:pPr>
      <w:r>
        <w:rPr>
          <w:b/>
          <w:bCs/>
          <w:color w:val="000000"/>
          <w:spacing w:val="0"/>
          <w:w w:val="100"/>
          <w:position w:val="0"/>
          <w:shd w:val="clear" w:color="auto" w:fill="auto"/>
          <w:lang w:val="cs-CZ" w:eastAsia="cs-CZ" w:bidi="cs-CZ"/>
        </w:rPr>
        <w:t>Objednatel se zavazuje po nabytí účinnosti dle předchozího odstavce zaslat Zhotoviteli písemnou výzvu k zahájení činnosti.</w:t>
      </w:r>
    </w:p>
    <w:p>
      <w:pPr>
        <w:pStyle w:val="Style12"/>
        <w:keepNext w:val="0"/>
        <w:keepLines w:val="0"/>
        <w:widowControl w:val="0"/>
        <w:numPr>
          <w:ilvl w:val="0"/>
          <w:numId w:val="17"/>
        </w:numPr>
        <w:shd w:val="clear" w:color="auto" w:fill="auto"/>
        <w:tabs>
          <w:tab w:pos="624" w:val="left"/>
        </w:tabs>
        <w:bidi w:val="0"/>
        <w:spacing w:before="0"/>
        <w:ind w:left="0" w:right="0" w:firstLine="0"/>
        <w:jc w:val="both"/>
      </w:pPr>
      <w:r>
        <w:rPr>
          <w:b/>
          <w:bCs/>
          <w:color w:val="000000"/>
          <w:spacing w:val="0"/>
          <w:w w:val="100"/>
          <w:position w:val="0"/>
          <w:shd w:val="clear" w:color="auto" w:fill="auto"/>
          <w:lang w:val="cs-CZ" w:eastAsia="cs-CZ" w:bidi="cs-CZ"/>
        </w:rPr>
        <w:t>Pokud Objednatel Zhotoviteli neodešle písemnou výzvu k zahájení činnosti dle této Smlouvy ani do 31. 8. 2021, nenabude Smlouva účinnosti a bez dalšího tímto dnem pozbude i své platnosti. V takovém případě nevzniká Zhotoviteli nárok na náhradu škody nebo ušlého zisku a s tímto vědomím Zhotovitel Smlouvu podepisuje.</w:t>
      </w:r>
    </w:p>
    <w:p>
      <w:pPr>
        <w:pStyle w:val="Style12"/>
        <w:keepNext w:val="0"/>
        <w:keepLines w:val="0"/>
        <w:widowControl w:val="0"/>
        <w:numPr>
          <w:ilvl w:val="0"/>
          <w:numId w:val="17"/>
        </w:numPr>
        <w:shd w:val="clear" w:color="auto" w:fill="auto"/>
        <w:tabs>
          <w:tab w:pos="624" w:val="left"/>
        </w:tabs>
        <w:bidi w:val="0"/>
        <w:spacing w:before="0"/>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12"/>
        <w:keepNext w:val="0"/>
        <w:keepLines w:val="0"/>
        <w:widowControl w:val="0"/>
        <w:numPr>
          <w:ilvl w:val="0"/>
          <w:numId w:val="17"/>
        </w:numPr>
        <w:shd w:val="clear" w:color="auto" w:fill="auto"/>
        <w:tabs>
          <w:tab w:pos="624" w:val="left"/>
        </w:tabs>
        <w:bidi w:val="0"/>
        <w:spacing w:before="0"/>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r>
        <w:br w:type="page"/>
      </w:r>
    </w:p>
    <w:p>
      <w:pPr>
        <w:pStyle w:val="Style12"/>
        <w:keepNext w:val="0"/>
        <w:keepLines w:val="0"/>
        <w:widowControl w:val="0"/>
        <w:numPr>
          <w:ilvl w:val="0"/>
          <w:numId w:val="17"/>
        </w:numPr>
        <w:shd w:val="clear" w:color="auto" w:fill="auto"/>
        <w:tabs>
          <w:tab w:pos="770" w:val="left"/>
        </w:tabs>
        <w:bidi w:val="0"/>
        <w:spacing w:before="0"/>
        <w:ind w:left="0" w:right="0" w:firstLine="0"/>
        <w:jc w:val="left"/>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12"/>
        <w:keepNext w:val="0"/>
        <w:keepLines w:val="0"/>
        <w:widowControl w:val="0"/>
        <w:numPr>
          <w:ilvl w:val="0"/>
          <w:numId w:val="17"/>
        </w:numPr>
        <w:shd w:val="clear" w:color="auto" w:fill="auto"/>
        <w:tabs>
          <w:tab w:pos="770" w:val="left"/>
        </w:tabs>
        <w:bidi w:val="0"/>
        <w:spacing w:before="0" w:line="252" w:lineRule="auto"/>
        <w:ind w:left="0" w:right="0" w:firstLine="0"/>
        <w:jc w:val="left"/>
      </w:pPr>
      <w:r>
        <w:rPr>
          <w:color w:val="000000"/>
          <w:spacing w:val="0"/>
          <w:w w:val="100"/>
          <w:position w:val="0"/>
          <w:shd w:val="clear" w:color="auto" w:fill="auto"/>
          <w:lang w:val="cs-CZ" w:eastAsia="cs-CZ" w:bidi="cs-CZ"/>
        </w:rPr>
        <w:t xml:space="preserve">Smlouva je vyhotovena v </w:t>
      </w:r>
      <w:r>
        <w:rPr>
          <w:b/>
          <w:bCs/>
          <w:color w:val="000000"/>
          <w:spacing w:val="0"/>
          <w:w w:val="100"/>
          <w:position w:val="0"/>
          <w:shd w:val="clear" w:color="auto" w:fill="auto"/>
          <w:lang w:val="cs-CZ" w:eastAsia="cs-CZ" w:bidi="cs-CZ"/>
        </w:rPr>
        <w:t>elektronické podobě</w:t>
      </w:r>
      <w:r>
        <w:rPr>
          <w:color w:val="000000"/>
          <w:spacing w:val="0"/>
          <w:w w:val="100"/>
          <w:position w:val="0"/>
          <w:shd w:val="clear" w:color="auto" w:fill="auto"/>
          <w:lang w:val="cs-CZ" w:eastAsia="cs-CZ" w:bidi="cs-CZ"/>
        </w:rPr>
        <w:t xml:space="preserve">, přičemž </w:t>
      </w:r>
      <w:r>
        <w:rPr>
          <w:b/>
          <w:bCs/>
          <w:color w:val="000000"/>
          <w:spacing w:val="0"/>
          <w:w w:val="100"/>
          <w:position w:val="0"/>
          <w:shd w:val="clear" w:color="auto" w:fill="auto"/>
          <w:lang w:val="cs-CZ" w:eastAsia="cs-CZ" w:bidi="cs-CZ"/>
        </w:rPr>
        <w:t xml:space="preserve">obě </w:t>
      </w:r>
      <w:r>
        <w:rPr>
          <w:color w:val="000000"/>
          <w:spacing w:val="0"/>
          <w:w w:val="100"/>
          <w:position w:val="0"/>
          <w:shd w:val="clear" w:color="auto" w:fill="auto"/>
          <w:lang w:val="cs-CZ" w:eastAsia="cs-CZ" w:bidi="cs-CZ"/>
        </w:rPr>
        <w:t xml:space="preserve">smluvní strany obdrží </w:t>
      </w:r>
      <w:r>
        <w:rPr>
          <w:b/>
          <w:bCs/>
          <w:color w:val="000000"/>
          <w:spacing w:val="0"/>
          <w:w w:val="100"/>
          <w:position w:val="0"/>
          <w:shd w:val="clear" w:color="auto" w:fill="auto"/>
          <w:lang w:val="cs-CZ" w:eastAsia="cs-CZ" w:bidi="cs-CZ"/>
        </w:rPr>
        <w:t xml:space="preserve">jeden </w:t>
      </w:r>
      <w:r>
        <w:rPr>
          <w:color w:val="000000"/>
          <w:spacing w:val="0"/>
          <w:w w:val="100"/>
          <w:position w:val="0"/>
          <w:shd w:val="clear" w:color="auto" w:fill="auto"/>
          <w:lang w:val="cs-CZ" w:eastAsia="cs-CZ" w:bidi="cs-CZ"/>
        </w:rPr>
        <w:t>elektronický originál.</w:t>
      </w:r>
    </w:p>
    <w:p>
      <w:pPr>
        <w:pStyle w:val="Style12"/>
        <w:keepNext w:val="0"/>
        <w:keepLines w:val="0"/>
        <w:widowControl w:val="0"/>
        <w:numPr>
          <w:ilvl w:val="0"/>
          <w:numId w:val="17"/>
        </w:numPr>
        <w:shd w:val="clear" w:color="auto" w:fill="auto"/>
        <w:tabs>
          <w:tab w:pos="770" w:val="left"/>
        </w:tabs>
        <w:bidi w:val="0"/>
        <w:spacing w:before="0"/>
        <w:ind w:left="0" w:right="0" w:firstLine="0"/>
        <w:jc w:val="left"/>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12"/>
        <w:keepNext w:val="0"/>
        <w:keepLines w:val="0"/>
        <w:widowControl w:val="0"/>
        <w:numPr>
          <w:ilvl w:val="0"/>
          <w:numId w:val="17"/>
        </w:numPr>
        <w:shd w:val="clear" w:color="auto" w:fill="auto"/>
        <w:tabs>
          <w:tab w:pos="770" w:val="left"/>
        </w:tabs>
        <w:bidi w:val="0"/>
        <w:spacing w:before="0"/>
        <w:ind w:left="0" w:right="0" w:firstLine="0"/>
        <w:jc w:val="left"/>
      </w:pPr>
      <w:r>
        <w:rPr>
          <w:color w:val="000000"/>
          <w:spacing w:val="0"/>
          <w:w w:val="100"/>
          <w:position w:val="0"/>
          <w:shd w:val="clear" w:color="auto" w:fill="auto"/>
          <w:lang w:val="cs-CZ" w:eastAsia="cs-CZ" w:bidi="cs-CZ"/>
        </w:rPr>
        <w:t>Tato smlouva nabývá platnosti dnem připojení platného uznávaného elektronického podpisu dle zákona č. 297/2016 Sb. o službách vytvářejících důvěru pro elektronické transakce, ve znění pozdějších předpisů, do této smlouvy a jejích jednotlivých příloh, oprávněnými zástupci obou smluvních stran a účinnosti dle čl. 10.5. této smlouvy.</w:t>
      </w:r>
    </w:p>
    <w:p>
      <w:pPr>
        <w:pStyle w:val="Style12"/>
        <w:keepNext w:val="0"/>
        <w:keepLines w:val="0"/>
        <w:widowControl w:val="0"/>
        <w:numPr>
          <w:ilvl w:val="0"/>
          <w:numId w:val="17"/>
        </w:numPr>
        <w:shd w:val="clear" w:color="auto" w:fill="auto"/>
        <w:tabs>
          <w:tab w:pos="770" w:val="left"/>
        </w:tabs>
        <w:bidi w:val="0"/>
        <w:spacing w:before="0"/>
        <w:ind w:left="0" w:right="0" w:firstLine="0"/>
        <w:jc w:val="left"/>
      </w:pPr>
      <w:r>
        <w:rPr>
          <w:color w:val="000000"/>
          <w:spacing w:val="0"/>
          <w:w w:val="100"/>
          <w:position w:val="0"/>
          <w:shd w:val="clear" w:color="auto" w:fill="auto"/>
          <w:lang w:val="cs-CZ" w:eastAsia="cs-CZ" w:bidi="cs-CZ"/>
        </w:rPr>
        <w:t>Smluvní strany se dohodly, že zákonnou povinnost dle § 5 odst. 2 zákona č. 340/2015 Sb., o zvláštních podmínkách účinnosti některých smluv, uveřejňování těchto smluv a o registru smluv (zákon o registru smluv) v platném znění, splní objednatel.</w:t>
      </w:r>
    </w:p>
    <w:p>
      <w:pPr>
        <w:pStyle w:val="Style12"/>
        <w:keepNext w:val="0"/>
        <w:keepLines w:val="0"/>
        <w:widowControl w:val="0"/>
        <w:numPr>
          <w:ilvl w:val="0"/>
          <w:numId w:val="17"/>
        </w:numPr>
        <w:shd w:val="clear" w:color="auto" w:fill="auto"/>
        <w:tabs>
          <w:tab w:pos="770" w:val="left"/>
        </w:tabs>
        <w:bidi w:val="0"/>
        <w:spacing w:before="0" w:after="500"/>
        <w:ind w:left="0" w:right="0" w:firstLine="0"/>
        <w:jc w:val="left"/>
      </w:pPr>
      <w:r>
        <w:rPr>
          <w:color w:val="000000"/>
          <w:spacing w:val="0"/>
          <w:w w:val="100"/>
          <w:position w:val="0"/>
          <w:shd w:val="clear" w:color="auto" w:fill="auto"/>
          <w:lang w:val="cs-CZ" w:eastAsia="cs-CZ" w:bidi="cs-CZ"/>
        </w:rPr>
        <w:t>Na důkaz svého souhlasu s obsahem této smlouvy k ní smluvní strany připojují své uznávané elektronické podpisy dle zákona č. 297/2016 Sb. o službách vytvářejících důvěru pro elektronické transakce, ve znění pozdějších předpisů.</w:t>
      </w:r>
    </w:p>
    <w:p>
      <w:pPr>
        <w:pStyle w:val="Style1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Přílohy:</w:t>
      </w:r>
    </w:p>
    <w:p>
      <w:pPr>
        <w:pStyle w:val="Style12"/>
        <w:keepNext w:val="0"/>
        <w:keepLines w:val="0"/>
        <w:widowControl w:val="0"/>
        <w:shd w:val="clear" w:color="auto" w:fill="auto"/>
        <w:bidi w:val="0"/>
        <w:spacing w:before="0" w:after="640"/>
        <w:ind w:left="0" w:right="0" w:firstLine="0"/>
        <w:jc w:val="left"/>
      </w:pPr>
      <w:r>
        <w:rPr>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1 - Kalkulace odměny TDS</w:t>
      </w:r>
    </w:p>
    <w:p>
      <w:pPr>
        <w:pStyle w:val="Style12"/>
        <w:keepNext w:val="0"/>
        <w:keepLines w:val="0"/>
        <w:widowControl w:val="0"/>
        <w:shd w:val="clear" w:color="auto" w:fill="auto"/>
        <w:bidi w:val="0"/>
        <w:spacing w:before="0" w:after="500" w:line="240" w:lineRule="auto"/>
        <w:ind w:left="3360" w:right="0" w:firstLine="0"/>
        <w:jc w:val="left"/>
      </w:pPr>
      <w:r>
        <mc:AlternateContent>
          <mc:Choice Requires="wps">
            <w:drawing>
              <wp:anchor distT="0" distB="490855" distL="114300" distR="559435" simplePos="0" relativeHeight="125829384" behindDoc="0" locked="0" layoutInCell="1" allowOverlap="1">
                <wp:simplePos x="0" y="0"/>
                <wp:positionH relativeFrom="page">
                  <wp:posOffset>624205</wp:posOffset>
                </wp:positionH>
                <wp:positionV relativeFrom="paragraph">
                  <wp:posOffset>12700</wp:posOffset>
                </wp:positionV>
                <wp:extent cx="368935" cy="186055"/>
                <wp:wrapSquare wrapText="right"/>
                <wp:docPr id="14" name="Shape 14"/>
                <a:graphic xmlns:a="http://schemas.openxmlformats.org/drawingml/2006/main">
                  <a:graphicData uri="http://schemas.microsoft.com/office/word/2010/wordprocessingShape">
                    <wps:wsp>
                      <wps:cNvSpPr txBox="1"/>
                      <wps:spPr>
                        <a:xfrm>
                          <a:ext cx="368935" cy="18605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TDS:</w:t>
                            </w:r>
                          </w:p>
                        </w:txbxContent>
                      </wps:txbx>
                      <wps:bodyPr wrap="none" lIns="0" tIns="0" rIns="0" bIns="0">
                        <a:noAutoFit/>
                      </wps:bodyPr>
                    </wps:wsp>
                  </a:graphicData>
                </a:graphic>
              </wp:anchor>
            </w:drawing>
          </mc:Choice>
          <mc:Fallback>
            <w:pict>
              <v:shape id="_x0000_s1040" type="#_x0000_t202" style="position:absolute;margin-left:49.149999999999999pt;margin-top:1.pt;width:29.050000000000001pt;height:14.65pt;z-index:-125829369;mso-wrap-distance-left:9.pt;mso-wrap-distance-right:44.049999999999997pt;mso-wrap-distance-bottom:38.64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TDS:</w:t>
                      </w:r>
                    </w:p>
                  </w:txbxContent>
                </v:textbox>
                <w10:wrap type="square" side="right" anchorx="page"/>
              </v:shape>
            </w:pict>
          </mc:Fallback>
        </mc:AlternateContent>
      </w:r>
      <w:r>
        <mc:AlternateContent>
          <mc:Choice Requires="wps">
            <w:drawing>
              <wp:anchor distT="490855" distB="0" distL="114300" distR="114300" simplePos="0" relativeHeight="125829386" behindDoc="0" locked="0" layoutInCell="1" allowOverlap="1">
                <wp:simplePos x="0" y="0"/>
                <wp:positionH relativeFrom="page">
                  <wp:posOffset>624205</wp:posOffset>
                </wp:positionH>
                <wp:positionV relativeFrom="paragraph">
                  <wp:posOffset>503555</wp:posOffset>
                </wp:positionV>
                <wp:extent cx="814070" cy="186055"/>
                <wp:wrapSquare wrapText="right"/>
                <wp:docPr id="16" name="Shape 16"/>
                <a:graphic xmlns:a="http://schemas.openxmlformats.org/drawingml/2006/main">
                  <a:graphicData uri="http://schemas.microsoft.com/office/word/2010/wordprocessingShape">
                    <wps:wsp>
                      <wps:cNvSpPr txBox="1"/>
                      <wps:spPr>
                        <a:xfrm>
                          <a:ext cx="814070" cy="18605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wps:txbx>
                      <wps:bodyPr wrap="none" lIns="0" tIns="0" rIns="0" bIns="0">
                        <a:noAutoFit/>
                      </wps:bodyPr>
                    </wps:wsp>
                  </a:graphicData>
                </a:graphic>
              </wp:anchor>
            </w:drawing>
          </mc:Choice>
          <mc:Fallback>
            <w:pict>
              <v:shape id="_x0000_s1042" type="#_x0000_t202" style="position:absolute;margin-left:49.149999999999999pt;margin-top:39.649999999999999pt;width:64.099999999999994pt;height:14.65pt;z-index:-125829367;mso-wrap-distance-left:9.pt;mso-wrap-distance-top:38.64999999999999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square" side="right" anchorx="page"/>
              </v:shape>
            </w:pict>
          </mc:Fallback>
        </mc:AlternateContent>
      </w:r>
      <w:r>
        <w:rPr>
          <w:color w:val="000000"/>
          <w:spacing w:val="0"/>
          <w:w w:val="100"/>
          <w:position w:val="0"/>
          <w:shd w:val="clear" w:color="auto" w:fill="auto"/>
          <w:lang w:val="cs-CZ" w:eastAsia="cs-CZ" w:bidi="cs-CZ"/>
        </w:rPr>
        <w:t>Objednatel:</w:t>
      </w:r>
    </w:p>
    <w:p>
      <w:pPr>
        <w:pStyle w:val="Style12"/>
        <w:keepNext w:val="0"/>
        <w:keepLines w:val="0"/>
        <w:widowControl w:val="0"/>
        <w:shd w:val="clear" w:color="auto" w:fill="auto"/>
        <w:bidi w:val="0"/>
        <w:spacing w:before="0" w:after="1660" w:line="240" w:lineRule="auto"/>
        <w:ind w:left="3360" w:right="0" w:firstLine="0"/>
        <w:jc w:val="left"/>
      </w:pPr>
      <w:r>
        <mc:AlternateContent>
          <mc:Choice Requires="wps">
            <w:drawing>
              <wp:anchor distT="0" distB="0" distL="12700" distR="12700" simplePos="0" relativeHeight="125829388" behindDoc="0" locked="0" layoutInCell="1" allowOverlap="1">
                <wp:simplePos x="0" y="0"/>
                <wp:positionH relativeFrom="page">
                  <wp:posOffset>4623435</wp:posOffset>
                </wp:positionH>
                <wp:positionV relativeFrom="paragraph">
                  <wp:posOffset>1219200</wp:posOffset>
                </wp:positionV>
                <wp:extent cx="1234440" cy="365760"/>
                <wp:wrapSquare wrapText="left"/>
                <wp:docPr id="18" name="Shape 18"/>
                <a:graphic xmlns:a="http://schemas.openxmlformats.org/drawingml/2006/main">
                  <a:graphicData uri="http://schemas.microsoft.com/office/word/2010/wordprocessingShape">
                    <wps:wsp>
                      <wps:cNvSpPr txBox="1"/>
                      <wps:spPr>
                        <a:xfrm>
                          <a:ext cx="1234440" cy="365760"/>
                        </a:xfrm>
                        <a:prstGeom prst="rect"/>
                        <a:noFill/>
                      </wps:spPr>
                      <wps:txbx>
                        <w:txbxContent>
                          <w:p>
                            <w:pPr>
                              <w:pStyle w:val="Style1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Ing. Radovan Necid</w:t>
                              <w:br/>
                              <w:t>ředitel organizace</w:t>
                            </w:r>
                          </w:p>
                        </w:txbxContent>
                      </wps:txbx>
                      <wps:bodyPr lIns="0" tIns="0" rIns="0" bIns="0">
                        <a:noAutoFit/>
                      </wps:bodyPr>
                    </wps:wsp>
                  </a:graphicData>
                </a:graphic>
              </wp:anchor>
            </w:drawing>
          </mc:Choice>
          <mc:Fallback>
            <w:pict>
              <v:shape id="_x0000_s1044" type="#_x0000_t202" style="position:absolute;margin-left:364.05000000000001pt;margin-top:96.pt;width:97.200000000000003pt;height:28.800000000000001pt;z-index:-125829365;mso-wrap-distance-left:1.pt;mso-wrap-distance-right:1.pt;mso-position-horizontal-relative:page" filled="f" stroked="f">
                <v:textbox inset="0,0,0,0">
                  <w:txbxContent>
                    <w:p>
                      <w:pPr>
                        <w:pStyle w:val="Style1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Ing. Radovan Necid</w:t>
                        <w:br/>
                        <w:t>ředitel organizace</w:t>
                      </w:r>
                    </w:p>
                  </w:txbxContent>
                </v:textbox>
                <w10:wrap type="square" side="left" anchorx="page"/>
              </v:shape>
            </w:pict>
          </mc:Fallback>
        </mc:AlternateContent>
      </w:r>
      <w:r>
        <w:rPr>
          <w:color w:val="000000"/>
          <w:spacing w:val="0"/>
          <w:w w:val="100"/>
          <w:position w:val="0"/>
          <w:shd w:val="clear" w:color="auto" w:fill="auto"/>
          <w:lang w:val="cs-CZ" w:eastAsia="cs-CZ" w:bidi="cs-CZ"/>
        </w:rPr>
        <w:t>V Jihlavě dne:</w:t>
      </w:r>
    </w:p>
    <w:p>
      <w:pPr>
        <w:pStyle w:val="Style12"/>
        <w:keepNext w:val="0"/>
        <w:keepLines w:val="0"/>
        <w:widowControl w:val="0"/>
        <w:shd w:val="clear" w:color="auto" w:fill="auto"/>
        <w:bidi w:val="0"/>
        <w:spacing w:before="0" w:line="257" w:lineRule="auto"/>
        <w:ind w:left="0" w:right="0" w:firstLine="0"/>
        <w:jc w:val="center"/>
        <w:sectPr>
          <w:footnotePr>
            <w:pos w:val="pageBottom"/>
            <w:numFmt w:val="decimal"/>
            <w:numRestart w:val="continuous"/>
          </w:footnotePr>
          <w:type w:val="continuous"/>
          <w:pgSz w:w="11900" w:h="16840"/>
          <w:pgMar w:top="1129" w:left="873" w:right="645" w:bottom="1750" w:header="701" w:footer="3" w:gutter="0"/>
          <w:cols w:space="720"/>
          <w:noEndnote/>
          <w:rtlGutter w:val="0"/>
          <w:docGrid w:linePitch="360"/>
        </w:sectPr>
      </w:pPr>
      <w:r>
        <w:rPr>
          <w:color w:val="000000"/>
          <w:spacing w:val="0"/>
          <w:w w:val="100"/>
          <w:position w:val="0"/>
          <w:shd w:val="clear" w:color="auto" w:fill="auto"/>
          <w:lang w:val="cs-CZ" w:eastAsia="cs-CZ" w:bidi="cs-CZ"/>
        </w:rPr>
        <w:t>Ing. František Benč, Ph.D.</w:t>
        <w:br/>
        <w:t>jednatel společnosti</w:t>
        <w:br/>
        <w:t>IBR Consulting, s.r.o.</w:t>
      </w:r>
    </w:p>
    <w:tbl>
      <w:tblPr>
        <w:tblOverlap w:val="never"/>
        <w:jc w:val="left"/>
        <w:tblLayout w:type="fixed"/>
      </w:tblPr>
      <w:tblGrid>
        <w:gridCol w:w="547"/>
        <w:gridCol w:w="5822"/>
        <w:gridCol w:w="1512"/>
        <w:gridCol w:w="1637"/>
      </w:tblGrid>
      <w:tr>
        <w:trPr>
          <w:trHeight w:val="480" w:hRule="exact"/>
        </w:trPr>
        <w:tc>
          <w:tcPr>
            <w:gridSpan w:val="4"/>
            <w:tcBorders>
              <w:top w:val="single" w:sz="4"/>
              <w:left w:val="single" w:sz="4"/>
              <w:righ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8"/>
                <w:szCs w:val="18"/>
                <w:shd w:val="clear" w:color="auto" w:fill="auto"/>
                <w:lang w:val="cs-CZ" w:eastAsia="cs-CZ" w:bidi="cs-CZ"/>
              </w:rPr>
              <w:t xml:space="preserve">Příloha č. 1 </w:t>
            </w:r>
            <w:r>
              <w:rPr>
                <w:color w:val="000000"/>
                <w:spacing w:val="0"/>
                <w:w w:val="100"/>
                <w:position w:val="0"/>
                <w:sz w:val="16"/>
                <w:szCs w:val="16"/>
                <w:shd w:val="clear" w:color="auto" w:fill="auto"/>
                <w:lang w:val="cs-CZ" w:eastAsia="cs-CZ" w:bidi="cs-CZ"/>
              </w:rPr>
              <w:t>-</w:t>
            </w:r>
          </w:p>
        </w:tc>
      </w:tr>
      <w:tr>
        <w:trPr>
          <w:trHeight w:val="533" w:hRule="exact"/>
        </w:trPr>
        <w:tc>
          <w:tcPr>
            <w:gridSpan w:val="4"/>
            <w:tcBorders>
              <w:top w:val="single" w:sz="4"/>
              <w:left w:val="single" w:sz="4"/>
              <w:right w:val="single" w:sz="4"/>
            </w:tcBorders>
            <w:shd w:val="clear" w:color="auto" w:fill="FFFFFF"/>
            <w:vAlign w:val="bottom"/>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shd w:val="clear" w:color="auto" w:fill="auto"/>
                <w:lang w:val="cs-CZ" w:eastAsia="cs-CZ" w:bidi="cs-CZ"/>
              </w:rPr>
              <w:t>Kalkulace odměny TDS</w:t>
            </w:r>
          </w:p>
        </w:tc>
      </w:tr>
      <w:tr>
        <w:trPr>
          <w:trHeight w:val="370" w:hRule="exact"/>
        </w:trPr>
        <w:tc>
          <w:tcPr>
            <w:gridSpan w:val="4"/>
            <w:tcBorders>
              <w:top w:val="single" w:sz="4"/>
              <w:left w:val="single" w:sz="4"/>
              <w:right w:val="single" w:sz="4"/>
            </w:tcBorders>
            <w:shd w:val="clear" w:color="auto" w:fill="FFFFFF"/>
            <w:vAlign w:val="bottom"/>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akce: "III/3793 Březské - most ev. č. 3793-2"</w:t>
            </w:r>
          </w:p>
        </w:tc>
      </w:tr>
      <w:tr>
        <w:trPr>
          <w:trHeight w:val="350" w:hRule="exact"/>
        </w:trPr>
        <w:tc>
          <w:tcPr>
            <w:vMerge w:val="restart"/>
            <w:tcBorders>
              <w:top w:val="single" w:sz="4"/>
              <w:lef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180"/>
              <w:jc w:val="both"/>
              <w:rPr>
                <w:sz w:val="18"/>
                <w:szCs w:val="18"/>
              </w:rPr>
            </w:pPr>
            <w:r>
              <w:rPr>
                <w:color w:val="000000"/>
                <w:spacing w:val="0"/>
                <w:w w:val="100"/>
                <w:position w:val="0"/>
                <w:sz w:val="18"/>
                <w:szCs w:val="18"/>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Cena v Kč bez DPH</w:t>
            </w:r>
          </w:p>
        </w:tc>
      </w:tr>
      <w:tr>
        <w:trPr>
          <w:trHeight w:val="346" w:hRule="exact"/>
        </w:trPr>
        <w:tc>
          <w:tcPr>
            <w:vMerge/>
            <w:tcBorders>
              <w:left w:val="single" w:sz="4"/>
            </w:tcBorders>
            <w:shd w:val="clear" w:color="auto" w:fill="FFFFFF"/>
            <w:vAlign w:val="center"/>
          </w:tcPr>
          <w:p>
            <w:pPr>
              <w:framePr w:w="9518" w:h="9667" w:hSpace="864" w:vSpace="293" w:wrap="notBeside" w:vAnchor="text" w:hAnchor="text" w:y="1"/>
            </w:pPr>
          </w:p>
        </w:tc>
        <w:tc>
          <w:tcPr>
            <w:vMerge/>
            <w:tcBorders>
              <w:left w:val="single" w:sz="4"/>
            </w:tcBorders>
            <w:shd w:val="clear" w:color="auto" w:fill="FFFFFF"/>
            <w:vAlign w:val="center"/>
          </w:tcPr>
          <w:p>
            <w:pPr>
              <w:framePr w:w="9518" w:h="9667" w:hSpace="864" w:vSpace="293" w:wrap="notBeside" w:vAnchor="text" w:hAnchor="text" w:y="1"/>
            </w:pPr>
          </w:p>
        </w:tc>
        <w:tc>
          <w:tcPr>
            <w:tcBorders>
              <w:top w:val="single" w:sz="4"/>
              <w:left w:val="single" w:sz="4"/>
            </w:tcBorders>
            <w:shd w:val="clear" w:color="auto" w:fill="FFFFFF"/>
            <w:vAlign w:val="bottom"/>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center"/>
              <w:rPr>
                <w:sz w:val="17"/>
                <w:szCs w:val="17"/>
              </w:rPr>
            </w:pPr>
            <w:r>
              <w:rPr>
                <w:i/>
                <w:iCs/>
                <w:color w:val="000000"/>
                <w:spacing w:val="0"/>
                <w:w w:val="100"/>
                <w:position w:val="0"/>
                <w:sz w:val="17"/>
                <w:szCs w:val="17"/>
                <w:shd w:val="clear" w:color="auto" w:fill="auto"/>
                <w:lang w:val="cs-CZ" w:eastAsia="cs-CZ" w:bidi="cs-CZ"/>
              </w:rPr>
              <w:t>x</w:t>
            </w:r>
          </w:p>
        </w:tc>
        <w:tc>
          <w:tcPr>
            <w:tcBorders>
              <w:top w:val="single" w:sz="4"/>
              <w:left w:val="single" w:sz="4"/>
              <w:right w:val="single" w:sz="4"/>
            </w:tcBorders>
            <w:shd w:val="clear" w:color="auto" w:fill="FFFFFF"/>
            <w:vAlign w:val="bottom"/>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center"/>
              <w:rPr>
                <w:sz w:val="17"/>
                <w:szCs w:val="17"/>
              </w:rPr>
            </w:pPr>
            <w:r>
              <w:rPr>
                <w:i/>
                <w:iCs/>
                <w:color w:val="000000"/>
                <w:spacing w:val="0"/>
                <w:w w:val="100"/>
                <w:position w:val="0"/>
                <w:sz w:val="17"/>
                <w:szCs w:val="17"/>
                <w:shd w:val="clear" w:color="auto" w:fill="auto"/>
                <w:lang w:val="cs-CZ" w:eastAsia="cs-CZ" w:bidi="cs-CZ"/>
              </w:rPr>
              <w:t>celkem</w:t>
            </w:r>
          </w:p>
        </w:tc>
      </w:tr>
      <w:tr>
        <w:trPr>
          <w:trHeight w:val="461" w:hRule="exact"/>
        </w:trPr>
        <w:tc>
          <w:tcPr>
            <w:gridSpan w:val="4"/>
            <w:tcBorders>
              <w:top w:val="single" w:sz="4"/>
              <w:left w:val="single" w:sz="4"/>
              <w:right w:val="single" w:sz="4"/>
            </w:tcBorders>
            <w:shd w:val="clear" w:color="auto" w:fill="D8E4BD"/>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A. Výkon TDS - práce před zahájením a po dokončení stavby</w:t>
            </w:r>
          </w:p>
        </w:tc>
      </w:tr>
      <w:tr>
        <w:trPr>
          <w:trHeight w:val="730" w:hRule="exact"/>
        </w:trPr>
        <w:tc>
          <w:tcPr>
            <w:tcBorders>
              <w:top w:val="single" w:sz="4"/>
              <w:lef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1.</w:t>
            </w:r>
          </w:p>
        </w:tc>
        <w:tc>
          <w:tcPr>
            <w:tcBorders>
              <w:top w:val="single" w:sz="4"/>
              <w:left w:val="single" w:sz="4"/>
            </w:tcBorders>
            <w:shd w:val="clear" w:color="auto" w:fill="FFFFFF"/>
            <w:vAlign w:val="bottom"/>
          </w:tcPr>
          <w:p>
            <w:pPr>
              <w:pStyle w:val="Style6"/>
              <w:keepNext w:val="0"/>
              <w:keepLines w:val="0"/>
              <w:framePr w:w="9518" w:h="9667" w:hSpace="864" w:vSpace="293" w:wrap="notBeside" w:vAnchor="text" w:hAnchor="text" w:y="1"/>
              <w:widowControl w:val="0"/>
              <w:shd w:val="clear" w:color="auto" w:fill="auto"/>
              <w:bidi w:val="0"/>
              <w:spacing w:before="0" w:after="0" w:line="262" w:lineRule="auto"/>
              <w:ind w:left="0" w:right="0" w:firstLine="0"/>
              <w:jc w:val="left"/>
              <w:rPr>
                <w:sz w:val="18"/>
                <w:szCs w:val="18"/>
              </w:rPr>
            </w:pPr>
            <w:r>
              <w:rPr>
                <w:color w:val="000000"/>
                <w:spacing w:val="0"/>
                <w:w w:val="100"/>
                <w:position w:val="0"/>
                <w:sz w:val="18"/>
                <w:szCs w:val="18"/>
                <w:shd w:val="clear" w:color="auto" w:fill="auto"/>
                <w:lang w:val="cs-CZ" w:eastAsia="cs-CZ" w:bidi="cs-CZ"/>
              </w:rPr>
              <w:t>Cena za práci před zahájením stavby</w:t>
            </w:r>
          </w:p>
          <w:p>
            <w:pPr>
              <w:pStyle w:val="Style6"/>
              <w:keepNext w:val="0"/>
              <w:keepLines w:val="0"/>
              <w:framePr w:w="9518" w:h="9667" w:hSpace="864" w:vSpace="293" w:wrap="notBeside" w:vAnchor="text" w:hAnchor="text" w:y="1"/>
              <w:widowControl w:val="0"/>
              <w:shd w:val="clear" w:color="auto" w:fill="auto"/>
              <w:bidi w:val="0"/>
              <w:spacing w:before="0" w:after="0" w:line="276"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Účastník uvede nabídkovou cenu TDS za práce spojené se zahájením stavby, dle specifikace v čl. 3.1 Smlouvy.</w:t>
            </w:r>
          </w:p>
        </w:tc>
        <w:tc>
          <w:tcPr>
            <w:tcBorders>
              <w:top w:val="single" w:sz="4"/>
              <w:left w:val="single" w:sz="4"/>
            </w:tcBorders>
            <w:shd w:val="clear" w:color="auto" w:fill="FFFFFF"/>
            <w:vAlign w:val="bottom"/>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10000</w:t>
            </w:r>
          </w:p>
        </w:tc>
        <w:tc>
          <w:tcPr>
            <w:tcBorders>
              <w:top w:val="single" w:sz="4"/>
              <w:left w:val="single" w:sz="4"/>
              <w:righ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560"/>
              <w:jc w:val="left"/>
              <w:rPr>
                <w:sz w:val="16"/>
                <w:szCs w:val="16"/>
              </w:rPr>
            </w:pPr>
            <w:r>
              <w:rPr>
                <w:color w:val="000000"/>
                <w:spacing w:val="0"/>
                <w:w w:val="100"/>
                <w:position w:val="0"/>
                <w:sz w:val="16"/>
                <w:szCs w:val="16"/>
                <w:shd w:val="clear" w:color="auto" w:fill="auto"/>
                <w:lang w:val="cs-CZ" w:eastAsia="cs-CZ" w:bidi="cs-CZ"/>
              </w:rPr>
              <w:t>10 000,00 Kč</w:t>
            </w:r>
          </w:p>
        </w:tc>
      </w:tr>
      <w:tr>
        <w:trPr>
          <w:trHeight w:val="749" w:hRule="exact"/>
        </w:trPr>
        <w:tc>
          <w:tcPr>
            <w:tcBorders>
              <w:top w:val="single" w:sz="4"/>
              <w:lef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2.</w:t>
            </w:r>
          </w:p>
        </w:tc>
        <w:tc>
          <w:tcPr>
            <w:tcBorders>
              <w:top w:val="single" w:sz="4"/>
              <w:left w:val="single" w:sz="4"/>
            </w:tcBorders>
            <w:shd w:val="clear" w:color="auto" w:fill="FFFFFF"/>
            <w:vAlign w:val="bottom"/>
          </w:tcPr>
          <w:p>
            <w:pPr>
              <w:pStyle w:val="Style6"/>
              <w:keepNext w:val="0"/>
              <w:keepLines w:val="0"/>
              <w:framePr w:w="9518" w:h="9667" w:hSpace="864" w:vSpace="293" w:wrap="notBeside" w:vAnchor="text" w:hAnchor="text" w:y="1"/>
              <w:widowControl w:val="0"/>
              <w:shd w:val="clear" w:color="auto" w:fill="auto"/>
              <w:bidi w:val="0"/>
              <w:spacing w:before="0" w:after="0" w:line="262" w:lineRule="auto"/>
              <w:ind w:left="0" w:right="0" w:firstLine="0"/>
              <w:jc w:val="left"/>
              <w:rPr>
                <w:sz w:val="18"/>
                <w:szCs w:val="18"/>
              </w:rPr>
            </w:pPr>
            <w:r>
              <w:rPr>
                <w:color w:val="000000"/>
                <w:spacing w:val="0"/>
                <w:w w:val="100"/>
                <w:position w:val="0"/>
                <w:sz w:val="18"/>
                <w:szCs w:val="18"/>
                <w:shd w:val="clear" w:color="auto" w:fill="auto"/>
                <w:lang w:val="cs-CZ" w:eastAsia="cs-CZ" w:bidi="cs-CZ"/>
              </w:rPr>
              <w:t>Cena za práci po dokončení stavby</w:t>
            </w:r>
          </w:p>
          <w:p>
            <w:pPr>
              <w:pStyle w:val="Style6"/>
              <w:keepNext w:val="0"/>
              <w:keepLines w:val="0"/>
              <w:framePr w:w="9518" w:h="9667" w:hSpace="864" w:vSpace="293" w:wrap="notBeside" w:vAnchor="text" w:hAnchor="text" w:y="1"/>
              <w:widowControl w:val="0"/>
              <w:shd w:val="clear" w:color="auto" w:fill="auto"/>
              <w:bidi w:val="0"/>
              <w:spacing w:before="0" w:after="0" w:line="276"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Účastník uvede nabídkovou cenu TDS za práce spojené s dokončením stavby, dle specifikace v čl. 3.3. Smlouvy.</w:t>
            </w:r>
          </w:p>
        </w:tc>
        <w:tc>
          <w:tcPr>
            <w:tcBorders>
              <w:top w:val="single" w:sz="4"/>
              <w:lef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16000</w:t>
            </w:r>
          </w:p>
        </w:tc>
        <w:tc>
          <w:tcPr>
            <w:tcBorders>
              <w:top w:val="single" w:sz="4"/>
              <w:left w:val="single" w:sz="4"/>
              <w:righ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560"/>
              <w:jc w:val="left"/>
              <w:rPr>
                <w:sz w:val="16"/>
                <w:szCs w:val="16"/>
              </w:rPr>
            </w:pPr>
            <w:r>
              <w:rPr>
                <w:color w:val="000000"/>
                <w:spacing w:val="0"/>
                <w:w w:val="100"/>
                <w:position w:val="0"/>
                <w:sz w:val="16"/>
                <w:szCs w:val="16"/>
                <w:shd w:val="clear" w:color="auto" w:fill="auto"/>
                <w:lang w:val="cs-CZ" w:eastAsia="cs-CZ" w:bidi="cs-CZ"/>
              </w:rPr>
              <w:t>16 000,00 Kč</w:t>
            </w:r>
          </w:p>
        </w:tc>
      </w:tr>
      <w:tr>
        <w:trPr>
          <w:trHeight w:val="509" w:hRule="exact"/>
        </w:trPr>
        <w:tc>
          <w:tcPr>
            <w:gridSpan w:val="2"/>
            <w:tcBorders>
              <w:top w:val="single" w:sz="4"/>
              <w:lef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A. Cena za výkon TDS před zahájením a po dokončení stavby celkem</w:t>
            </w:r>
          </w:p>
        </w:tc>
        <w:tc>
          <w:tcPr>
            <w:tcBorders>
              <w:top w:val="single" w:sz="4"/>
              <w:left w:val="single" w:sz="4"/>
            </w:tcBorders>
            <w:shd w:val="clear" w:color="auto" w:fill="D8E4BD"/>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D8E4BD"/>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26 000,00 Kč</w:t>
            </w:r>
          </w:p>
        </w:tc>
      </w:tr>
      <w:tr>
        <w:trPr>
          <w:trHeight w:val="754" w:hRule="exact"/>
        </w:trPr>
        <w:tc>
          <w:tcPr>
            <w:gridSpan w:val="2"/>
            <w:tcBorders>
              <w:top w:val="single" w:sz="4"/>
              <w:left w:val="single" w:sz="4"/>
            </w:tcBorders>
            <w:shd w:val="clear" w:color="auto" w:fill="D8E4BD"/>
            <w:vAlign w:val="bottom"/>
          </w:tcPr>
          <w:p>
            <w:pPr>
              <w:pStyle w:val="Style6"/>
              <w:keepNext w:val="0"/>
              <w:keepLines w:val="0"/>
              <w:framePr w:w="9518" w:h="9667" w:hSpace="864" w:vSpace="293" w:wrap="notBeside" w:vAnchor="text" w:hAnchor="text" w:y="1"/>
              <w:widowControl w:val="0"/>
              <w:shd w:val="clear" w:color="auto" w:fill="auto"/>
              <w:bidi w:val="0"/>
              <w:spacing w:before="0" w:after="0" w:line="266" w:lineRule="auto"/>
              <w:ind w:left="0" w:right="0" w:firstLine="0"/>
              <w:jc w:val="left"/>
              <w:rPr>
                <w:sz w:val="18"/>
                <w:szCs w:val="18"/>
              </w:rPr>
            </w:pPr>
            <w:r>
              <w:rPr>
                <w:color w:val="000000"/>
                <w:spacing w:val="0"/>
                <w:w w:val="100"/>
                <w:position w:val="0"/>
                <w:sz w:val="18"/>
                <w:szCs w:val="18"/>
                <w:shd w:val="clear" w:color="auto" w:fill="auto"/>
                <w:lang w:val="cs-CZ" w:eastAsia="cs-CZ" w:bidi="cs-CZ"/>
              </w:rPr>
              <w:t>B. Výkon TDS - práce spojené s prováděním stavby</w:t>
            </w:r>
          </w:p>
          <w:p>
            <w:pPr>
              <w:pStyle w:val="Style6"/>
              <w:keepNext w:val="0"/>
              <w:keepLines w:val="0"/>
              <w:framePr w:w="9518" w:h="9667" w:hSpace="864" w:vSpace="293" w:wrap="notBeside" w:vAnchor="text" w:hAnchor="text" w:y="1"/>
              <w:widowControl w:val="0"/>
              <w:shd w:val="clear" w:color="auto" w:fill="auto"/>
              <w:bidi w:val="0"/>
              <w:spacing w:before="0" w:after="0" w:line="283"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Účastník uvede nabídkovou cenu TDS za práce spojené s prováděním stavby, dle specifikace v čl. 3.2 Smlouvy.</w:t>
            </w:r>
          </w:p>
        </w:tc>
        <w:tc>
          <w:tcPr>
            <w:tcBorders>
              <w:top w:val="single" w:sz="4"/>
              <w:lef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71" w:lineRule="auto"/>
              <w:ind w:left="0" w:right="0" w:firstLine="0"/>
              <w:jc w:val="center"/>
              <w:rPr>
                <w:sz w:val="17"/>
                <w:szCs w:val="17"/>
              </w:rPr>
            </w:pPr>
            <w:r>
              <w:rPr>
                <w:i/>
                <w:iCs/>
                <w:color w:val="000000"/>
                <w:spacing w:val="0"/>
                <w:w w:val="100"/>
                <w:position w:val="0"/>
                <w:sz w:val="17"/>
                <w:szCs w:val="17"/>
                <w:shd w:val="clear" w:color="auto" w:fill="auto"/>
                <w:lang w:val="cs-CZ" w:eastAsia="cs-CZ" w:bidi="cs-CZ"/>
              </w:rPr>
              <w:t>za 1 hodinu (60 minut)</w:t>
            </w:r>
          </w:p>
        </w:tc>
        <w:tc>
          <w:tcPr>
            <w:tcBorders>
              <w:top w:val="single" w:sz="4"/>
              <w:left w:val="single" w:sz="4"/>
              <w:righ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celkem za 10 hodin</w:t>
            </w:r>
          </w:p>
          <w:p>
            <w:pPr>
              <w:pStyle w:val="Style6"/>
              <w:keepNext w:val="0"/>
              <w:keepLines w:val="0"/>
              <w:framePr w:w="9518" w:h="9667" w:hSpace="864" w:vSpace="293" w:wrap="notBeside" w:vAnchor="text" w:hAnchor="text" w:y="1"/>
              <w:widowControl w:val="0"/>
              <w:shd w:val="clear" w:color="auto" w:fill="auto"/>
              <w:bidi w:val="0"/>
              <w:spacing w:before="0" w:after="0" w:line="180" w:lineRule="auto"/>
              <w:ind w:left="0" w:right="0" w:firstLine="0"/>
              <w:jc w:val="center"/>
              <w:rPr>
                <w:sz w:val="20"/>
                <w:szCs w:val="20"/>
              </w:rPr>
            </w:pPr>
            <w:r>
              <w:rPr>
                <w:i/>
                <w:iCs/>
                <w:color w:val="000000"/>
                <w:spacing w:val="0"/>
                <w:w w:val="100"/>
                <w:position w:val="0"/>
                <w:sz w:val="20"/>
                <w:szCs w:val="20"/>
                <w:shd w:val="clear" w:color="auto" w:fill="auto"/>
                <w:vertAlign w:val="subscript"/>
                <w:lang w:val="cs-CZ" w:eastAsia="cs-CZ" w:bidi="cs-CZ"/>
              </w:rPr>
              <w:t>*</w:t>
            </w:r>
          </w:p>
        </w:tc>
      </w:tr>
      <w:tr>
        <w:trPr>
          <w:trHeight w:val="854" w:hRule="exact"/>
        </w:trPr>
        <w:tc>
          <w:tcPr>
            <w:tcBorders>
              <w:top w:val="single" w:sz="4"/>
              <w:lef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3.</w:t>
            </w:r>
          </w:p>
        </w:tc>
        <w:tc>
          <w:tcPr>
            <w:tcBorders>
              <w:top w:val="single" w:sz="4"/>
              <w:lef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64"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Práce spojené s výkonem TDS v kanceláři </w:t>
            </w:r>
            <w:r>
              <w:rPr>
                <w:color w:val="000000"/>
                <w:spacing w:val="0"/>
                <w:w w:val="100"/>
                <w:position w:val="0"/>
                <w:sz w:val="16"/>
                <w:szCs w:val="16"/>
                <w:shd w:val="clear" w:color="auto" w:fill="auto"/>
                <w:lang w:val="cs-CZ" w:eastAsia="cs-CZ" w:bidi="cs-CZ"/>
              </w:rPr>
              <w:t xml:space="preserve">- předpokládané </w:t>
            </w:r>
            <w:r>
              <w:rPr>
                <w:color w:val="000000"/>
                <w:spacing w:val="0"/>
                <w:w w:val="100"/>
                <w:position w:val="0"/>
                <w:sz w:val="18"/>
                <w:szCs w:val="18"/>
                <w:shd w:val="clear" w:color="auto" w:fill="auto"/>
                <w:lang w:val="cs-CZ" w:eastAsia="cs-CZ" w:bidi="cs-CZ"/>
              </w:rPr>
              <w:t xml:space="preserve">náklady bez nároku na cestové - </w:t>
            </w:r>
            <w:r>
              <w:rPr>
                <w:color w:val="000000"/>
                <w:spacing w:val="0"/>
                <w:w w:val="100"/>
                <w:position w:val="0"/>
                <w:sz w:val="16"/>
                <w:szCs w:val="16"/>
                <w:shd w:val="clear" w:color="auto" w:fill="auto"/>
                <w:lang w:val="cs-CZ" w:eastAsia="cs-CZ" w:bidi="cs-CZ"/>
              </w:rPr>
              <w:t xml:space="preserve">v předpokládaném rozsahu </w:t>
            </w:r>
            <w:r>
              <w:rPr>
                <w:color w:val="000000"/>
                <w:spacing w:val="0"/>
                <w:w w:val="100"/>
                <w:position w:val="0"/>
                <w:sz w:val="18"/>
                <w:szCs w:val="18"/>
                <w:shd w:val="clear" w:color="auto" w:fill="auto"/>
                <w:lang w:val="cs-CZ" w:eastAsia="cs-CZ" w:bidi="cs-CZ"/>
              </w:rPr>
              <w:t>10 hodin</w:t>
            </w:r>
          </w:p>
        </w:tc>
        <w:tc>
          <w:tcPr>
            <w:tcBorders>
              <w:top w:val="single" w:sz="4"/>
              <w:lef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5 50 ,0 0 K č</w:t>
            </w:r>
          </w:p>
        </w:tc>
        <w:tc>
          <w:tcPr>
            <w:tcBorders>
              <w:top w:val="single" w:sz="4"/>
              <w:left w:val="single" w:sz="4"/>
              <w:righ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 5 00 ,0 0 K č</w:t>
            </w:r>
          </w:p>
        </w:tc>
      </w:tr>
      <w:tr>
        <w:trPr>
          <w:trHeight w:val="542" w:hRule="exact"/>
        </w:trPr>
        <w:tc>
          <w:tcPr>
            <w:vMerge w:val="restart"/>
            <w:tcBorders>
              <w:top w:val="single" w:sz="4"/>
              <w:lef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4.</w:t>
            </w:r>
          </w:p>
        </w:tc>
        <w:tc>
          <w:tcPr>
            <w:vMerge w:val="restart"/>
            <w:tcBorders>
              <w:top w:val="single" w:sz="4"/>
              <w:left w:val="single" w:sz="4"/>
            </w:tcBorders>
            <w:shd w:val="clear" w:color="auto" w:fill="FFFFFF"/>
            <w:vAlign w:val="top"/>
          </w:tcPr>
          <w:p>
            <w:pPr>
              <w:pStyle w:val="Style6"/>
              <w:keepNext w:val="0"/>
              <w:keepLines w:val="0"/>
              <w:framePr w:w="9518" w:h="9667" w:hSpace="864" w:vSpace="293" w:wrap="notBeside" w:vAnchor="text" w:hAnchor="text" w:y="1"/>
              <w:widowControl w:val="0"/>
              <w:shd w:val="clear" w:color="auto" w:fill="auto"/>
              <w:bidi w:val="0"/>
              <w:spacing w:before="0" w:after="0" w:line="264" w:lineRule="auto"/>
              <w:ind w:left="0" w:right="0" w:firstLine="0"/>
              <w:jc w:val="left"/>
              <w:rPr>
                <w:sz w:val="18"/>
                <w:szCs w:val="18"/>
              </w:rPr>
            </w:pPr>
            <w:r>
              <w:rPr>
                <w:color w:val="000000"/>
                <w:spacing w:val="0"/>
                <w:w w:val="100"/>
                <w:position w:val="0"/>
                <w:sz w:val="18"/>
                <w:szCs w:val="18"/>
                <w:shd w:val="clear" w:color="auto" w:fill="auto"/>
                <w:lang w:val="cs-CZ" w:eastAsia="cs-CZ" w:bidi="cs-CZ"/>
              </w:rPr>
              <w:t>Práce spojené s výkonem TDS na staveništi</w:t>
            </w:r>
          </w:p>
          <w:p>
            <w:pPr>
              <w:pStyle w:val="Style6"/>
              <w:keepNext w:val="0"/>
              <w:keepLines w:val="0"/>
              <w:framePr w:w="9518" w:h="9667" w:hSpace="864" w:vSpace="293" w:wrap="notBeside" w:vAnchor="text" w:hAnchor="text" w:y="1"/>
              <w:widowControl w:val="0"/>
              <w:shd w:val="clear" w:color="auto" w:fill="auto"/>
              <w:bidi w:val="0"/>
              <w:spacing w:before="0" w:after="0" w:line="264"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 </w:t>
            </w:r>
            <w:r>
              <w:rPr>
                <w:color w:val="000000"/>
                <w:spacing w:val="0"/>
                <w:w w:val="100"/>
                <w:position w:val="0"/>
                <w:sz w:val="16"/>
                <w:szCs w:val="16"/>
                <w:shd w:val="clear" w:color="auto" w:fill="auto"/>
                <w:lang w:val="cs-CZ" w:eastAsia="cs-CZ" w:bidi="cs-CZ"/>
              </w:rPr>
              <w:t xml:space="preserve">předpokládané náklady </w:t>
            </w:r>
            <w:r>
              <w:rPr>
                <w:color w:val="000000"/>
                <w:spacing w:val="0"/>
                <w:w w:val="100"/>
                <w:position w:val="0"/>
                <w:sz w:val="18"/>
                <w:szCs w:val="18"/>
                <w:shd w:val="clear" w:color="auto" w:fill="auto"/>
                <w:lang w:val="cs-CZ" w:eastAsia="cs-CZ" w:bidi="cs-CZ"/>
              </w:rPr>
              <w:t>včetně cestovného</w:t>
            </w:r>
          </w:p>
          <w:p>
            <w:pPr>
              <w:pStyle w:val="Style6"/>
              <w:keepNext w:val="0"/>
              <w:keepLines w:val="0"/>
              <w:framePr w:w="9518" w:h="9667" w:hSpace="864" w:vSpace="293" w:wrap="notBeside" w:vAnchor="text" w:hAnchor="text" w:y="1"/>
              <w:widowControl w:val="0"/>
              <w:shd w:val="clear" w:color="auto" w:fill="auto"/>
              <w:bidi w:val="0"/>
              <w:spacing w:before="0" w:after="0" w:line="276" w:lineRule="auto"/>
              <w:ind w:left="0" w:right="0" w:firstLine="0"/>
              <w:jc w:val="left"/>
              <w:rPr>
                <w:sz w:val="17"/>
                <w:szCs w:val="17"/>
              </w:rPr>
            </w:pPr>
            <w:r>
              <w:rPr>
                <w:color w:val="000000"/>
                <w:spacing w:val="0"/>
                <w:w w:val="100"/>
                <w:position w:val="0"/>
                <w:sz w:val="16"/>
                <w:szCs w:val="16"/>
                <w:shd w:val="clear" w:color="auto" w:fill="auto"/>
                <w:lang w:val="cs-CZ" w:eastAsia="cs-CZ" w:bidi="cs-CZ"/>
              </w:rPr>
              <w:t xml:space="preserve">- v předpokládaném rozsahu </w:t>
            </w:r>
            <w:r>
              <w:rPr>
                <w:color w:val="000000"/>
                <w:spacing w:val="0"/>
                <w:w w:val="100"/>
                <w:position w:val="0"/>
                <w:sz w:val="18"/>
                <w:szCs w:val="18"/>
                <w:shd w:val="clear" w:color="auto" w:fill="auto"/>
                <w:lang w:val="cs-CZ" w:eastAsia="cs-CZ" w:bidi="cs-CZ"/>
              </w:rPr>
              <w:t xml:space="preserve">2 návštěvy/týden á 3 hodiny, celkem 16 týdnů </w:t>
            </w:r>
            <w:r>
              <w:rPr>
                <w:i/>
                <w:iCs/>
                <w:color w:val="000000"/>
                <w:spacing w:val="0"/>
                <w:w w:val="100"/>
                <w:position w:val="0"/>
                <w:sz w:val="17"/>
                <w:szCs w:val="17"/>
                <w:shd w:val="clear" w:color="auto" w:fill="auto"/>
                <w:lang w:val="cs-CZ" w:eastAsia="cs-CZ" w:bidi="cs-CZ"/>
              </w:rPr>
              <w:t>(vzorec pro výpočet hodin: 2 návštěvy x 3 hod. výkonu TDS x 16 týdnů = 96 hodin výkonu TDS celkem )</w:t>
            </w:r>
          </w:p>
        </w:tc>
        <w:tc>
          <w:tcPr>
            <w:vMerge w:val="restart"/>
            <w:tcBorders>
              <w:top w:val="single" w:sz="4"/>
              <w:lef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6 50 ,0 0 K č</w:t>
            </w:r>
          </w:p>
        </w:tc>
        <w:tc>
          <w:tcPr>
            <w:tcBorders>
              <w:top w:val="single" w:sz="4"/>
              <w:left w:val="single" w:sz="4"/>
              <w:righ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c elkem z a 96 hodin</w:t>
            </w:r>
          </w:p>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center"/>
              <w:rPr>
                <w:sz w:val="17"/>
                <w:szCs w:val="17"/>
              </w:rPr>
            </w:pPr>
            <w:r>
              <w:rPr>
                <w:i/>
                <w:iCs/>
                <w:color w:val="000000"/>
                <w:spacing w:val="0"/>
                <w:w w:val="100"/>
                <w:position w:val="0"/>
                <w:sz w:val="17"/>
                <w:szCs w:val="17"/>
                <w:shd w:val="clear" w:color="auto" w:fill="auto"/>
                <w:lang w:val="cs-CZ" w:eastAsia="cs-CZ" w:bidi="cs-CZ"/>
              </w:rPr>
              <w:t>*</w:t>
            </w:r>
          </w:p>
        </w:tc>
      </w:tr>
      <w:tr>
        <w:trPr>
          <w:trHeight w:val="883" w:hRule="exact"/>
        </w:trPr>
        <w:tc>
          <w:tcPr>
            <w:vMerge/>
            <w:tcBorders>
              <w:left w:val="single" w:sz="4"/>
            </w:tcBorders>
            <w:shd w:val="clear" w:color="auto" w:fill="FFFFFF"/>
            <w:vAlign w:val="center"/>
          </w:tcPr>
          <w:p>
            <w:pPr>
              <w:framePr w:w="9518" w:h="9667" w:hSpace="864" w:vSpace="293" w:wrap="notBeside" w:vAnchor="text" w:hAnchor="text" w:y="1"/>
            </w:pPr>
          </w:p>
        </w:tc>
        <w:tc>
          <w:tcPr>
            <w:vMerge/>
            <w:tcBorders>
              <w:left w:val="single" w:sz="4"/>
            </w:tcBorders>
            <w:shd w:val="clear" w:color="auto" w:fill="FFFFFF"/>
            <w:vAlign w:val="top"/>
          </w:tcPr>
          <w:p>
            <w:pPr>
              <w:framePr w:w="9518" w:h="9667" w:hSpace="864" w:vSpace="293" w:wrap="notBeside" w:vAnchor="text" w:hAnchor="text" w:y="1"/>
            </w:pPr>
          </w:p>
        </w:tc>
        <w:tc>
          <w:tcPr>
            <w:vMerge/>
            <w:tcBorders>
              <w:left w:val="single" w:sz="4"/>
            </w:tcBorders>
            <w:shd w:val="clear" w:color="auto" w:fill="FFFFFF"/>
            <w:vAlign w:val="center"/>
          </w:tcPr>
          <w:p>
            <w:pPr>
              <w:framePr w:w="9518" w:h="9667" w:hSpace="864" w:vSpace="293" w:wrap="notBeside" w:vAnchor="text" w:hAnchor="text" w:y="1"/>
            </w:pPr>
          </w:p>
        </w:tc>
        <w:tc>
          <w:tcPr>
            <w:tcBorders>
              <w:top w:val="single" w:sz="4"/>
              <w:left w:val="single" w:sz="4"/>
              <w:righ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560"/>
              <w:jc w:val="left"/>
              <w:rPr>
                <w:sz w:val="16"/>
                <w:szCs w:val="16"/>
              </w:rPr>
            </w:pPr>
            <w:r>
              <w:rPr>
                <w:color w:val="000000"/>
                <w:spacing w:val="0"/>
                <w:w w:val="100"/>
                <w:position w:val="0"/>
                <w:sz w:val="16"/>
                <w:szCs w:val="16"/>
                <w:shd w:val="clear" w:color="auto" w:fill="auto"/>
                <w:lang w:val="cs-CZ" w:eastAsia="cs-CZ" w:bidi="cs-CZ"/>
              </w:rPr>
              <w:t>6 2 400 ,0 0 K č</w:t>
            </w:r>
          </w:p>
        </w:tc>
      </w:tr>
      <w:tr>
        <w:trPr>
          <w:trHeight w:val="499" w:hRule="exact"/>
        </w:trPr>
        <w:tc>
          <w:tcPr>
            <w:gridSpan w:val="2"/>
            <w:tcBorders>
              <w:top w:val="single" w:sz="4"/>
              <w:left w:val="single" w:sz="4"/>
            </w:tcBorders>
            <w:shd w:val="clear" w:color="auto" w:fill="FFFFFF"/>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B. Cena za výkon TDS při provádění stavby celkem</w:t>
            </w:r>
          </w:p>
        </w:tc>
        <w:tc>
          <w:tcPr>
            <w:tcBorders>
              <w:top w:val="single" w:sz="4"/>
              <w:left w:val="single" w:sz="4"/>
            </w:tcBorders>
            <w:shd w:val="clear" w:color="auto" w:fill="D8E4BD"/>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D8E4BD"/>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67 900,00 Kč</w:t>
            </w:r>
          </w:p>
        </w:tc>
      </w:tr>
      <w:tr>
        <w:trPr>
          <w:trHeight w:val="499" w:hRule="exact"/>
        </w:trPr>
        <w:tc>
          <w:tcPr>
            <w:gridSpan w:val="2"/>
            <w:tcBorders>
              <w:top w:val="single" w:sz="4"/>
              <w:left w:val="single" w:sz="4"/>
            </w:tcBorders>
            <w:shd w:val="clear" w:color="auto" w:fill="C3D79A"/>
            <w:vAlign w:val="bottom"/>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CENA CELKEM BEZ DPH (A + B)</w:t>
            </w:r>
          </w:p>
        </w:tc>
        <w:tc>
          <w:tcPr>
            <w:tcBorders>
              <w:top w:val="single" w:sz="4"/>
              <w:left w:val="single" w:sz="4"/>
            </w:tcBorders>
            <w:shd w:val="clear" w:color="auto" w:fill="C3D79A"/>
            <w:vAlign w:val="bottom"/>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C3D79A"/>
            <w:vAlign w:val="bottom"/>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93 900,00 Kč</w:t>
            </w:r>
          </w:p>
        </w:tc>
      </w:tr>
      <w:tr>
        <w:trPr>
          <w:trHeight w:val="470" w:hRule="exact"/>
        </w:trPr>
        <w:tc>
          <w:tcPr>
            <w:gridSpan w:val="2"/>
            <w:tcBorders>
              <w:top w:val="single" w:sz="4"/>
              <w:left w:val="single" w:sz="4"/>
            </w:tcBorders>
            <w:shd w:val="clear" w:color="auto" w:fill="C3D79A"/>
            <w:vAlign w:val="bottom"/>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DPH 21 %</w:t>
            </w:r>
          </w:p>
        </w:tc>
        <w:tc>
          <w:tcPr>
            <w:tcBorders>
              <w:top w:val="single" w:sz="4"/>
              <w:left w:val="single" w:sz="4"/>
            </w:tcBorders>
            <w:shd w:val="clear" w:color="auto" w:fill="C3D79A"/>
            <w:vAlign w:val="bottom"/>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x</w:t>
            </w:r>
          </w:p>
        </w:tc>
        <w:tc>
          <w:tcPr>
            <w:tcBorders>
              <w:top w:val="single" w:sz="4"/>
              <w:left w:val="single" w:sz="4"/>
              <w:right w:val="single" w:sz="4"/>
            </w:tcBorders>
            <w:shd w:val="clear" w:color="auto" w:fill="C3D79A"/>
            <w:vAlign w:val="bottom"/>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19 719,00 Kč</w:t>
            </w:r>
          </w:p>
        </w:tc>
      </w:tr>
      <w:tr>
        <w:trPr>
          <w:trHeight w:val="638" w:hRule="exact"/>
        </w:trPr>
        <w:tc>
          <w:tcPr>
            <w:gridSpan w:val="2"/>
            <w:tcBorders>
              <w:top w:val="single" w:sz="4"/>
              <w:left w:val="single" w:sz="4"/>
              <w:bottom w:val="single" w:sz="4"/>
            </w:tcBorders>
            <w:shd w:val="clear" w:color="auto" w:fill="C3D79A"/>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CENA CELKEM VČETNĚ DPH</w:t>
            </w:r>
          </w:p>
        </w:tc>
        <w:tc>
          <w:tcPr>
            <w:tcBorders>
              <w:top w:val="single" w:sz="4"/>
              <w:left w:val="single" w:sz="4"/>
              <w:bottom w:val="single" w:sz="4"/>
            </w:tcBorders>
            <w:shd w:val="clear" w:color="auto" w:fill="C3D79A"/>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x</w:t>
            </w:r>
          </w:p>
        </w:tc>
        <w:tc>
          <w:tcPr>
            <w:tcBorders>
              <w:top w:val="single" w:sz="4"/>
              <w:left w:val="single" w:sz="4"/>
              <w:bottom w:val="single" w:sz="4"/>
              <w:right w:val="single" w:sz="4"/>
            </w:tcBorders>
            <w:shd w:val="clear" w:color="auto" w:fill="C3D79A"/>
            <w:vAlign w:val="center"/>
          </w:tcPr>
          <w:p>
            <w:pPr>
              <w:pStyle w:val="Style6"/>
              <w:keepNext w:val="0"/>
              <w:keepLines w:val="0"/>
              <w:framePr w:w="9518" w:h="9667" w:hSpace="864" w:vSpace="293" w:wrap="notBeside" w:vAnchor="text" w:hAnchor="text" w:y="1"/>
              <w:widowControl w:val="0"/>
              <w:shd w:val="clear" w:color="auto" w:fill="auto"/>
              <w:bidi w:val="0"/>
              <w:spacing w:before="0" w:after="0" w:line="240" w:lineRule="auto"/>
              <w:ind w:left="0" w:right="0" w:firstLine="480"/>
              <w:jc w:val="left"/>
              <w:rPr>
                <w:sz w:val="18"/>
                <w:szCs w:val="18"/>
              </w:rPr>
            </w:pPr>
            <w:r>
              <w:rPr>
                <w:color w:val="000000"/>
                <w:spacing w:val="0"/>
                <w:w w:val="100"/>
                <w:position w:val="0"/>
                <w:sz w:val="18"/>
                <w:szCs w:val="18"/>
                <w:shd w:val="clear" w:color="auto" w:fill="auto"/>
                <w:lang w:val="cs-CZ" w:eastAsia="cs-CZ" w:bidi="cs-CZ"/>
              </w:rPr>
              <w:t>113 619,00 Kč</w:t>
            </w:r>
          </w:p>
        </w:tc>
      </w:tr>
    </w:tbl>
    <w:p>
      <w:pPr>
        <w:pStyle w:val="Style10"/>
        <w:keepNext w:val="0"/>
        <w:keepLines w:val="0"/>
        <w:framePr w:w="8213" w:h="230" w:hSpace="2169" w:wrap="notBeside" w:vAnchor="text" w:hAnchor="text" w:x="649" w:y="973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Tabulka pro zpracování ceny plnění bude jako příloha nedílnou součástí Smlouvy o zajištění výkonu TDS na staveništi.</w:t>
      </w:r>
    </w:p>
    <w:p>
      <w:pPr>
        <w:pStyle w:val="Style10"/>
        <w:keepNext w:val="0"/>
        <w:keepLines w:val="0"/>
        <w:framePr w:w="883" w:h="475" w:hSpace="9499" w:wrap="notBeside" w:vAnchor="text" w:hAnchor="text" w:x="9500" w:y="5497"/>
        <w:widowControl w:val="0"/>
        <w:shd w:val="clear" w:color="auto" w:fill="auto"/>
        <w:bidi w:val="0"/>
        <w:spacing w:before="0" w:after="0" w:line="314" w:lineRule="auto"/>
        <w:ind w:left="0" w:right="0" w:firstLine="0"/>
        <w:jc w:val="left"/>
        <w:rPr>
          <w:sz w:val="14"/>
          <w:szCs w:val="14"/>
        </w:rPr>
      </w:pPr>
      <w:r>
        <w:rPr>
          <w:color w:val="000000"/>
          <w:spacing w:val="0"/>
          <w:w w:val="100"/>
          <w:position w:val="0"/>
          <w:sz w:val="14"/>
          <w:szCs w:val="14"/>
          <w:shd w:val="clear" w:color="auto" w:fill="auto"/>
          <w:lang w:val="cs-CZ" w:eastAsia="cs-CZ" w:bidi="cs-CZ"/>
        </w:rPr>
        <w:t>n epo čí tá automaticky</w:t>
      </w:r>
    </w:p>
    <w:p>
      <w:pPr>
        <w:pStyle w:val="Style10"/>
        <w:keepNext w:val="0"/>
        <w:keepLines w:val="0"/>
        <w:framePr w:w="883" w:h="475" w:hSpace="9499" w:wrap="notBeside" w:vAnchor="text" w:hAnchor="text" w:x="9500" w:y="6908"/>
        <w:widowControl w:val="0"/>
        <w:shd w:val="clear" w:color="auto" w:fill="auto"/>
        <w:bidi w:val="0"/>
        <w:spacing w:before="0" w:after="0" w:line="314" w:lineRule="auto"/>
        <w:ind w:left="0" w:right="0" w:firstLine="0"/>
        <w:jc w:val="left"/>
        <w:rPr>
          <w:sz w:val="14"/>
          <w:szCs w:val="14"/>
        </w:rPr>
      </w:pPr>
      <w:r>
        <w:rPr>
          <w:color w:val="000000"/>
          <w:spacing w:val="0"/>
          <w:w w:val="100"/>
          <w:position w:val="0"/>
          <w:sz w:val="14"/>
          <w:szCs w:val="14"/>
          <w:shd w:val="clear" w:color="auto" w:fill="auto"/>
          <w:lang w:val="cs-CZ" w:eastAsia="cs-CZ" w:bidi="cs-CZ"/>
        </w:rPr>
        <w:t>nepočítá a utoma t i cky</w:t>
      </w:r>
    </w:p>
    <w:p>
      <w:pPr>
        <w:pStyle w:val="Style10"/>
        <w:keepNext w:val="0"/>
        <w:keepLines w:val="0"/>
        <w:framePr w:w="883" w:h="475" w:hSpace="9499" w:wrap="notBeside" w:vAnchor="text" w:hAnchor="text" w:x="9500" w:y="8583"/>
        <w:widowControl w:val="0"/>
        <w:shd w:val="clear" w:color="auto" w:fill="auto"/>
        <w:bidi w:val="0"/>
        <w:spacing w:before="0" w:after="0" w:line="314" w:lineRule="auto"/>
        <w:ind w:left="0" w:right="0" w:firstLine="0"/>
        <w:jc w:val="left"/>
        <w:rPr>
          <w:sz w:val="14"/>
          <w:szCs w:val="14"/>
        </w:rPr>
      </w:pPr>
      <w:r>
        <w:rPr>
          <w:color w:val="000000"/>
          <w:spacing w:val="0"/>
          <w:w w:val="100"/>
          <w:position w:val="0"/>
          <w:sz w:val="14"/>
          <w:szCs w:val="14"/>
          <w:shd w:val="clear" w:color="auto" w:fill="auto"/>
          <w:lang w:val="cs-CZ" w:eastAsia="cs-CZ" w:bidi="cs-CZ"/>
        </w:rPr>
        <w:t>nepočítá automaticky</w:t>
      </w:r>
    </w:p>
    <w:p>
      <w:pPr>
        <w:pStyle w:val="Style10"/>
        <w:keepNext w:val="0"/>
        <w:keepLines w:val="0"/>
        <w:framePr w:w="883" w:h="466" w:hSpace="9499" w:wrap="notBeside" w:vAnchor="text" w:hAnchor="text" w:x="9500" w:y="9131"/>
        <w:widowControl w:val="0"/>
        <w:shd w:val="clear" w:color="auto" w:fill="auto"/>
        <w:bidi w:val="0"/>
        <w:spacing w:before="0" w:after="0" w:line="307" w:lineRule="auto"/>
        <w:ind w:left="0" w:right="0" w:firstLine="0"/>
        <w:jc w:val="left"/>
        <w:rPr>
          <w:sz w:val="14"/>
          <w:szCs w:val="14"/>
        </w:rPr>
      </w:pPr>
      <w:r>
        <w:rPr>
          <w:color w:val="000000"/>
          <w:spacing w:val="0"/>
          <w:w w:val="100"/>
          <w:position w:val="0"/>
          <w:sz w:val="14"/>
          <w:szCs w:val="14"/>
          <w:shd w:val="clear" w:color="auto" w:fill="auto"/>
          <w:lang w:val="cs-CZ" w:eastAsia="cs-CZ" w:bidi="cs-CZ"/>
        </w:rPr>
        <w:t>nepočítá automaticky</w:t>
      </w:r>
    </w:p>
    <w:p>
      <w:pPr>
        <w:widowControl w:val="0"/>
        <w:spacing w:line="1" w:lineRule="exact"/>
      </w:pPr>
    </w:p>
    <w:p>
      <w:pPr>
        <w:pStyle w:val="Style34"/>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34"/>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34"/>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TDS a bude sloužit pro fakturaci výkonu TDS </w:t>
      </w:r>
      <w:r>
        <w:rPr>
          <w:b w:val="0"/>
          <w:bCs w:val="0"/>
          <w:color w:val="000000"/>
          <w:spacing w:val="0"/>
          <w:w w:val="100"/>
          <w:position w:val="0"/>
          <w:shd w:val="clear" w:color="auto" w:fill="auto"/>
          <w:lang w:val="cs-CZ" w:eastAsia="cs-CZ" w:bidi="cs-CZ"/>
        </w:rPr>
        <w:t>dle skutečnosti.</w:t>
      </w:r>
    </w:p>
    <w:p>
      <w:pPr>
        <w:pStyle w:val="Style34"/>
        <w:keepNext w:val="0"/>
        <w:keepLines w:val="0"/>
        <w:widowControl w:val="0"/>
        <w:shd w:val="clear" w:color="auto" w:fill="auto"/>
        <w:bidi w:val="0"/>
        <w:spacing w:before="0"/>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 a bude sloužit pro fakturaci výkonu TDS dle doložené skutečnosti.</w:t>
      </w:r>
    </w:p>
    <w:p>
      <w:pPr>
        <w:pStyle w:val="Style34"/>
        <w:keepNext w:val="0"/>
        <w:keepLines w:val="0"/>
        <w:widowControl w:val="0"/>
        <w:numPr>
          <w:ilvl w:val="0"/>
          <w:numId w:val="19"/>
        </w:numPr>
        <w:shd w:val="clear" w:color="auto" w:fill="auto"/>
        <w:tabs>
          <w:tab w:pos="264" w:val="left"/>
        </w:tabs>
        <w:bidi w:val="0"/>
        <w:spacing w:before="0" w:after="260"/>
        <w:ind w:left="0" w:right="0" w:firstLine="0"/>
        <w:jc w:val="left"/>
      </w:pP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10 hodin v kanceláři a 96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TDS uvedena nebude.</w:t>
      </w:r>
    </w:p>
    <w:p>
      <w:pPr>
        <w:pStyle w:val="Style34"/>
        <w:keepNext w:val="0"/>
        <w:keepLines w:val="0"/>
        <w:widowControl w:val="0"/>
        <w:numPr>
          <w:ilvl w:val="0"/>
          <w:numId w:val="19"/>
        </w:numPr>
        <w:shd w:val="clear" w:color="auto" w:fill="auto"/>
        <w:tabs>
          <w:tab w:pos="264" w:val="left"/>
        </w:tabs>
        <w:bidi w:val="0"/>
        <w:spacing w:before="0" w:after="420"/>
        <w:ind w:left="0" w:right="0" w:firstLine="0"/>
        <w:jc w:val="left"/>
      </w:pPr>
      <w:r>
        <w:drawing>
          <wp:anchor distT="0" distB="359410" distL="114300" distR="114300" simplePos="0" relativeHeight="125829390" behindDoc="0" locked="0" layoutInCell="1" allowOverlap="1">
            <wp:simplePos x="0" y="0"/>
            <wp:positionH relativeFrom="page">
              <wp:posOffset>4446905</wp:posOffset>
            </wp:positionH>
            <wp:positionV relativeFrom="paragraph">
              <wp:posOffset>165100</wp:posOffset>
            </wp:positionV>
            <wp:extent cx="2273935" cy="585470"/>
            <wp:wrapSquare wrapText="left"/>
            <wp:docPr id="20" name="Shape 20"/>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6"/>
                    <a:stretch/>
                  </pic:blipFill>
                  <pic:spPr>
                    <a:xfrm>
                      <a:ext cx="2273935" cy="58547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4788535</wp:posOffset>
                </wp:positionH>
                <wp:positionV relativeFrom="paragraph">
                  <wp:posOffset>802005</wp:posOffset>
                </wp:positionV>
                <wp:extent cx="1578610" cy="304800"/>
                <wp:wrapNone/>
                <wp:docPr id="22" name="Shape 22"/>
                <a:graphic xmlns:a="http://schemas.openxmlformats.org/drawingml/2006/main">
                  <a:graphicData uri="http://schemas.microsoft.com/office/word/2010/wordprocessingShape">
                    <wps:wsp>
                      <wps:cNvSpPr txBox="1"/>
                      <wps:spPr>
                        <a:xfrm>
                          <a:ext cx="1578610" cy="304800"/>
                        </a:xfrm>
                        <a:prstGeom prst="rect"/>
                        <a:noFill/>
                      </wps:spPr>
                      <wps:txbx>
                        <w:txbxContent>
                          <w:p>
                            <w:pPr>
                              <w:pStyle w:val="Style1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Ing. František Benč, Ph.D., jednatel společnosti IBR Consulting, s.r.o.</w:t>
                            </w:r>
                          </w:p>
                        </w:txbxContent>
                      </wps:txbx>
                      <wps:bodyPr lIns="0" tIns="0" rIns="0" bIns="0">
                        <a:noAutoFit/>
                      </wps:bodyPr>
                    </wps:wsp>
                  </a:graphicData>
                </a:graphic>
              </wp:anchor>
            </w:drawing>
          </mc:Choice>
          <mc:Fallback>
            <w:pict>
              <v:shape id="_x0000_s1048" type="#_x0000_t202" style="position:absolute;margin-left:377.05000000000001pt;margin-top:63.149999999999999pt;width:124.3pt;height:24.pt;z-index:251657731;mso-wrap-distance-left:0;mso-wrap-distance-right:0;mso-position-horizontal-relative:page" filled="f" stroked="f">
                <v:textbox inset="0,0,0,0">
                  <w:txbxContent>
                    <w:p>
                      <w:pPr>
                        <w:pStyle w:val="Style15"/>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Ing. František Benč, Ph.D., jednatel společnosti IBR Consulting, s.r.o.</w:t>
                      </w:r>
                    </w:p>
                  </w:txbxContent>
                </v:textbox>
                <w10:wrap anchorx="page"/>
              </v:shape>
            </w:pict>
          </mc:Fallback>
        </mc:AlternateContent>
      </w:r>
      <w:r>
        <w:rPr>
          <w:color w:val="000000"/>
          <w:spacing w:val="0"/>
          <w:w w:val="100"/>
          <w:position w:val="0"/>
          <w:shd w:val="clear" w:color="auto" w:fill="auto"/>
          <w:lang w:val="cs-CZ" w:eastAsia="cs-CZ" w:bidi="cs-CZ"/>
        </w:rPr>
        <w:t xml:space="preserve">* </w:t>
      </w:r>
      <w:r>
        <w:rPr>
          <w:b w:val="0"/>
          <w:bCs w:val="0"/>
          <w:color w:val="000000"/>
          <w:spacing w:val="0"/>
          <w:w w:val="100"/>
          <w:position w:val="0"/>
          <w:u w:val="single"/>
          <w:shd w:val="clear" w:color="auto" w:fill="auto"/>
          <w:lang w:val="cs-CZ" w:eastAsia="cs-CZ" w:bidi="cs-CZ"/>
        </w:rPr>
        <w:t>Cena celkem (vč. DPH)</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použita k hodnocení podaných nabídek, </w:t>
      </w:r>
      <w:r>
        <w:rPr>
          <w:b w:val="0"/>
          <w:bCs w:val="0"/>
          <w:color w:val="000000"/>
          <w:spacing w:val="0"/>
          <w:w w:val="100"/>
          <w:position w:val="0"/>
          <w:shd w:val="clear" w:color="auto" w:fill="auto"/>
          <w:lang w:val="cs-CZ" w:eastAsia="cs-CZ" w:bidi="cs-CZ"/>
        </w:rPr>
        <w:t>ve Smlouvě o zajištění výkonu TDS uvedena nebude.</w:t>
      </w:r>
    </w:p>
    <w:p>
      <w:pPr>
        <w:pStyle w:val="Style34"/>
        <w:keepNext w:val="0"/>
        <w:keepLines w:val="0"/>
        <w:widowControl w:val="0"/>
        <w:shd w:val="clear" w:color="auto" w:fill="auto"/>
        <w:bidi w:val="0"/>
        <w:spacing w:before="0" w:after="200"/>
        <w:ind w:left="0" w:right="0" w:firstLine="0"/>
        <w:jc w:val="left"/>
      </w:pPr>
      <w:r>
        <w:rPr>
          <w:b w:val="0"/>
          <w:bCs w:val="0"/>
          <w:i w:val="0"/>
          <w:iCs w:val="0"/>
          <w:color w:val="000000"/>
          <w:spacing w:val="0"/>
          <w:w w:val="100"/>
          <w:position w:val="0"/>
          <w:shd w:val="clear" w:color="auto" w:fill="auto"/>
          <w:lang w:val="cs-CZ" w:eastAsia="cs-CZ" w:bidi="cs-CZ"/>
        </w:rPr>
        <w:t>V Praze dne 30. 3. 2021</w:t>
      </w:r>
    </w:p>
    <w:sectPr>
      <w:footerReference w:type="default" r:id="rId8"/>
      <w:footnotePr>
        <w:pos w:val="pageBottom"/>
        <w:numFmt w:val="decimal"/>
        <w:numRestart w:val="continuous"/>
      </w:footnotePr>
      <w:pgSz w:w="11900" w:h="16840"/>
      <w:pgMar w:top="1129" w:left="873" w:right="645" w:bottom="1750" w:header="701" w:footer="1322"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758825</wp:posOffset>
              </wp:positionH>
              <wp:positionV relativeFrom="page">
                <wp:posOffset>9698990</wp:posOffset>
              </wp:positionV>
              <wp:extent cx="2282825" cy="247015"/>
              <wp:wrapNone/>
              <wp:docPr id="1" name="Shape 1"/>
              <a:graphic xmlns:a="http://schemas.openxmlformats.org/drawingml/2006/main">
                <a:graphicData uri="http://schemas.microsoft.com/office/word/2010/wordprocessingShape">
                  <wps:wsp>
                    <wps:cNvSpPr txBox="1"/>
                    <wps:spPr>
                      <a:xfrm>
                        <a:ext cx="2282825" cy="2470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w:t>
                          </w:r>
                        </w:p>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8"/>
                              <w:szCs w:val="18"/>
                              <w:shd w:val="clear" w:color="auto" w:fill="auto"/>
                              <w:lang w:val="cs-CZ" w:eastAsia="cs-CZ" w:bidi="cs-CZ"/>
                            </w:rPr>
                            <w:t>111/3793 Březské - most ev. č. 3793-2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9.75pt;margin-top:763.70000000000005pt;width:179.75pt;height:19.449999999999999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w:t>
                    </w:r>
                  </w:p>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8"/>
                        <w:szCs w:val="18"/>
                        <w:shd w:val="clear" w:color="auto" w:fill="auto"/>
                        <w:lang w:val="cs-CZ" w:eastAsia="cs-CZ" w:bidi="cs-CZ"/>
                      </w:rPr>
                      <w:t>111/3793 Březské - most ev. č. 3793-2</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5979795</wp:posOffset>
              </wp:positionH>
              <wp:positionV relativeFrom="page">
                <wp:posOffset>9698990</wp:posOffset>
              </wp:positionV>
              <wp:extent cx="648970" cy="121920"/>
              <wp:wrapNone/>
              <wp:docPr id="3" name="Shape 3"/>
              <a:graphic xmlns:a="http://schemas.openxmlformats.org/drawingml/2006/main">
                <a:graphicData uri="http://schemas.microsoft.com/office/word/2010/wordprocessingShape">
                  <wps:wsp>
                    <wps:cNvSpPr txBox="1"/>
                    <wps:spPr>
                      <a:xfrm>
                        <a:ext cx="648970" cy="121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29" type="#_x0000_t202" style="position:absolute;margin-left:470.85000000000002pt;margin-top:763.70000000000005pt;width:51.100000000000001pt;height:9.5999999999999996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737235</wp:posOffset>
              </wp:positionH>
              <wp:positionV relativeFrom="page">
                <wp:posOffset>9655175</wp:posOffset>
              </wp:positionV>
              <wp:extent cx="6224270" cy="0"/>
              <wp:wrapNone/>
              <wp:docPr id="5" name="Shape 5"/>
              <a:graphic xmlns:a="http://schemas.openxmlformats.org/drawingml/2006/main">
                <a:graphicData uri="http://schemas.microsoft.com/office/word/2010/wordprocessingShape">
                  <wps:wsp>
                    <wps:cNvCnPr/>
                    <wps:spPr>
                      <a:xfrm>
                        <a:ext cx="6224270" cy="0"/>
                      </a:xfrm>
                      <a:prstGeom prst="straightConnector1"/>
                      <a:ln w="12700">
                        <a:solidFill/>
                      </a:ln>
                    </wps:spPr>
                    <wps:bodyPr/>
                  </wps:wsp>
                </a:graphicData>
              </a:graphic>
            </wp:anchor>
          </w:drawing>
        </mc:Choice>
        <mc:Fallback>
          <w:pict>
            <v:shape o:spt="32" o:oned="true" path="m,l21600,21600e" style="position:absolute;margin-left:58.049999999999997pt;margin-top:760.25pt;width:490.10000000000002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bCs/>
        <w:i/>
        <w:iCs/>
        <w:smallCaps w:val="0"/>
        <w:strike w:val="0"/>
        <w:color w:val="000000"/>
        <w:spacing w:val="0"/>
        <w:w w:val="100"/>
        <w:position w:val="0"/>
        <w:sz w:val="16"/>
        <w:szCs w:val="16"/>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7">
    <w:name w:val="Jiné_"/>
    <w:basedOn w:val="DefaultParagraphFont"/>
    <w:link w:val="Style6"/>
    <w:rPr>
      <w:rFonts w:ascii="Times New Roman" w:eastAsia="Times New Roman" w:hAnsi="Times New Roman" w:cs="Times New Roman"/>
      <w:b w:val="0"/>
      <w:bCs w:val="0"/>
      <w:i w:val="0"/>
      <w:iCs w:val="0"/>
      <w:smallCaps w:val="0"/>
      <w:strike w:val="0"/>
      <w:sz w:val="22"/>
      <w:szCs w:val="22"/>
      <w:u w:val="none"/>
    </w:rPr>
  </w:style>
  <w:style w:type="character" w:customStyle="1" w:styleId="CharStyle11">
    <w:name w:val="Titulek tabulky_"/>
    <w:basedOn w:val="DefaultParagraphFont"/>
    <w:link w:val="Style10"/>
    <w:rPr>
      <w:rFonts w:ascii="Times New Roman" w:eastAsia="Times New Roman" w:hAnsi="Times New Roman" w:cs="Times New Roman"/>
      <w:b w:val="0"/>
      <w:bCs w:val="0"/>
      <w:i w:val="0"/>
      <w:iCs w:val="0"/>
      <w:smallCaps w:val="0"/>
      <w:strike w:val="0"/>
      <w:sz w:val="22"/>
      <w:szCs w:val="22"/>
      <w:u w:val="none"/>
    </w:rPr>
  </w:style>
  <w:style w:type="character" w:customStyle="1" w:styleId="CharStyle13">
    <w:name w:val="Základní text_"/>
    <w:basedOn w:val="DefaultParagraphFont"/>
    <w:link w:val="Style12"/>
    <w:rPr>
      <w:rFonts w:ascii="Times New Roman" w:eastAsia="Times New Roman" w:hAnsi="Times New Roman" w:cs="Times New Roman"/>
      <w:b w:val="0"/>
      <w:bCs w:val="0"/>
      <w:i w:val="0"/>
      <w:iCs w:val="0"/>
      <w:smallCaps w:val="0"/>
      <w:strike w:val="0"/>
      <w:sz w:val="22"/>
      <w:szCs w:val="22"/>
      <w:u w:val="none"/>
    </w:rPr>
  </w:style>
  <w:style w:type="character" w:customStyle="1" w:styleId="CharStyle16">
    <w:name w:val="Titulek obrázku_"/>
    <w:basedOn w:val="DefaultParagraphFont"/>
    <w:link w:val="Style15"/>
    <w:rPr>
      <w:rFonts w:ascii="Times New Roman" w:eastAsia="Times New Roman" w:hAnsi="Times New Roman" w:cs="Times New Roman"/>
      <w:b w:val="0"/>
      <w:bCs w:val="0"/>
      <w:i/>
      <w:iCs/>
      <w:smallCaps w:val="0"/>
      <w:strike w:val="0"/>
      <w:sz w:val="16"/>
      <w:szCs w:val="16"/>
      <w:u w:val="none"/>
    </w:rPr>
  </w:style>
  <w:style w:type="character" w:customStyle="1" w:styleId="CharStyle18">
    <w:name w:val="Nadpis #1_"/>
    <w:basedOn w:val="DefaultParagraphFont"/>
    <w:link w:val="Style17"/>
    <w:rPr>
      <w:rFonts w:ascii="Times New Roman" w:eastAsia="Times New Roman" w:hAnsi="Times New Roman" w:cs="Times New Roman"/>
      <w:b w:val="0"/>
      <w:bCs w:val="0"/>
      <w:i w:val="0"/>
      <w:iCs w:val="0"/>
      <w:smallCaps w:val="0"/>
      <w:strike w:val="0"/>
      <w:sz w:val="38"/>
      <w:szCs w:val="38"/>
      <w:u w:val="none"/>
    </w:rPr>
  </w:style>
  <w:style w:type="character" w:customStyle="1" w:styleId="CharStyle20">
    <w:name w:val="Nadpis #2_"/>
    <w:basedOn w:val="DefaultParagraphFont"/>
    <w:link w:val="Style19"/>
    <w:rPr>
      <w:rFonts w:ascii="Times New Roman" w:eastAsia="Times New Roman" w:hAnsi="Times New Roman" w:cs="Times New Roman"/>
      <w:b/>
      <w:bCs/>
      <w:i w:val="0"/>
      <w:iCs w:val="0"/>
      <w:smallCaps w:val="0"/>
      <w:strike w:val="0"/>
      <w:sz w:val="22"/>
      <w:szCs w:val="22"/>
      <w:u w:val="none"/>
    </w:rPr>
  </w:style>
  <w:style w:type="character" w:customStyle="1" w:styleId="CharStyle35">
    <w:name w:val="Základní text (2)_"/>
    <w:basedOn w:val="DefaultParagraphFont"/>
    <w:link w:val="Style34"/>
    <w:rPr>
      <w:rFonts w:ascii="Times New Roman" w:eastAsia="Times New Roman" w:hAnsi="Times New Roman" w:cs="Times New Roman"/>
      <w:b/>
      <w:bCs/>
      <w:i/>
      <w:iCs/>
      <w:smallCaps w:val="0"/>
      <w:strike w:val="0"/>
      <w:sz w:val="16"/>
      <w:szCs w:val="16"/>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6">
    <w:name w:val="Jiné"/>
    <w:basedOn w:val="Normal"/>
    <w:link w:val="CharStyle7"/>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0">
    <w:name w:val="Titulek tabulky"/>
    <w:basedOn w:val="Normal"/>
    <w:link w:val="CharStyle11"/>
    <w:pPr>
      <w:widowControl w:val="0"/>
      <w:shd w:val="clear" w:color="auto" w:fill="FFFFFF"/>
      <w:spacing w:line="257"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2">
    <w:name w:val="Základní text"/>
    <w:basedOn w:val="Normal"/>
    <w:link w:val="CharStyle13"/>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5">
    <w:name w:val="Titulek obrázku"/>
    <w:basedOn w:val="Normal"/>
    <w:link w:val="CharStyle16"/>
    <w:pPr>
      <w:widowControl w:val="0"/>
      <w:shd w:val="clear" w:color="auto" w:fill="FFFFFF"/>
      <w:spacing w:line="288" w:lineRule="auto"/>
      <w:jc w:val="center"/>
    </w:pPr>
    <w:rPr>
      <w:rFonts w:ascii="Times New Roman" w:eastAsia="Times New Roman" w:hAnsi="Times New Roman" w:cs="Times New Roman"/>
      <w:b w:val="0"/>
      <w:bCs w:val="0"/>
      <w:i/>
      <w:iCs/>
      <w:smallCaps w:val="0"/>
      <w:strike w:val="0"/>
      <w:sz w:val="16"/>
      <w:szCs w:val="16"/>
      <w:u w:val="none"/>
    </w:rPr>
  </w:style>
  <w:style w:type="paragraph" w:customStyle="1" w:styleId="Style17">
    <w:name w:val="Nadpis #1"/>
    <w:basedOn w:val="Normal"/>
    <w:link w:val="CharStyle18"/>
    <w:pPr>
      <w:widowControl w:val="0"/>
      <w:shd w:val="clear" w:color="auto" w:fill="FFFFFF"/>
      <w:jc w:val="center"/>
      <w:outlineLvl w:val="0"/>
    </w:pPr>
    <w:rPr>
      <w:rFonts w:ascii="Times New Roman" w:eastAsia="Times New Roman" w:hAnsi="Times New Roman" w:cs="Times New Roman"/>
      <w:b w:val="0"/>
      <w:bCs w:val="0"/>
      <w:i w:val="0"/>
      <w:iCs w:val="0"/>
      <w:smallCaps w:val="0"/>
      <w:strike w:val="0"/>
      <w:sz w:val="38"/>
      <w:szCs w:val="38"/>
      <w:u w:val="none"/>
    </w:rPr>
  </w:style>
  <w:style w:type="paragraph" w:customStyle="1" w:styleId="Style19">
    <w:name w:val="Nadpis #2"/>
    <w:basedOn w:val="Normal"/>
    <w:link w:val="CharStyle20"/>
    <w:pPr>
      <w:widowControl w:val="0"/>
      <w:shd w:val="clear" w:color="auto" w:fill="FFFFFF"/>
      <w:spacing w:after="100" w:line="254" w:lineRule="auto"/>
      <w:jc w:val="center"/>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34">
    <w:name w:val="Základní text (2)"/>
    <w:basedOn w:val="Normal"/>
    <w:link w:val="CharStyle35"/>
    <w:pPr>
      <w:widowControl w:val="0"/>
      <w:shd w:val="clear" w:color="auto" w:fill="FFFFFF"/>
      <w:spacing w:after="140" w:line="276" w:lineRule="auto"/>
    </w:pPr>
    <w:rPr>
      <w:rFonts w:ascii="Times New Roman" w:eastAsia="Times New Roman" w:hAnsi="Times New Roman" w:cs="Times New Roman"/>
      <w:b/>
      <w:bCs/>
      <w:i/>
      <w:iCs/>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Smlouva_BYezské</dc:title>
  <dc:subject/>
  <dc:creator>katerina_korousova</dc:creator>
  <cp:keywords/>
</cp:coreProperties>
</file>