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186DB3" w:rsidRDefault="000A73C0" w:rsidP="00186DB3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86DB3">
        <w:rPr>
          <w:rFonts w:asciiTheme="minorHAnsi" w:hAnsiTheme="minorHAnsi" w:cstheme="minorHAnsi"/>
          <w:b/>
          <w:sz w:val="36"/>
          <w:szCs w:val="36"/>
        </w:rPr>
        <w:t>Smlouva o poskytnutí obratového bonusu</w:t>
      </w: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republika s.r.o.</w:t>
      </w:r>
    </w:p>
    <w:p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5005CF">
        <w:rPr>
          <w:rFonts w:asciiTheme="minorHAnsi" w:hAnsiTheme="minorHAnsi" w:cstheme="minorHAnsi"/>
          <w:sz w:val="22"/>
        </w:rPr>
        <w:tab/>
      </w:r>
    </w:p>
    <w:p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</w:t>
      </w:r>
      <w:r w:rsidR="004E433F">
        <w:rPr>
          <w:rFonts w:asciiTheme="minorHAnsi" w:hAnsiTheme="minorHAnsi" w:cstheme="minorHAnsi"/>
          <w:sz w:val="22"/>
        </w:rPr>
        <w:t>: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:rsidR="00DD59FA" w:rsidRPr="00C20CF1" w:rsidRDefault="004E433F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18263190" wp14:editId="179D76E5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20" w:rsidRPr="00301D14" w:rsidRDefault="00F67320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301D14">
        <w:rPr>
          <w:rFonts w:asciiTheme="minorHAnsi" w:hAnsiTheme="minorHAnsi"/>
          <w:noProof/>
          <w:sz w:val="22"/>
        </w:rPr>
        <w:drawing>
          <wp:inline distT="0" distB="0" distL="0" distR="0" wp14:anchorId="5A8B7C4D" wp14:editId="342C8D1C">
            <wp:extent cx="7620" cy="76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14">
        <w:rPr>
          <w:rFonts w:asciiTheme="minorHAnsi" w:hAnsiTheme="minorHAnsi" w:cstheme="minorHAnsi"/>
          <w:b/>
          <w:sz w:val="22"/>
        </w:rPr>
        <w:t>Nemocnice Nové Město na Moravě, příspěvková organizace</w:t>
      </w:r>
    </w:p>
    <w:p w:rsidR="00F67320" w:rsidRPr="00301D14" w:rsidRDefault="00F67320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301D14">
        <w:rPr>
          <w:rFonts w:asciiTheme="minorHAnsi" w:hAnsiTheme="minorHAnsi" w:cstheme="minorHAnsi"/>
          <w:sz w:val="22"/>
        </w:rPr>
        <w:t xml:space="preserve">Sídlo: </w:t>
      </w:r>
      <w:r w:rsidRPr="00301D14">
        <w:rPr>
          <w:rFonts w:asciiTheme="minorHAnsi" w:hAnsiTheme="minorHAnsi" w:cstheme="minorHAnsi"/>
          <w:sz w:val="22"/>
        </w:rPr>
        <w:tab/>
      </w:r>
    </w:p>
    <w:p w:rsidR="00F67320" w:rsidRPr="00301D14" w:rsidRDefault="00F10B73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IČ: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F67320" w:rsidRPr="00F67320" w:rsidRDefault="00F10B73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F67320" w:rsidRPr="00F67320" w:rsidRDefault="00F67320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67320">
        <w:rPr>
          <w:rFonts w:asciiTheme="minorHAnsi" w:hAnsiTheme="minorHAnsi" w:cstheme="minorHAnsi"/>
          <w:sz w:val="22"/>
        </w:rPr>
        <w:t xml:space="preserve">číslo účtu: </w:t>
      </w:r>
      <w:r w:rsidRPr="00F67320">
        <w:rPr>
          <w:rFonts w:asciiTheme="minorHAnsi" w:hAnsiTheme="minorHAnsi" w:cstheme="minorHAnsi"/>
          <w:sz w:val="22"/>
        </w:rPr>
        <w:tab/>
      </w:r>
    </w:p>
    <w:p w:rsidR="00F67320" w:rsidRPr="00F67320" w:rsidRDefault="00F67320" w:rsidP="00F67320">
      <w:pPr>
        <w:spacing w:after="0" w:line="240" w:lineRule="auto"/>
        <w:ind w:left="212" w:right="1129" w:hanging="6"/>
        <w:rPr>
          <w:rFonts w:asciiTheme="minorHAnsi" w:hAnsiTheme="minorHAnsi"/>
          <w:sz w:val="22"/>
          <w:lang w:val="de-DE"/>
        </w:rPr>
      </w:pPr>
      <w:r w:rsidRPr="00F67320">
        <w:rPr>
          <w:rFonts w:asciiTheme="minorHAnsi" w:hAnsiTheme="minorHAnsi"/>
          <w:noProof/>
        </w:rPr>
        <w:drawing>
          <wp:inline distT="0" distB="0" distL="0" distR="0" wp14:anchorId="1EBD8501" wp14:editId="3DA88033">
            <wp:extent cx="7620" cy="76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67320">
        <w:rPr>
          <w:rFonts w:asciiTheme="minorHAnsi" w:hAnsiTheme="minorHAnsi"/>
          <w:sz w:val="22"/>
          <w:lang w:val="de-DE"/>
        </w:rPr>
        <w:t>zapsaná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 v </w:t>
      </w:r>
      <w:proofErr w:type="spellStart"/>
      <w:r w:rsidRPr="00F67320">
        <w:rPr>
          <w:rFonts w:asciiTheme="minorHAnsi" w:hAnsiTheme="minorHAnsi"/>
          <w:sz w:val="22"/>
          <w:lang w:val="de-DE"/>
        </w:rPr>
        <w:t>obchodním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F67320">
        <w:rPr>
          <w:rFonts w:asciiTheme="minorHAnsi" w:hAnsiTheme="minorHAnsi"/>
          <w:sz w:val="22"/>
          <w:lang w:val="de-DE"/>
        </w:rPr>
        <w:t>rejstříku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F67320">
        <w:rPr>
          <w:rFonts w:asciiTheme="minorHAnsi" w:hAnsiTheme="minorHAnsi"/>
          <w:sz w:val="22"/>
          <w:lang w:val="de-DE"/>
        </w:rPr>
        <w:t>vedeném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F67320">
        <w:rPr>
          <w:rFonts w:asciiTheme="minorHAnsi" w:hAnsiTheme="minorHAnsi"/>
          <w:sz w:val="22"/>
          <w:lang w:val="de-DE"/>
        </w:rPr>
        <w:t>Krajským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F67320">
        <w:rPr>
          <w:rFonts w:asciiTheme="minorHAnsi" w:hAnsiTheme="minorHAnsi"/>
          <w:sz w:val="22"/>
          <w:lang w:val="de-DE"/>
        </w:rPr>
        <w:t>soudem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 v </w:t>
      </w:r>
      <w:proofErr w:type="spellStart"/>
      <w:r w:rsidRPr="00F67320">
        <w:rPr>
          <w:rFonts w:asciiTheme="minorHAnsi" w:hAnsiTheme="minorHAnsi"/>
          <w:sz w:val="22"/>
          <w:lang w:val="de-DE"/>
        </w:rPr>
        <w:t>Brně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,  </w:t>
      </w:r>
      <w:proofErr w:type="spellStart"/>
      <w:r w:rsidRPr="00F67320">
        <w:rPr>
          <w:rFonts w:asciiTheme="minorHAnsi" w:hAnsiTheme="minorHAnsi"/>
          <w:sz w:val="22"/>
          <w:lang w:val="de-DE"/>
        </w:rPr>
        <w:t>sp</w:t>
      </w:r>
      <w:proofErr w:type="spellEnd"/>
      <w:r w:rsidRPr="00F67320">
        <w:rPr>
          <w:rFonts w:asciiTheme="minorHAnsi" w:hAnsiTheme="minorHAnsi"/>
          <w:sz w:val="22"/>
          <w:lang w:val="de-DE"/>
        </w:rPr>
        <w:t xml:space="preserve">. </w:t>
      </w:r>
      <w:proofErr w:type="spellStart"/>
      <w:r w:rsidRPr="00F67320">
        <w:rPr>
          <w:rFonts w:asciiTheme="minorHAnsi" w:hAnsiTheme="minorHAnsi"/>
          <w:sz w:val="22"/>
          <w:lang w:val="de-DE"/>
        </w:rPr>
        <w:t>zn</w:t>
      </w:r>
      <w:proofErr w:type="spellEnd"/>
      <w:r w:rsidRPr="00F67320">
        <w:rPr>
          <w:rFonts w:asciiTheme="minorHAnsi" w:hAnsiTheme="minorHAnsi"/>
          <w:sz w:val="22"/>
          <w:lang w:val="de-DE"/>
        </w:rPr>
        <w:t>. Pr1446</w:t>
      </w:r>
    </w:p>
    <w:p w:rsidR="00F67320" w:rsidRPr="00F67320" w:rsidRDefault="00F67320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67320">
        <w:rPr>
          <w:rFonts w:asciiTheme="minorHAnsi" w:hAnsiTheme="minorHAnsi" w:cstheme="minorHAnsi"/>
          <w:sz w:val="22"/>
        </w:rPr>
        <w:t xml:space="preserve">zastoupená: </w:t>
      </w:r>
      <w:r w:rsidRPr="00F67320">
        <w:rPr>
          <w:rFonts w:asciiTheme="minorHAnsi" w:hAnsiTheme="minorHAnsi" w:cstheme="minorHAnsi"/>
          <w:sz w:val="22"/>
        </w:rPr>
        <w:tab/>
      </w:r>
    </w:p>
    <w:p w:rsidR="00F67320" w:rsidRPr="00F67320" w:rsidRDefault="00F67320" w:rsidP="00F6732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67320">
        <w:rPr>
          <w:rFonts w:asciiTheme="minorHAnsi" w:hAnsiTheme="minorHAnsi" w:cstheme="minorHAnsi"/>
          <w:sz w:val="22"/>
        </w:rPr>
        <w:t>dále jen „</w:t>
      </w:r>
      <w:r w:rsidRPr="00F67320">
        <w:rPr>
          <w:rFonts w:asciiTheme="minorHAnsi" w:hAnsiTheme="minorHAnsi" w:cstheme="minorHAnsi"/>
          <w:b/>
          <w:sz w:val="22"/>
        </w:rPr>
        <w:t>Odběratel</w:t>
      </w:r>
      <w:r w:rsidRPr="00F67320">
        <w:rPr>
          <w:rFonts w:asciiTheme="minorHAnsi" w:hAnsiTheme="minorHAnsi" w:cstheme="minorHAnsi"/>
          <w:sz w:val="22"/>
        </w:rPr>
        <w:t>“</w:t>
      </w:r>
    </w:p>
    <w:p w:rsidR="007F04CC" w:rsidRPr="0022661E" w:rsidRDefault="00383C5D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 </w:t>
      </w:r>
    </w:p>
    <w:p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22661E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22661E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:rsidR="00F409B1" w:rsidRPr="0022661E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 </w:t>
      </w:r>
      <w:r w:rsidR="00680CC4">
        <w:rPr>
          <w:rFonts w:asciiTheme="minorHAnsi" w:hAnsiTheme="minorHAnsi" w:cstheme="minorHAnsi"/>
          <w:sz w:val="22"/>
        </w:rPr>
        <w:t>a v</w:t>
      </w:r>
      <w:r w:rsidR="00E41E51"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>tam</w:t>
      </w:r>
      <w:r w:rsidRPr="0022661E">
        <w:rPr>
          <w:rFonts w:asciiTheme="minorHAnsi" w:hAnsiTheme="minorHAnsi" w:cstheme="minorHAnsi"/>
          <w:sz w:val="22"/>
        </w:rPr>
        <w:t xml:space="preserve"> uvedené výši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</w:t>
      </w:r>
      <w:proofErr w:type="gramStart"/>
      <w:r w:rsidRPr="0022661E">
        <w:rPr>
          <w:rFonts w:asciiTheme="minorHAnsi" w:hAnsiTheme="minorHAnsi" w:cstheme="minorHAnsi"/>
          <w:sz w:val="22"/>
        </w:rPr>
        <w:t>dosáhne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minimálně obratu uvedeného v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</w:t>
      </w:r>
      <w:proofErr w:type="gramStart"/>
      <w:r w:rsidR="00780B09" w:rsidRPr="0022661E">
        <w:rPr>
          <w:rFonts w:asciiTheme="minorHAnsi" w:hAnsiTheme="minorHAnsi" w:cstheme="minorHAnsi"/>
          <w:sz w:val="22"/>
        </w:rPr>
        <w:t>přesáhne</w:t>
      </w:r>
      <w:proofErr w:type="gramEnd"/>
      <w:r w:rsidRPr="0022661E">
        <w:rPr>
          <w:rFonts w:asciiTheme="minorHAnsi" w:hAnsiTheme="minorHAnsi" w:cstheme="minorHAnsi"/>
          <w:sz w:val="22"/>
        </w:rPr>
        <w:t>.</w:t>
      </w:r>
    </w:p>
    <w:p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</w:t>
      </w:r>
      <w:r w:rsidRPr="00186DB3">
        <w:rPr>
          <w:rFonts w:asciiTheme="minorHAnsi" w:hAnsiTheme="minorHAnsi" w:cstheme="minorHAnsi"/>
          <w:sz w:val="22"/>
        </w:rPr>
        <w:t xml:space="preserve">období z </w:t>
      </w:r>
      <w:r w:rsidR="00644E7D" w:rsidRPr="00186DB3">
        <w:rPr>
          <w:rFonts w:asciiTheme="minorHAnsi" w:hAnsiTheme="minorHAnsi" w:cstheme="minorHAnsi"/>
          <w:sz w:val="22"/>
        </w:rPr>
        <w:t>d</w:t>
      </w:r>
      <w:r w:rsidRPr="00186DB3">
        <w:rPr>
          <w:rFonts w:asciiTheme="minorHAnsi" w:hAnsiTheme="minorHAnsi" w:cstheme="minorHAnsi"/>
          <w:sz w:val="22"/>
        </w:rPr>
        <w:t xml:space="preserve">istribuční sítě. </w:t>
      </w:r>
      <w:r w:rsidR="003371F3" w:rsidRPr="00186DB3">
        <w:rPr>
          <w:rFonts w:asciiTheme="minorHAnsi" w:hAnsiTheme="minorHAnsi" w:cstheme="minorHAnsi"/>
          <w:sz w:val="22"/>
        </w:rPr>
        <w:t xml:space="preserve">Do obratu dle předchozí věty se nezahrnují ceny balení Zboží, které Odběratel dále dodá jinému poskytovateli zdravotních služeb či distributorovi. </w:t>
      </w:r>
      <w:r w:rsidRPr="00186DB3">
        <w:rPr>
          <w:rFonts w:asciiTheme="minorHAnsi" w:hAnsiTheme="minorHAnsi" w:cstheme="minorHAnsi"/>
          <w:sz w:val="22"/>
        </w:rPr>
        <w:t xml:space="preserve">Cenou balení </w:t>
      </w:r>
      <w:r w:rsidR="00897D87" w:rsidRPr="00186DB3">
        <w:rPr>
          <w:rFonts w:asciiTheme="minorHAnsi" w:hAnsiTheme="minorHAnsi" w:cstheme="minorHAnsi"/>
          <w:sz w:val="22"/>
        </w:rPr>
        <w:t>Zboží</w:t>
      </w:r>
      <w:r w:rsidRPr="00186DB3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186DB3">
        <w:rPr>
          <w:rFonts w:asciiTheme="minorHAnsi" w:hAnsiTheme="minorHAnsi" w:cstheme="minorHAnsi"/>
          <w:sz w:val="22"/>
        </w:rPr>
        <w:t>v</w:t>
      </w:r>
      <w:r w:rsidR="001949ED" w:rsidRPr="00186DB3">
        <w:rPr>
          <w:rFonts w:asciiTheme="minorHAnsi" w:hAnsiTheme="minorHAnsi" w:cstheme="minorHAnsi"/>
          <w:sz w:val="22"/>
        </w:rPr>
        <w:t>ýrobce</w:t>
      </w:r>
      <w:r w:rsidR="00851526" w:rsidRPr="00186DB3">
        <w:rPr>
          <w:rFonts w:asciiTheme="minorHAnsi" w:hAnsiTheme="minorHAnsi" w:cstheme="minorHAnsi"/>
          <w:sz w:val="22"/>
        </w:rPr>
        <w:t xml:space="preserve"> (S</w:t>
      </w:r>
      <w:r w:rsidR="001949ED" w:rsidRPr="00186DB3">
        <w:rPr>
          <w:rFonts w:asciiTheme="minorHAnsi" w:hAnsiTheme="minorHAnsi" w:cstheme="minorHAnsi"/>
          <w:sz w:val="22"/>
        </w:rPr>
        <w:t>polečnosti)</w:t>
      </w:r>
      <w:r w:rsidR="00326948" w:rsidRPr="00186DB3">
        <w:rPr>
          <w:rFonts w:asciiTheme="minorHAnsi" w:hAnsiTheme="minorHAnsi" w:cstheme="minorHAnsi"/>
          <w:sz w:val="22"/>
        </w:rPr>
        <w:t xml:space="preserve"> </w:t>
      </w:r>
      <w:r w:rsidR="00321602" w:rsidRPr="00186DB3">
        <w:rPr>
          <w:rFonts w:asciiTheme="minorHAnsi" w:hAnsiTheme="minorHAnsi" w:cstheme="minorHAnsi"/>
          <w:sz w:val="22"/>
        </w:rPr>
        <w:t xml:space="preserve">Odběrateli </w:t>
      </w:r>
      <w:r w:rsidRPr="00186DB3">
        <w:rPr>
          <w:rFonts w:asciiTheme="minorHAnsi" w:hAnsiTheme="minorHAnsi" w:cstheme="minorHAnsi"/>
          <w:sz w:val="22"/>
        </w:rPr>
        <w:t>bez DPH</w:t>
      </w:r>
      <w:r w:rsidR="008547AA" w:rsidRPr="00186DB3">
        <w:rPr>
          <w:rFonts w:asciiTheme="minorHAnsi" w:hAnsiTheme="minorHAnsi" w:cstheme="minorHAnsi"/>
          <w:sz w:val="22"/>
        </w:rPr>
        <w:t> </w:t>
      </w:r>
      <w:r w:rsidR="00E41E51" w:rsidRPr="00186DB3">
        <w:rPr>
          <w:rFonts w:asciiTheme="minorHAnsi" w:hAnsiTheme="minorHAnsi" w:cstheme="minorHAnsi"/>
          <w:sz w:val="22"/>
        </w:rPr>
        <w:t xml:space="preserve">platná </w:t>
      </w:r>
      <w:r w:rsidR="008547AA" w:rsidRPr="00186DB3">
        <w:rPr>
          <w:rFonts w:asciiTheme="minorHAnsi" w:hAnsiTheme="minorHAnsi" w:cstheme="minorHAnsi"/>
          <w:sz w:val="22"/>
        </w:rPr>
        <w:t>v</w:t>
      </w:r>
      <w:r w:rsidR="008547AA" w:rsidRPr="0022661E">
        <w:rPr>
          <w:rFonts w:asciiTheme="minorHAnsi" w:hAnsiTheme="minorHAnsi" w:cstheme="minorHAnsi"/>
          <w:sz w:val="22"/>
        </w:rPr>
        <w:t xml:space="preserve">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>Dojde</w:t>
      </w:r>
      <w:r w:rsidR="00186DB3">
        <w:rPr>
          <w:rFonts w:asciiTheme="minorHAnsi" w:hAnsiTheme="minorHAnsi" w:cstheme="minorHAnsi"/>
          <w:sz w:val="22"/>
        </w:rPr>
        <w:t>-</w:t>
      </w:r>
      <w:r w:rsidRPr="0022661E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</w:t>
      </w:r>
      <w:proofErr w:type="gramStart"/>
      <w:r w:rsidR="005C7DAC">
        <w:rPr>
          <w:rFonts w:asciiTheme="minorHAnsi" w:hAnsiTheme="minorHAnsi" w:cstheme="minorHAnsi"/>
          <w:sz w:val="22"/>
        </w:rPr>
        <w:t>následující</w:t>
      </w:r>
      <w:proofErr w:type="gramEnd"/>
      <w:r w:rsidR="005C7DAC">
        <w:rPr>
          <w:rFonts w:asciiTheme="minorHAnsi" w:hAnsiTheme="minorHAnsi" w:cstheme="minorHAnsi"/>
          <w:sz w:val="22"/>
        </w:rPr>
        <w:t xml:space="preserve">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</w:t>
      </w:r>
      <w:r w:rsidR="00843DD2">
        <w:rPr>
          <w:rFonts w:asciiTheme="minorHAnsi" w:hAnsiTheme="minorHAnsi" w:cstheme="minorHAnsi"/>
          <w:sz w:val="22"/>
        </w:rPr>
        <w:t xml:space="preserve"> </w:t>
      </w:r>
      <w:r w:rsidR="002806B0">
        <w:rPr>
          <w:rFonts w:asciiTheme="minorHAnsi" w:hAnsiTheme="minorHAnsi" w:cstheme="minorHAnsi"/>
          <w:sz w:val="22"/>
        </w:rPr>
        <w:t>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30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této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:rsidR="004C5AD4" w:rsidRPr="0022661E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E87158" w:rsidRDefault="00E87158" w:rsidP="00186DB3">
      <w:pPr>
        <w:pStyle w:val="Odstavecseseznamem"/>
        <w:rPr>
          <w:rFonts w:asciiTheme="minorHAnsi" w:hAnsiTheme="minorHAnsi" w:cstheme="minorHAnsi"/>
          <w:sz w:val="22"/>
        </w:rPr>
      </w:pPr>
    </w:p>
    <w:p w:rsidR="00AE18C3" w:rsidRPr="00AE18C3" w:rsidRDefault="00E87158" w:rsidP="00AE18C3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E87158">
        <w:rPr>
          <w:rFonts w:asciiTheme="minorHAnsi" w:hAnsiTheme="minorHAnsi" w:cstheme="minorHAnsi"/>
          <w:sz w:val="22"/>
        </w:rPr>
        <w:t xml:space="preserve">Podpisem této dohody se </w:t>
      </w:r>
      <w:r>
        <w:rPr>
          <w:rFonts w:asciiTheme="minorHAnsi" w:hAnsiTheme="minorHAnsi" w:cstheme="minorHAnsi"/>
          <w:sz w:val="22"/>
        </w:rPr>
        <w:t xml:space="preserve">smluvní </w:t>
      </w:r>
      <w:r w:rsidRPr="00E87158">
        <w:rPr>
          <w:rFonts w:asciiTheme="minorHAnsi" w:hAnsiTheme="minorHAnsi" w:cstheme="minorHAnsi"/>
          <w:sz w:val="22"/>
        </w:rPr>
        <w:t xml:space="preserve">strany zavazují, že budou podnikat zde uvažované transakce způsobem, který je v souladu se všemi příslušnými zákony a předpisy, včetně amerického zákona </w:t>
      </w:r>
      <w:proofErr w:type="spellStart"/>
      <w:r w:rsidRPr="00E87158">
        <w:rPr>
          <w:rFonts w:asciiTheme="minorHAnsi" w:hAnsiTheme="minorHAnsi" w:cstheme="minorHAnsi"/>
          <w:sz w:val="22"/>
        </w:rPr>
        <w:t>Foreign</w:t>
      </w:r>
      <w:proofErr w:type="spellEnd"/>
      <w:r w:rsidRPr="00E8715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87158">
        <w:rPr>
          <w:rFonts w:asciiTheme="minorHAnsi" w:hAnsiTheme="minorHAnsi" w:cstheme="minorHAnsi"/>
          <w:sz w:val="22"/>
        </w:rPr>
        <w:t>Corrupt</w:t>
      </w:r>
      <w:proofErr w:type="spellEnd"/>
      <w:r w:rsidRPr="00E8715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87158">
        <w:rPr>
          <w:rFonts w:asciiTheme="minorHAnsi" w:hAnsiTheme="minorHAnsi" w:cstheme="minorHAnsi"/>
          <w:sz w:val="22"/>
        </w:rPr>
        <w:t>Practices</w:t>
      </w:r>
      <w:proofErr w:type="spellEnd"/>
      <w:r w:rsidRPr="00E8715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87158">
        <w:rPr>
          <w:rFonts w:asciiTheme="minorHAnsi" w:hAnsiTheme="minorHAnsi" w:cstheme="minorHAnsi"/>
          <w:sz w:val="22"/>
        </w:rPr>
        <w:t>Act</w:t>
      </w:r>
      <w:proofErr w:type="spellEnd"/>
      <w:r w:rsidRPr="00E87158">
        <w:rPr>
          <w:rFonts w:asciiTheme="minorHAnsi" w:hAnsiTheme="minorHAnsi" w:cstheme="minorHAnsi"/>
          <w:sz w:val="22"/>
        </w:rPr>
        <w:t xml:space="preserve"> a Globálního kodexu chování pro externí partnery </w:t>
      </w:r>
      <w:r w:rsidR="00AE18C3" w:rsidRPr="00AE18C3">
        <w:rPr>
          <w:rFonts w:asciiTheme="minorHAnsi" w:hAnsiTheme="minorHAnsi" w:cstheme="minorHAnsi"/>
          <w:sz w:val="22"/>
        </w:rPr>
        <w:t>společnosti Menarini, který je k dispozici na </w:t>
      </w:r>
      <w:hyperlink r:id="rId9" w:tgtFrame="_blank" w:history="1">
        <w:r w:rsidR="00AE18C3" w:rsidRPr="00AE18C3">
          <w:rPr>
            <w:rFonts w:asciiTheme="minorHAnsi" w:hAnsiTheme="minorHAnsi" w:cstheme="minorHAnsi"/>
            <w:sz w:val="22"/>
          </w:rPr>
          <w:t>www.berlin-chemie.cz/cs-cz/odpovědnost/kodex-pro-partnery</w:t>
        </w:r>
      </w:hyperlink>
      <w:r w:rsidR="00AE18C3" w:rsidRPr="00AE18C3">
        <w:rPr>
          <w:rFonts w:asciiTheme="minorHAnsi" w:hAnsiTheme="minorHAnsi" w:cstheme="minorHAnsi"/>
          <w:sz w:val="22"/>
        </w:rPr>
        <w:t>.</w:t>
      </w:r>
    </w:p>
    <w:p w:rsidR="00AE18C3" w:rsidRPr="0022661E" w:rsidRDefault="00AE18C3" w:rsidP="00AE18C3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:rsidR="00F409B1" w:rsidRPr="0022661E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>Je</w:t>
      </w:r>
      <w:r w:rsidR="006A35CE">
        <w:rPr>
          <w:rFonts w:asciiTheme="minorHAnsi" w:hAnsiTheme="minorHAnsi" w:cstheme="minorHAnsi"/>
          <w:sz w:val="22"/>
        </w:rPr>
        <w:t>-li</w:t>
      </w:r>
      <w:r w:rsidR="0033090B" w:rsidRPr="0022661E">
        <w:rPr>
          <w:rFonts w:asciiTheme="minorHAnsi" w:hAnsiTheme="minorHAnsi" w:cstheme="minorHAnsi"/>
          <w:sz w:val="22"/>
        </w:rPr>
        <w:t xml:space="preserve"> dána zákonná povinnost k uveřejnění </w:t>
      </w:r>
      <w:r w:rsidR="006A35CE">
        <w:rPr>
          <w:rFonts w:asciiTheme="minorHAnsi" w:hAnsiTheme="minorHAnsi" w:cstheme="minorHAnsi"/>
          <w:sz w:val="22"/>
        </w:rPr>
        <w:t xml:space="preserve">této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</w:t>
      </w:r>
      <w:r w:rsidR="006A35CE">
        <w:rPr>
          <w:rFonts w:asciiTheme="minorHAnsi" w:hAnsiTheme="minorHAnsi" w:cstheme="minorHAnsi"/>
          <w:sz w:val="22"/>
        </w:rPr>
        <w:t xml:space="preserve">registru smluv, pak se </w:t>
      </w:r>
      <w:r w:rsidR="00C52226">
        <w:rPr>
          <w:rFonts w:asciiTheme="minorHAnsi" w:hAnsiTheme="minorHAnsi" w:cstheme="minorHAnsi"/>
          <w:sz w:val="22"/>
        </w:rPr>
        <w:t>s</w:t>
      </w:r>
      <w:r w:rsidR="00B77B51" w:rsidRPr="0022661E">
        <w:rPr>
          <w:rFonts w:asciiTheme="minorHAnsi" w:hAnsiTheme="minorHAnsi" w:cstheme="minorHAnsi"/>
          <w:sz w:val="22"/>
        </w:rPr>
        <w:t>mluvní strany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C52226">
        <w:rPr>
          <w:rFonts w:asciiTheme="minorHAnsi" w:hAnsiTheme="minorHAnsi" w:cstheme="minorHAnsi"/>
          <w:sz w:val="22"/>
        </w:rPr>
        <w:t>registru smluv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</w:p>
    <w:p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:rsidR="00F75EFA" w:rsidRPr="0022661E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AE4590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AE4590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AE4590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4E433F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4E433F">
        <w:rPr>
          <w:rFonts w:asciiTheme="minorHAnsi" w:hAnsiTheme="minorHAnsi" w:cstheme="minorHAnsi"/>
          <w:sz w:val="22"/>
          <w:szCs w:val="22"/>
        </w:rPr>
        <w:t xml:space="preserve">1. </w:t>
      </w:r>
      <w:r w:rsidR="00F67320">
        <w:rPr>
          <w:rFonts w:asciiTheme="minorHAnsi" w:hAnsiTheme="minorHAnsi" w:cstheme="minorHAnsi"/>
          <w:sz w:val="22"/>
          <w:szCs w:val="22"/>
        </w:rPr>
        <w:t>4</w:t>
      </w:r>
      <w:r w:rsidR="004E433F" w:rsidRPr="004E433F">
        <w:rPr>
          <w:rFonts w:asciiTheme="minorHAnsi" w:hAnsiTheme="minorHAnsi" w:cstheme="minorHAnsi"/>
          <w:sz w:val="22"/>
          <w:szCs w:val="22"/>
        </w:rPr>
        <w:t>. 2021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AE4590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AE4590">
        <w:rPr>
          <w:rFonts w:asciiTheme="minorHAnsi" w:hAnsiTheme="minorHAnsi" w:cstheme="minorHAnsi"/>
          <w:sz w:val="22"/>
          <w:szCs w:val="22"/>
        </w:rPr>
        <w:t>31. 12. 20</w:t>
      </w:r>
      <w:r w:rsidR="005C6B57" w:rsidRPr="00AE4590">
        <w:rPr>
          <w:rFonts w:asciiTheme="minorHAnsi" w:hAnsiTheme="minorHAnsi" w:cstheme="minorHAnsi"/>
          <w:sz w:val="22"/>
          <w:szCs w:val="22"/>
        </w:rPr>
        <w:t>2</w:t>
      </w:r>
      <w:r w:rsidR="004E433F">
        <w:rPr>
          <w:rFonts w:asciiTheme="minorHAnsi" w:hAnsiTheme="minorHAnsi" w:cstheme="minorHAnsi"/>
          <w:sz w:val="22"/>
          <w:szCs w:val="22"/>
        </w:rPr>
        <w:t>1</w:t>
      </w:r>
      <w:r w:rsidR="00E41E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Pr="00527DDA">
        <w:rPr>
          <w:rFonts w:asciiTheme="minorHAnsi" w:hAnsiTheme="minorHAnsi" w:cstheme="minorHAnsi"/>
          <w:sz w:val="22"/>
          <w:szCs w:val="22"/>
        </w:rPr>
        <w:t>Smlouva nabude účinnosti dnem uveřejnění v registru smluv</w:t>
      </w:r>
      <w:r w:rsidR="00C26D40" w:rsidRPr="00527DDA">
        <w:rPr>
          <w:rFonts w:asciiTheme="minorHAnsi" w:hAnsiTheme="minorHAnsi" w:cstheme="minorHAnsi"/>
          <w:sz w:val="22"/>
          <w:szCs w:val="22"/>
        </w:rPr>
        <w:t>.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 Znění této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odpovídá dřívější ústní dohodě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tran, která nabyla účinnosti dnem </w:t>
      </w:r>
      <w:r w:rsidR="00F67320">
        <w:rPr>
          <w:rFonts w:asciiTheme="minorHAnsi" w:hAnsiTheme="minorHAnsi" w:cstheme="minorHAnsi"/>
          <w:sz w:val="22"/>
          <w:szCs w:val="22"/>
        </w:rPr>
        <w:t xml:space="preserve">30. 3. 2021 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a podle které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trany postupovaly již před podpisem tohoto písemného znění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a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>trany tímto obsah této dohody v písemné podobě potvrzují.</w:t>
      </w:r>
    </w:p>
    <w:p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:rsidR="000B4D69" w:rsidRPr="000165BB" w:rsidRDefault="000B4D69" w:rsidP="000165BB">
      <w:pPr>
        <w:pStyle w:val="Odstavecseseznamem"/>
        <w:rPr>
          <w:rFonts w:asciiTheme="minorHAnsi" w:hAnsiTheme="minorHAnsi" w:cstheme="minorHAnsi"/>
          <w:sz w:val="22"/>
        </w:rPr>
      </w:pPr>
    </w:p>
    <w:p w:rsidR="000B4D69" w:rsidRPr="00186DB3" w:rsidRDefault="000B4D69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186DB3">
        <w:rPr>
          <w:rFonts w:asciiTheme="minorHAnsi" w:hAnsiTheme="minorHAnsi" w:cstheme="minorHAnsi"/>
          <w:sz w:val="22"/>
        </w:rPr>
        <w:t>Společnost je oprávněna tuto smlouv</w:t>
      </w:r>
      <w:r w:rsidR="004A2A01" w:rsidRPr="00186DB3">
        <w:rPr>
          <w:rFonts w:asciiTheme="minorHAnsi" w:hAnsiTheme="minorHAnsi" w:cstheme="minorHAnsi"/>
          <w:sz w:val="22"/>
        </w:rPr>
        <w:t>u</w:t>
      </w:r>
      <w:r w:rsidRPr="00186DB3">
        <w:rPr>
          <w:rFonts w:asciiTheme="minorHAnsi" w:hAnsiTheme="minorHAnsi" w:cstheme="minorHAnsi"/>
          <w:sz w:val="22"/>
        </w:rPr>
        <w:t xml:space="preserve"> vypovědět písemnou výpovědí bez výpovědní doby v případě, že by </w:t>
      </w:r>
      <w:r w:rsidR="004A2A01" w:rsidRPr="00186DB3">
        <w:rPr>
          <w:rFonts w:asciiTheme="minorHAnsi" w:hAnsiTheme="minorHAnsi" w:cstheme="minorHAnsi"/>
          <w:sz w:val="22"/>
        </w:rPr>
        <w:t xml:space="preserve">poskytnutí </w:t>
      </w:r>
      <w:r w:rsidR="004A2A01" w:rsidRPr="004C2E96">
        <w:rPr>
          <w:rFonts w:asciiTheme="minorHAnsi" w:hAnsiTheme="minorHAnsi" w:cstheme="minorHAnsi"/>
          <w:sz w:val="22"/>
        </w:rPr>
        <w:t xml:space="preserve">Bonusu bylo nebo </w:t>
      </w:r>
      <w:r w:rsidR="00FD10F6" w:rsidRPr="00186DB3">
        <w:rPr>
          <w:rFonts w:asciiTheme="minorHAnsi" w:hAnsiTheme="minorHAnsi" w:cstheme="minorHAnsi"/>
          <w:sz w:val="22"/>
        </w:rPr>
        <w:t xml:space="preserve">potenciálně </w:t>
      </w:r>
      <w:r w:rsidR="004A2A01" w:rsidRPr="00186DB3">
        <w:rPr>
          <w:rFonts w:asciiTheme="minorHAnsi" w:hAnsiTheme="minorHAnsi" w:cstheme="minorHAnsi"/>
          <w:sz w:val="22"/>
        </w:rPr>
        <w:t xml:space="preserve">mohlo být posouzeno jako porušení příslušných právních předpisů upravujících pravidla hospodářské soutěže. V takovém případě dochází k ukončení smlouvy okamžikem </w:t>
      </w:r>
      <w:r w:rsidR="00FD12E0" w:rsidRPr="00186DB3">
        <w:rPr>
          <w:rFonts w:asciiTheme="minorHAnsi" w:hAnsiTheme="minorHAnsi" w:cstheme="minorHAnsi"/>
          <w:sz w:val="22"/>
        </w:rPr>
        <w:t>doručení</w:t>
      </w:r>
      <w:r w:rsidR="004A2A01" w:rsidRPr="00186DB3">
        <w:rPr>
          <w:rFonts w:asciiTheme="minorHAnsi" w:hAnsiTheme="minorHAnsi" w:cstheme="minorHAnsi"/>
          <w:sz w:val="22"/>
        </w:rPr>
        <w:t xml:space="preserve"> písemné výpovědi</w:t>
      </w:r>
      <w:r w:rsidR="00FD12E0" w:rsidRPr="00186DB3">
        <w:rPr>
          <w:rFonts w:asciiTheme="minorHAnsi" w:hAnsiTheme="minorHAnsi" w:cstheme="minorHAnsi"/>
          <w:sz w:val="22"/>
        </w:rPr>
        <w:t xml:space="preserve"> dle předchozí věty Odběrateli. </w:t>
      </w:r>
    </w:p>
    <w:p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22661E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jejich pravé, vážné a svobodné vůli, což stvrzují svými níže připojenými podpisy.</w:t>
      </w:r>
    </w:p>
    <w:p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F67320" w:rsidRPr="00B2661E" w:rsidRDefault="00F67320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4E433F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F10B73">
        <w:rPr>
          <w:rFonts w:asciiTheme="minorHAnsi" w:eastAsia="Times New Roman" w:hAnsiTheme="minorHAnsi" w:cstheme="minorHAnsi"/>
          <w:sz w:val="22"/>
        </w:rPr>
        <w:tab/>
      </w:r>
      <w:proofErr w:type="gramStart"/>
      <w:r w:rsidR="00536F77">
        <w:rPr>
          <w:rFonts w:asciiTheme="minorHAnsi" w:eastAsia="Times New Roman" w:hAnsiTheme="minorHAnsi" w:cstheme="minorHAnsi"/>
          <w:sz w:val="22"/>
        </w:rPr>
        <w:t>30.3.2021</w:t>
      </w:r>
      <w:proofErr w:type="gramEnd"/>
      <w:r w:rsidR="00F10B73">
        <w:rPr>
          <w:rFonts w:asciiTheme="minorHAnsi" w:eastAsia="Times New Roman" w:hAnsiTheme="minorHAnsi" w:cstheme="minorHAnsi"/>
          <w:sz w:val="22"/>
        </w:rPr>
        <w:tab/>
      </w:r>
      <w:r w:rsidR="00F10B73">
        <w:rPr>
          <w:rFonts w:asciiTheme="minorHAnsi" w:eastAsia="Times New Roman" w:hAnsiTheme="minorHAnsi" w:cstheme="minorHAnsi"/>
          <w:sz w:val="22"/>
        </w:rPr>
        <w:tab/>
      </w:r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r w:rsidR="004E433F">
        <w:rPr>
          <w:rFonts w:asciiTheme="minorHAnsi" w:eastAsia="Times New Roman" w:hAnsiTheme="minorHAnsi" w:cstheme="minorHAnsi"/>
          <w:sz w:val="22"/>
        </w:rPr>
        <w:tab/>
      </w:r>
      <w:r w:rsidR="004E433F">
        <w:rPr>
          <w:rFonts w:asciiTheme="minorHAnsi" w:eastAsia="Times New Roman" w:hAnsiTheme="minorHAnsi" w:cstheme="minorHAnsi"/>
          <w:sz w:val="22"/>
        </w:rPr>
        <w:tab/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F67320">
        <w:rPr>
          <w:rFonts w:asciiTheme="minorHAnsi" w:eastAsia="Times New Roman" w:hAnsiTheme="minorHAnsi" w:cstheme="minorHAnsi"/>
          <w:sz w:val="22"/>
        </w:rPr>
        <w:t> Novém Městě na Moravě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  <w:r w:rsidR="00536F77">
        <w:rPr>
          <w:rFonts w:asciiTheme="minorHAnsi" w:eastAsia="Times New Roman" w:hAnsiTheme="minorHAnsi" w:cstheme="minorHAnsi"/>
          <w:sz w:val="22"/>
        </w:rPr>
        <w:t xml:space="preserve"> 31.3.2021</w:t>
      </w:r>
    </w:p>
    <w:p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10B73" w:rsidRDefault="00F10B73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bookmarkStart w:id="0" w:name="_GoBack"/>
      <w:bookmarkEnd w:id="0"/>
    </w:p>
    <w:p w:rsidR="00F67320" w:rsidRDefault="00F67320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22661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  <w:t>______________________________</w:t>
      </w:r>
    </w:p>
    <w:p w:rsidR="00232004" w:rsidRDefault="00E233B7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</w:t>
      </w:r>
      <w:r w:rsidR="0091432B">
        <w:rPr>
          <w:rFonts w:asciiTheme="minorHAnsi" w:hAnsiTheme="minorHAnsi" w:cstheme="minorHAnsi"/>
          <w:b/>
        </w:rPr>
        <w:t xml:space="preserve">  </w:t>
      </w:r>
      <w:r w:rsidR="00C20CF1">
        <w:rPr>
          <w:rFonts w:asciiTheme="minorHAnsi" w:hAnsiTheme="minorHAnsi" w:cstheme="minorHAnsi"/>
          <w:b/>
        </w:rPr>
        <w:t xml:space="preserve">  </w:t>
      </w:r>
      <w:r w:rsidR="00F67320" w:rsidRPr="00F67320">
        <w:rPr>
          <w:rFonts w:asciiTheme="minorHAnsi" w:hAnsiTheme="minorHAnsi" w:cstheme="minorHAnsi"/>
          <w:b/>
          <w:sz w:val="22"/>
        </w:rPr>
        <w:t>Nemocnice Nové Město na Moravě, p.</w:t>
      </w:r>
      <w:r w:rsidR="00F67320">
        <w:rPr>
          <w:rFonts w:asciiTheme="minorHAnsi" w:hAnsiTheme="minorHAnsi" w:cstheme="minorHAnsi"/>
          <w:b/>
          <w:sz w:val="22"/>
        </w:rPr>
        <w:t xml:space="preserve"> </w:t>
      </w:r>
      <w:r w:rsidR="00F67320" w:rsidRPr="00F67320">
        <w:rPr>
          <w:rFonts w:asciiTheme="minorHAnsi" w:hAnsiTheme="minorHAnsi" w:cstheme="minorHAnsi"/>
          <w:b/>
          <w:sz w:val="22"/>
        </w:rPr>
        <w:t>o.</w:t>
      </w: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Anonymizováno</w:t>
      </w: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Anonymizováno</w:t>
      </w: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</w:p>
    <w:p w:rsidR="005A5F61" w:rsidRPr="005A5F61" w:rsidRDefault="005A5F61" w:rsidP="00F67320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Anonymizováno</w:t>
      </w:r>
    </w:p>
    <w:sectPr w:rsidR="005A5F61" w:rsidRPr="005A5F61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BA99" w16cex:dateUtc="2021-03-18T10:40:00Z"/>
  <w16cex:commentExtensible w16cex:durableId="23FDBB5F" w16cex:dateUtc="2021-03-1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41102A" w16cid:durableId="23FDBA99"/>
  <w16cid:commentId w16cid:paraId="3D49D6C7" w16cid:durableId="23FDBB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00573"/>
    <w:rsid w:val="0001030F"/>
    <w:rsid w:val="00010EBB"/>
    <w:rsid w:val="00012748"/>
    <w:rsid w:val="000165BB"/>
    <w:rsid w:val="000177DD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035"/>
    <w:rsid w:val="000565E1"/>
    <w:rsid w:val="00057F80"/>
    <w:rsid w:val="000676F4"/>
    <w:rsid w:val="0007423B"/>
    <w:rsid w:val="00080563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339C"/>
    <w:rsid w:val="000B41C9"/>
    <w:rsid w:val="000B4D6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DB3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17C94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6574F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371F3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A39C2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2A01"/>
    <w:rsid w:val="004A3F05"/>
    <w:rsid w:val="004A5729"/>
    <w:rsid w:val="004B31D3"/>
    <w:rsid w:val="004C2E96"/>
    <w:rsid w:val="004C30D7"/>
    <w:rsid w:val="004C48A3"/>
    <w:rsid w:val="004C5AD4"/>
    <w:rsid w:val="004D4249"/>
    <w:rsid w:val="004E18AF"/>
    <w:rsid w:val="004E433F"/>
    <w:rsid w:val="004F0A24"/>
    <w:rsid w:val="005005CF"/>
    <w:rsid w:val="00514791"/>
    <w:rsid w:val="00525E31"/>
    <w:rsid w:val="00527DDA"/>
    <w:rsid w:val="00531ECE"/>
    <w:rsid w:val="00532C88"/>
    <w:rsid w:val="00536F77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5F61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17D6"/>
    <w:rsid w:val="005D265A"/>
    <w:rsid w:val="005D273F"/>
    <w:rsid w:val="005D2756"/>
    <w:rsid w:val="005D2822"/>
    <w:rsid w:val="005E24D2"/>
    <w:rsid w:val="005E2950"/>
    <w:rsid w:val="005E3DD6"/>
    <w:rsid w:val="005E4E4D"/>
    <w:rsid w:val="005E6AEA"/>
    <w:rsid w:val="005F08D6"/>
    <w:rsid w:val="00600DF0"/>
    <w:rsid w:val="0060117C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5CE"/>
    <w:rsid w:val="006B021B"/>
    <w:rsid w:val="006C088A"/>
    <w:rsid w:val="006C18C5"/>
    <w:rsid w:val="006D432B"/>
    <w:rsid w:val="006D6203"/>
    <w:rsid w:val="006E3F7A"/>
    <w:rsid w:val="006E5E9E"/>
    <w:rsid w:val="006F34BD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1F55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43DD2"/>
    <w:rsid w:val="00851526"/>
    <w:rsid w:val="00852062"/>
    <w:rsid w:val="008547AA"/>
    <w:rsid w:val="00867D4C"/>
    <w:rsid w:val="00870E83"/>
    <w:rsid w:val="0087289F"/>
    <w:rsid w:val="00875657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32B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A6B0B"/>
    <w:rsid w:val="009B1DF2"/>
    <w:rsid w:val="009B57C3"/>
    <w:rsid w:val="009B7AB6"/>
    <w:rsid w:val="009B7FA2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18C3"/>
    <w:rsid w:val="00AE4590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0E87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A6A88"/>
    <w:rsid w:val="00BB5701"/>
    <w:rsid w:val="00BC63BD"/>
    <w:rsid w:val="00BC63F4"/>
    <w:rsid w:val="00BC6E7C"/>
    <w:rsid w:val="00BC74AD"/>
    <w:rsid w:val="00BC7BA1"/>
    <w:rsid w:val="00BD034F"/>
    <w:rsid w:val="00BD05C8"/>
    <w:rsid w:val="00BD1F3A"/>
    <w:rsid w:val="00BD255B"/>
    <w:rsid w:val="00BD75F1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26D40"/>
    <w:rsid w:val="00C33927"/>
    <w:rsid w:val="00C400CE"/>
    <w:rsid w:val="00C43220"/>
    <w:rsid w:val="00C43809"/>
    <w:rsid w:val="00C44790"/>
    <w:rsid w:val="00C52226"/>
    <w:rsid w:val="00C5524B"/>
    <w:rsid w:val="00C61090"/>
    <w:rsid w:val="00C724E8"/>
    <w:rsid w:val="00C74F94"/>
    <w:rsid w:val="00C754F9"/>
    <w:rsid w:val="00C759F8"/>
    <w:rsid w:val="00C8194E"/>
    <w:rsid w:val="00C82484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CF7D6B"/>
    <w:rsid w:val="00D032FD"/>
    <w:rsid w:val="00D03CA2"/>
    <w:rsid w:val="00D055E6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0C62"/>
    <w:rsid w:val="00D91178"/>
    <w:rsid w:val="00D9212A"/>
    <w:rsid w:val="00DB5106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7158"/>
    <w:rsid w:val="00E96643"/>
    <w:rsid w:val="00EA0F0D"/>
    <w:rsid w:val="00EA3D14"/>
    <w:rsid w:val="00EB33B0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0632"/>
    <w:rsid w:val="00F10B73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2E12"/>
    <w:rsid w:val="00F67320"/>
    <w:rsid w:val="00F67492"/>
    <w:rsid w:val="00F7111F"/>
    <w:rsid w:val="00F72929"/>
    <w:rsid w:val="00F75EFA"/>
    <w:rsid w:val="00F860D4"/>
    <w:rsid w:val="00FA0B83"/>
    <w:rsid w:val="00FA57C1"/>
    <w:rsid w:val="00FA7BEE"/>
    <w:rsid w:val="00FB52FB"/>
    <w:rsid w:val="00FB6104"/>
    <w:rsid w:val="00FD10F6"/>
    <w:rsid w:val="00FD12E0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3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3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rlin-chemie.cz/cs-cz/odpov%C4%9Bdnost/kodex-pro-partnery" TargetMode="Externa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B1F4-0301-457B-825F-7771AFA1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1421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Uživatel systému Windows</cp:lastModifiedBy>
  <cp:revision>4</cp:revision>
  <cp:lastPrinted>2021-03-30T11:27:00Z</cp:lastPrinted>
  <dcterms:created xsi:type="dcterms:W3CDTF">2021-04-15T10:58:00Z</dcterms:created>
  <dcterms:modified xsi:type="dcterms:W3CDTF">2021-04-15T12:14:00Z</dcterms:modified>
</cp:coreProperties>
</file>