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3D75AD26" w:rsidR="00AD2A3F" w:rsidRPr="00A15203" w:rsidRDefault="00704A4F">
      <w:pPr>
        <w:pStyle w:val="Zkladntext21"/>
        <w:rPr>
          <w:rFonts w:ascii="Segoe UI" w:eastAsia="Arial" w:hAnsi="Segoe UI" w:cs="Segoe UI"/>
          <w:bCs/>
          <w:sz w:val="28"/>
          <w:szCs w:val="28"/>
        </w:rPr>
      </w:pPr>
      <w:r w:rsidRPr="00A15203">
        <w:rPr>
          <w:rFonts w:ascii="Segoe UI" w:hAnsi="Segoe UI" w:cs="Segoe UI"/>
          <w:bCs/>
          <w:sz w:val="28"/>
          <w:szCs w:val="28"/>
        </w:rPr>
        <w:t>SODM-</w:t>
      </w:r>
      <w:r w:rsidR="00A15203" w:rsidRPr="00A15203">
        <w:rPr>
          <w:rFonts w:ascii="Segoe UI" w:hAnsi="Segoe UI" w:cs="Segoe UI"/>
          <w:bCs/>
          <w:sz w:val="28"/>
          <w:szCs w:val="28"/>
        </w:rPr>
        <w:t>26</w:t>
      </w:r>
      <w:r w:rsidRPr="00A15203">
        <w:rPr>
          <w:rFonts w:ascii="Segoe UI" w:hAnsi="Segoe UI" w:cs="Segoe UI"/>
          <w:bCs/>
          <w:sz w:val="28"/>
          <w:szCs w:val="28"/>
        </w:rPr>
        <w:t>/20</w:t>
      </w:r>
      <w:r w:rsidR="007836D0" w:rsidRPr="00A15203">
        <w:rPr>
          <w:rFonts w:ascii="Segoe UI" w:hAnsi="Segoe UI" w:cs="Segoe UI"/>
          <w:bCs/>
          <w:sz w:val="28"/>
          <w:szCs w:val="28"/>
        </w:rPr>
        <w:t>2</w:t>
      </w:r>
      <w:r w:rsidR="00A631A3" w:rsidRPr="00A15203">
        <w:rPr>
          <w:rFonts w:ascii="Segoe UI" w:hAnsi="Segoe UI" w:cs="Segoe UI"/>
          <w:bCs/>
          <w:sz w:val="28"/>
          <w:szCs w:val="28"/>
        </w:rPr>
        <w:t>1</w:t>
      </w:r>
    </w:p>
    <w:p w14:paraId="44B4D1F8" w14:textId="6B80BDF4"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8B217C">
        <w:rPr>
          <w:rFonts w:ascii="Segoe UI" w:hAnsi="Segoe UI" w:cs="Segoe UI"/>
          <w:i/>
          <w:sz w:val="22"/>
          <w:szCs w:val="22"/>
        </w:rPr>
        <w:t>Oprava nadzemních objektů kolektoru Modřany K4, B7, K1</w:t>
      </w:r>
    </w:p>
    <w:p w14:paraId="67E7EBD6" w14:textId="3314D328" w:rsidR="00A51A19" w:rsidRPr="00A15203"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Číslo smlouvy Objednatele</w:t>
      </w:r>
      <w:r w:rsidRPr="00A15203">
        <w:rPr>
          <w:rFonts w:ascii="Segoe UI" w:hAnsi="Segoe UI" w:cs="Segoe UI"/>
          <w:b w:val="0"/>
          <w:sz w:val="20"/>
        </w:rPr>
        <w:t>:</w:t>
      </w:r>
      <w:r w:rsidR="00A15203" w:rsidRPr="00A15203">
        <w:rPr>
          <w:rFonts w:ascii="Segoe UI" w:hAnsi="Segoe UI" w:cs="Segoe UI"/>
          <w:b w:val="0"/>
          <w:i/>
          <w:sz w:val="20"/>
        </w:rPr>
        <w:t xml:space="preserve"> SODM-26/2021</w:t>
      </w:r>
    </w:p>
    <w:p w14:paraId="474F5B4A" w14:textId="7F1E795E" w:rsidR="00A51A19" w:rsidRPr="005610CC"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5610CC" w:rsidRPr="005610CC">
        <w:rPr>
          <w:rFonts w:ascii="Segoe UI" w:hAnsi="Segoe UI" w:cs="Segoe UI"/>
          <w:i/>
          <w:sz w:val="20"/>
          <w:szCs w:val="20"/>
        </w:rPr>
        <w:t>841/TC/GF/2021/</w:t>
      </w:r>
    </w:p>
    <w:p w14:paraId="4A6E0AF6" w14:textId="1CD0D762"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DC5DAE">
        <w:rPr>
          <w:rFonts w:ascii="Segoe UI" w:hAnsi="Segoe UI" w:cs="Segoe UI"/>
          <w:b w:val="0"/>
          <w:i/>
          <w:iCs/>
          <w:sz w:val="20"/>
        </w:rPr>
        <w:t>5000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79DFD75B" w:rsidR="00860DAC" w:rsidRPr="001F1B50"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36663FF2" w:rsidR="000C35E2" w:rsidRPr="00317167" w:rsidRDefault="002625F2"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Petr Šíma</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0BAFFDFC" w:rsidR="000C35E2" w:rsidRDefault="000C35E2" w:rsidP="00BA49D1">
      <w:pPr>
        <w:ind w:left="0" w:firstLine="0"/>
        <w:rPr>
          <w:rFonts w:ascii="Segoe UI" w:hAnsi="Segoe UI" w:cs="Segoe UI"/>
          <w:i/>
          <w:color w:val="FF0000"/>
          <w:sz w:val="22"/>
          <w:szCs w:val="22"/>
        </w:rPr>
      </w:pPr>
    </w:p>
    <w:p w14:paraId="79AF6291" w14:textId="77777777" w:rsidR="002625F2" w:rsidRDefault="002625F2" w:rsidP="00BA49D1">
      <w:pPr>
        <w:ind w:left="0" w:firstLine="0"/>
        <w:rPr>
          <w:rFonts w:ascii="Segoe UI" w:hAnsi="Segoe UI" w:cs="Segoe UI"/>
          <w:i/>
          <w:color w:val="FF0000"/>
          <w:sz w:val="22"/>
          <w:szCs w:val="22"/>
        </w:rPr>
      </w:pPr>
    </w:p>
    <w:p w14:paraId="0602496B" w14:textId="7E5379D8" w:rsidR="00392300" w:rsidRPr="00317167" w:rsidRDefault="002625F2"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STRABAG a.s.</w:t>
      </w:r>
    </w:p>
    <w:p w14:paraId="1B4CBD78" w14:textId="77777777" w:rsidR="002625F2"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2625F2">
        <w:rPr>
          <w:rFonts w:ascii="Segoe UI" w:hAnsi="Segoe UI" w:cs="Segoe UI"/>
          <w:sz w:val="22"/>
          <w:szCs w:val="22"/>
        </w:rPr>
        <w:t>Ing. Tomáš Hajič, prokurista</w:t>
      </w:r>
    </w:p>
    <w:p w14:paraId="20C73270" w14:textId="6D9FB07D" w:rsidR="00392300" w:rsidRPr="00317167" w:rsidRDefault="002625F2" w:rsidP="002942FD">
      <w:pPr>
        <w:ind w:hanging="255"/>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Ing. Renata Hamrská, prokuristka</w:t>
      </w:r>
      <w:r w:rsidR="00392300" w:rsidRPr="00317167">
        <w:rPr>
          <w:rFonts w:ascii="Segoe UI" w:hAnsi="Segoe UI" w:cs="Segoe UI"/>
          <w:sz w:val="22"/>
          <w:szCs w:val="22"/>
        </w:rPr>
        <w:tab/>
      </w:r>
    </w:p>
    <w:p w14:paraId="14E6BEBE" w14:textId="68529B6B"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5277E0">
        <w:rPr>
          <w:rFonts w:ascii="Segoe UI" w:hAnsi="Segoe UI" w:cs="Segoe UI"/>
          <w:sz w:val="22"/>
          <w:szCs w:val="22"/>
        </w:rPr>
        <w:t>Kačírkova 982/4, Jinonice, 158 00  Praha 5</w:t>
      </w:r>
    </w:p>
    <w:p w14:paraId="73304082" w14:textId="1847C4B2"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5277E0">
        <w:rPr>
          <w:rFonts w:ascii="Segoe UI" w:hAnsi="Segoe UI" w:cs="Segoe UI"/>
          <w:sz w:val="22"/>
          <w:szCs w:val="22"/>
        </w:rPr>
        <w:t>60838744</w:t>
      </w:r>
      <w:r w:rsidRPr="00317167">
        <w:rPr>
          <w:rFonts w:ascii="Segoe UI" w:hAnsi="Segoe UI" w:cs="Segoe UI"/>
          <w:sz w:val="22"/>
          <w:szCs w:val="22"/>
        </w:rPr>
        <w:tab/>
      </w:r>
    </w:p>
    <w:p w14:paraId="1D27B1FE" w14:textId="6991C40E"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5277E0">
        <w:rPr>
          <w:rFonts w:ascii="Segoe UI" w:hAnsi="Segoe UI" w:cs="Segoe UI"/>
          <w:sz w:val="22"/>
          <w:szCs w:val="22"/>
        </w:rPr>
        <w:t>CZ60838744</w:t>
      </w:r>
      <w:r w:rsidRPr="00317167">
        <w:rPr>
          <w:rFonts w:ascii="Segoe UI" w:hAnsi="Segoe UI" w:cs="Segoe UI"/>
          <w:sz w:val="22"/>
          <w:szCs w:val="22"/>
        </w:rPr>
        <w:tab/>
      </w:r>
    </w:p>
    <w:p w14:paraId="64C2C517" w14:textId="6A1AD21C" w:rsidR="00392300" w:rsidRPr="00317167" w:rsidRDefault="00392300" w:rsidP="00BA59C5">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BA59C5">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BA59C5">
        <w:rPr>
          <w:rFonts w:ascii="Segoe UI" w:hAnsi="Segoe UI" w:cs="Segoe UI"/>
          <w:sz w:val="22"/>
          <w:szCs w:val="22"/>
        </w:rPr>
        <w:t>B 7634</w:t>
      </w:r>
    </w:p>
    <w:p w14:paraId="1F0FE537" w14:textId="77777777" w:rsidR="00392300" w:rsidRPr="00317167" w:rsidRDefault="00392300" w:rsidP="00392300">
      <w:pPr>
        <w:ind w:left="426" w:firstLine="426"/>
        <w:rPr>
          <w:rFonts w:ascii="Segoe UI" w:hAnsi="Segoe UI" w:cs="Segoe UI"/>
          <w:sz w:val="22"/>
          <w:szCs w:val="22"/>
        </w:rPr>
      </w:pPr>
    </w:p>
    <w:p w14:paraId="3FD92B00" w14:textId="580246AD"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BA59C5">
        <w:rPr>
          <w:rFonts w:ascii="Segoe UI" w:hAnsi="Segoe UI" w:cs="Segoe UI"/>
          <w:sz w:val="22"/>
          <w:szCs w:val="22"/>
        </w:rPr>
        <w:tab/>
        <w:t>Raiffeisenbank a.s.</w:t>
      </w:r>
    </w:p>
    <w:p w14:paraId="09536570" w14:textId="5F64D181"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A022B5" w:rsidRPr="00A022B5">
        <w:rPr>
          <w:rFonts w:ascii="Segoe UI" w:hAnsi="Segoe UI" w:cs="Segoe UI"/>
          <w:bCs/>
          <w:sz w:val="22"/>
          <w:szCs w:val="22"/>
        </w:rPr>
        <w:t>1100029040/5500</w:t>
      </w:r>
      <w:r w:rsidRPr="00A022B5">
        <w:rPr>
          <w:rFonts w:ascii="Segoe UI" w:eastAsia="Arial" w:hAnsi="Segoe UI" w:cs="Segoe UI"/>
          <w:bCs/>
          <w:sz w:val="22"/>
          <w:szCs w:val="22"/>
        </w:rPr>
        <w:tab/>
      </w:r>
      <w:r w:rsidRPr="00317167">
        <w:rPr>
          <w:rFonts w:ascii="Segoe UI" w:eastAsia="Arial" w:hAnsi="Segoe UI" w:cs="Segoe UI"/>
          <w:sz w:val="22"/>
          <w:szCs w:val="22"/>
        </w:rPr>
        <w:tab/>
      </w:r>
    </w:p>
    <w:p w14:paraId="12366B49" w14:textId="34FC9F7C"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5A7F1962" w14:textId="7F916386" w:rsidR="0055300D" w:rsidRPr="00317167" w:rsidRDefault="0055300D" w:rsidP="009D648B">
      <w:pPr>
        <w:spacing w:before="240"/>
        <w:ind w:left="426" w:firstLine="0"/>
        <w:rPr>
          <w:rFonts w:ascii="Segoe UI" w:hAnsi="Segoe UI" w:cs="Segoe UI"/>
          <w:b/>
          <w:bCs/>
          <w:sz w:val="22"/>
          <w:szCs w:val="22"/>
        </w:rPr>
      </w:pPr>
      <w:r>
        <w:rPr>
          <w:rFonts w:ascii="Segoe UI" w:hAnsi="Segoe UI" w:cs="Segoe UI"/>
          <w:sz w:val="22"/>
          <w:szCs w:val="22"/>
        </w:rPr>
        <w:t>Ing. Radek Blaško, specialista pro podzemní stavby a speciální zakládání</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1EE541D9"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A37A11">
        <w:rPr>
          <w:rFonts w:ascii="Segoe UI" w:hAnsi="Segoe UI" w:cs="Segoe UI"/>
          <w:b/>
          <w:bCs/>
        </w:rPr>
        <w:t>Oprava nadzemních objektů kolektoru Modřany K4, B7, K1</w:t>
      </w:r>
      <w:r w:rsidR="007B6866">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E0199D">
        <w:rPr>
          <w:rFonts w:ascii="Segoe UI" w:hAnsi="Segoe UI" w:cs="Segoe UI"/>
        </w:rPr>
        <w:t xml:space="preserve"> 7. dubna 2021 (KP/001107/2021).</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7A4C827A"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B7012F">
        <w:rPr>
          <w:rFonts w:ascii="Segoe UI" w:hAnsi="Segoe UI" w:cs="Segoe UI"/>
          <w:b/>
          <w:bCs/>
        </w:rPr>
        <w:t>Oprava nadzemních objektů kolektoru Modřany K4, B7, K1</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2DF04BAA"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7B6866" w:rsidRPr="00A75444">
        <w:rPr>
          <w:rFonts w:ascii="Segoe UI" w:hAnsi="Segoe UI" w:cs="Segoe UI"/>
          <w:sz w:val="22"/>
          <w:szCs w:val="22"/>
        </w:rPr>
        <w:t>společností Kolektory Praha a.s.,</w:t>
      </w:r>
      <w:r w:rsidRPr="00A75444">
        <w:rPr>
          <w:rFonts w:ascii="Segoe UI" w:hAnsi="Segoe UI" w:cs="Segoe UI"/>
          <w:sz w:val="22"/>
          <w:szCs w:val="22"/>
        </w:rPr>
        <w:t xml:space="preserve"> která</w:t>
      </w:r>
      <w:r w:rsidRPr="00317167">
        <w:rPr>
          <w:rFonts w:ascii="Segoe UI" w:hAnsi="Segoe UI" w:cs="Segoe UI"/>
          <w:sz w:val="22"/>
          <w:szCs w:val="22"/>
        </w:rPr>
        <w:t xml:space="preserve">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336014C2"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9A3E54">
        <w:rPr>
          <w:rFonts w:ascii="Segoe UI" w:hAnsi="Segoe UI" w:cs="Segoe UI"/>
        </w:rPr>
        <w:t xml:space="preserve"> 2.300.527,68 Kč</w:t>
      </w:r>
      <w:r w:rsidR="00AD2A3F" w:rsidRPr="00183D71">
        <w:rPr>
          <w:rFonts w:ascii="Segoe UI" w:hAnsi="Segoe UI" w:cs="Segoe UI"/>
          <w:color w:val="000000"/>
        </w:rPr>
        <w:t xml:space="preserve"> (Slovy:</w:t>
      </w:r>
      <w:r w:rsidR="009A3E54">
        <w:rPr>
          <w:rFonts w:ascii="Segoe UI" w:hAnsi="Segoe UI" w:cs="Segoe UI"/>
          <w:color w:val="000000"/>
        </w:rPr>
        <w:t xml:space="preserve"> </w:t>
      </w:r>
      <w:proofErr w:type="spellStart"/>
      <w:r w:rsidR="009A3E54">
        <w:rPr>
          <w:rFonts w:ascii="Segoe UI" w:hAnsi="Segoe UI" w:cs="Segoe UI"/>
          <w:color w:val="000000"/>
        </w:rPr>
        <w:t>dvamilionytřistatisícpětsetdvacetsedm</w:t>
      </w:r>
      <w:proofErr w:type="spellEnd"/>
      <w:r w:rsidR="009A3E54">
        <w:rPr>
          <w:rFonts w:ascii="Segoe UI" w:hAnsi="Segoe UI" w:cs="Segoe UI"/>
          <w:color w:val="000000"/>
        </w:rPr>
        <w:t xml:space="preserve"> </w:t>
      </w:r>
      <w:r w:rsidR="00AD2A3F" w:rsidRPr="00183D71">
        <w:rPr>
          <w:rFonts w:ascii="Segoe UI" w:hAnsi="Segoe UI" w:cs="Segoe UI"/>
          <w:color w:val="000000"/>
        </w:rPr>
        <w:t>korun českých</w:t>
      </w:r>
      <w:r w:rsidR="009A3E54">
        <w:rPr>
          <w:rFonts w:ascii="Segoe UI" w:hAnsi="Segoe UI" w:cs="Segoe UI"/>
          <w:color w:val="000000"/>
        </w:rPr>
        <w:t xml:space="preserve"> a </w:t>
      </w:r>
      <w:proofErr w:type="spellStart"/>
      <w:r w:rsidR="009A3E54">
        <w:rPr>
          <w:rFonts w:ascii="Segoe UI" w:hAnsi="Segoe UI" w:cs="Segoe UI"/>
          <w:color w:val="000000"/>
        </w:rPr>
        <w:t>šedesátosm</w:t>
      </w:r>
      <w:proofErr w:type="spellEnd"/>
      <w:r w:rsidR="009A3E54">
        <w:rPr>
          <w:rFonts w:ascii="Segoe UI" w:hAnsi="Segoe UI" w:cs="Segoe UI"/>
          <w:color w:val="000000"/>
        </w:rPr>
        <w:t xml:space="preserve">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w:t>
      </w:r>
      <w:r w:rsidRPr="00317167">
        <w:rPr>
          <w:rFonts w:ascii="Segoe UI" w:hAnsi="Segoe UI" w:cs="Segoe UI"/>
          <w:color w:val="000000"/>
        </w:rPr>
        <w:lastRenderedPageBreak/>
        <w:t xml:space="preserve">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0A41ED41"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9323E9">
        <w:rPr>
          <w:rFonts w:ascii="Segoe UI" w:hAnsi="Segoe UI" w:cs="Segoe UI"/>
          <w:sz w:val="22"/>
          <w:szCs w:val="22"/>
        </w:rPr>
        <w:t xml:space="preserve"> 90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w:t>
      </w:r>
      <w:r w:rsidR="001631AC" w:rsidRPr="00317167">
        <w:rPr>
          <w:rFonts w:ascii="Segoe UI" w:hAnsi="Segoe UI" w:cs="Segoe UI"/>
          <w:sz w:val="22"/>
          <w:szCs w:val="22"/>
        </w:rPr>
        <w:lastRenderedPageBreak/>
        <w:t>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lastRenderedPageBreak/>
        <w:t>36</w:t>
      </w:r>
      <w:r w:rsidR="0009638E" w:rsidRPr="00317167">
        <w:rPr>
          <w:rFonts w:ascii="Segoe UI" w:hAnsi="Segoe UI" w:cs="Segoe UI"/>
          <w:sz w:val="22"/>
          <w:szCs w:val="22"/>
        </w:rPr>
        <w:t xml:space="preserve"> měsíců na ostatní práce a dodávky,</w:t>
      </w:r>
    </w:p>
    <w:p w14:paraId="58590E6F" w14:textId="2D277865"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7A5CE1">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6B4A0CBF"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7A5CE1" w:rsidRPr="00D405E3">
          <w:rPr>
            <w:rStyle w:val="Hypertextovodkaz"/>
            <w:rFonts w:ascii="Segoe UI" w:hAnsi="Segoe UI" w:cs="Segoe UI"/>
            <w:bCs/>
            <w:sz w:val="22"/>
            <w:szCs w:val="22"/>
          </w:rPr>
          <w:t>radek.blasko@strabag.com</w:t>
        </w:r>
      </w:hyperlink>
      <w:r w:rsidR="007A5CE1">
        <w:rPr>
          <w:rFonts w:ascii="Segoe UI" w:hAnsi="Segoe UI" w:cs="Segoe UI"/>
          <w:bCs/>
          <w:sz w:val="22"/>
          <w:szCs w:val="22"/>
        </w:rPr>
        <w:t>, ne</w:t>
      </w:r>
      <w:r w:rsidR="008E77ED" w:rsidRPr="00317167">
        <w:rPr>
          <w:rFonts w:ascii="Segoe UI" w:hAnsi="Segoe UI" w:cs="Segoe UI"/>
          <w:bCs/>
          <w:sz w:val="22"/>
          <w:szCs w:val="22"/>
        </w:rPr>
        <w:t>bo</w:t>
      </w:r>
    </w:p>
    <w:p w14:paraId="3A574047" w14:textId="77777777" w:rsidR="007A5CE1" w:rsidRPr="007A5CE1"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7A5CE1">
        <w:rPr>
          <w:rFonts w:ascii="Segoe UI" w:hAnsi="Segoe UI" w:cs="Segoe UI"/>
          <w:bCs/>
          <w:sz w:val="22"/>
          <w:szCs w:val="22"/>
        </w:rPr>
        <w:t xml:space="preserve">STRABAG a.s., </w:t>
      </w:r>
      <w:proofErr w:type="spellStart"/>
      <w:r w:rsidR="007A5CE1">
        <w:rPr>
          <w:rFonts w:ascii="Segoe UI" w:hAnsi="Segoe UI" w:cs="Segoe UI"/>
          <w:bCs/>
          <w:sz w:val="22"/>
          <w:szCs w:val="22"/>
        </w:rPr>
        <w:t>o.z</w:t>
      </w:r>
      <w:proofErr w:type="spellEnd"/>
      <w:r w:rsidR="007A5CE1">
        <w:rPr>
          <w:rFonts w:ascii="Segoe UI" w:hAnsi="Segoe UI" w:cs="Segoe UI"/>
          <w:bCs/>
          <w:sz w:val="22"/>
          <w:szCs w:val="22"/>
        </w:rPr>
        <w:t xml:space="preserve">. Praha, oblast BJ, </w:t>
      </w:r>
    </w:p>
    <w:p w14:paraId="1C66D550" w14:textId="58E76A06" w:rsidR="008E77ED" w:rsidRPr="00317167" w:rsidRDefault="007A5CE1" w:rsidP="007A5CE1">
      <w:pPr>
        <w:pStyle w:val="Smlouva-slo"/>
        <w:tabs>
          <w:tab w:val="left" w:pos="1418"/>
        </w:tabs>
        <w:spacing w:before="60" w:line="276" w:lineRule="auto"/>
        <w:ind w:left="851" w:firstLine="0"/>
        <w:rPr>
          <w:rFonts w:ascii="Segoe UI" w:hAnsi="Segoe UI" w:cs="Segoe UI"/>
          <w:sz w:val="22"/>
          <w:szCs w:val="22"/>
        </w:rPr>
      </w:pPr>
      <w:r>
        <w:rPr>
          <w:rFonts w:ascii="Segoe UI" w:hAnsi="Segoe UI" w:cs="Segoe UI"/>
          <w:bCs/>
          <w:sz w:val="22"/>
          <w:szCs w:val="22"/>
        </w:rPr>
        <w:tab/>
      </w:r>
      <w:r>
        <w:rPr>
          <w:rFonts w:ascii="Segoe UI" w:hAnsi="Segoe UI" w:cs="Segoe UI"/>
          <w:bCs/>
          <w:sz w:val="22"/>
          <w:szCs w:val="22"/>
        </w:rPr>
        <w:tab/>
      </w:r>
      <w:r>
        <w:rPr>
          <w:rFonts w:ascii="Segoe UI" w:hAnsi="Segoe UI" w:cs="Segoe UI"/>
          <w:bCs/>
          <w:sz w:val="22"/>
          <w:szCs w:val="22"/>
        </w:rPr>
        <w:tab/>
        <w:t>Kačírkova 982/4, Jinonice, 158 00  Praha 5</w:t>
      </w:r>
      <w:r w:rsidR="008E77ED" w:rsidRPr="00317167">
        <w:rPr>
          <w:rFonts w:ascii="Segoe UI" w:hAnsi="Segoe UI" w:cs="Segoe UI"/>
          <w:bCs/>
          <w:sz w:val="22"/>
          <w:szCs w:val="22"/>
        </w:rPr>
        <w:t>, nebo</w:t>
      </w:r>
    </w:p>
    <w:p w14:paraId="30122BEA" w14:textId="019953B4"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7A5CE1">
        <w:rPr>
          <w:rFonts w:ascii="Segoe UI" w:hAnsi="Segoe UI" w:cs="Segoe UI"/>
          <w:bCs/>
          <w:sz w:val="22"/>
          <w:szCs w:val="22"/>
        </w:rPr>
        <w:t>8yuchp8</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6633FDF9"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A12ACC">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A12ACC">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A12ACC">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A12ACC">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lastRenderedPageBreak/>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 xml:space="preserve">dodavatelským vztahem do 10 </w:t>
      </w:r>
      <w:r w:rsidR="0047754D" w:rsidRPr="00317167">
        <w:rPr>
          <w:rFonts w:ascii="Segoe UI" w:hAnsi="Segoe UI" w:cs="Segoe UI"/>
          <w:sz w:val="22"/>
          <w:szCs w:val="22"/>
        </w:rPr>
        <w:lastRenderedPageBreak/>
        <w:t>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w:t>
      </w:r>
      <w:r w:rsidRPr="00317167">
        <w:rPr>
          <w:rFonts w:ascii="Segoe UI" w:hAnsi="Segoe UI" w:cs="Segoe UI"/>
          <w:bCs/>
          <w:sz w:val="22"/>
          <w:szCs w:val="22"/>
        </w:rPr>
        <w:lastRenderedPageBreak/>
        <w:t xml:space="preserve">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w:t>
      </w:r>
      <w:r w:rsidRPr="00317167">
        <w:rPr>
          <w:rFonts w:ascii="Segoe UI" w:hAnsi="Segoe UI" w:cs="Segoe UI"/>
          <w:sz w:val="22"/>
          <w:szCs w:val="22"/>
        </w:rPr>
        <w:lastRenderedPageBreak/>
        <w:t>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092B0CF4"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99481E">
        <w:rPr>
          <w:rFonts w:ascii="Segoe UI" w:hAnsi="Segoe UI" w:cs="Segoe UI"/>
          <w:sz w:val="22"/>
          <w:szCs w:val="22"/>
        </w:rPr>
        <w:t xml:space="preserve"> </w:t>
      </w:r>
      <w:hyperlink r:id="rId10" w:history="1">
        <w:r w:rsidR="0099481E" w:rsidRPr="00D405E3">
          <w:rPr>
            <w:rStyle w:val="Hypertextovodkaz"/>
            <w:rFonts w:ascii="Segoe UI" w:hAnsi="Segoe UI" w:cs="Segoe UI"/>
            <w:sz w:val="22"/>
            <w:szCs w:val="22"/>
          </w:rPr>
          <w:t>simap@kolektory.cz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realizovat práce vyžadující zvláštní způsobilost nebo povolení </w:t>
      </w:r>
      <w:r w:rsidRPr="00317167">
        <w:rPr>
          <w:rFonts w:ascii="Segoe UI" w:hAnsi="Segoe UI" w:cs="Segoe UI"/>
          <w:sz w:val="22"/>
          <w:szCs w:val="22"/>
        </w:rPr>
        <w:lastRenderedPageBreak/>
        <w:t>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lastRenderedPageBreak/>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lastRenderedPageBreak/>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lastRenderedPageBreak/>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 xml:space="preserve">íla. Odstoupením </w:t>
      </w:r>
      <w:r w:rsidR="0010749A" w:rsidRPr="00317167">
        <w:rPr>
          <w:rFonts w:ascii="Segoe UI" w:hAnsi="Segoe UI" w:cs="Segoe UI"/>
          <w:color w:val="000000"/>
          <w:sz w:val="22"/>
          <w:szCs w:val="22"/>
        </w:rPr>
        <w:lastRenderedPageBreak/>
        <w:t>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lastRenderedPageBreak/>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w:t>
      </w:r>
      <w:r w:rsidR="00D9786A" w:rsidRPr="00317167">
        <w:rPr>
          <w:rFonts w:ascii="Segoe UI" w:hAnsi="Segoe UI" w:cs="Segoe UI"/>
          <w:color w:val="000000"/>
          <w:sz w:val="22"/>
          <w:szCs w:val="22"/>
        </w:rPr>
        <w:lastRenderedPageBreak/>
        <w:t>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lastRenderedPageBreak/>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lastRenderedPageBreak/>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2357AED6"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75DB1644"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70F21654"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59C63E49"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4BA4FF0B"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e-mail:</w:t>
      </w:r>
      <w:r w:rsidR="00F90BDC">
        <w:rPr>
          <w:rFonts w:ascii="Segoe UI" w:hAnsi="Segoe UI" w:cs="Segoe UI"/>
          <w:sz w:val="22"/>
          <w:szCs w:val="22"/>
        </w:rPr>
        <w:t xml:space="preserve"> </w:t>
      </w:r>
      <w:hyperlink r:id="rId11" w:history="1">
        <w:r w:rsidR="00F90BDC" w:rsidRPr="00D405E3">
          <w:rPr>
            <w:rStyle w:val="Hypertextovodkaz"/>
            <w:rFonts w:ascii="Segoe UI" w:hAnsi="Segoe UI" w:cs="Segoe UI"/>
            <w:sz w:val="22"/>
            <w:szCs w:val="22"/>
          </w:rPr>
          <w:t>radek.blasko@strabag.com</w:t>
        </w:r>
      </w:hyperlink>
      <w:r w:rsidR="00F90BDC">
        <w:rPr>
          <w:rFonts w:ascii="Segoe UI" w:hAnsi="Segoe UI" w:cs="Segoe UI"/>
          <w:i/>
          <w:color w:val="FF0000"/>
          <w:sz w:val="22"/>
          <w:szCs w:val="22"/>
        </w:rPr>
        <w:t xml:space="preserve"> </w:t>
      </w:r>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5CFC4AD7" w:rsidR="00243F50" w:rsidRPr="001C6B3F" w:rsidRDefault="00243F50" w:rsidP="00287C64">
      <w:pPr>
        <w:spacing w:after="0"/>
        <w:rPr>
          <w:rFonts w:ascii="Segoe UI" w:hAnsi="Segoe UI" w:cs="Segoe UI"/>
          <w:sz w:val="22"/>
          <w:szCs w:val="22"/>
        </w:rPr>
      </w:pPr>
      <w:r w:rsidRPr="001C6B3F">
        <w:rPr>
          <w:rFonts w:ascii="Segoe UI" w:hAnsi="Segoe UI" w:cs="Segoe UI"/>
          <w:sz w:val="22"/>
          <w:szCs w:val="22"/>
        </w:rPr>
        <w:t>V</w:t>
      </w:r>
      <w:r w:rsidR="001C6B3F">
        <w:rPr>
          <w:rFonts w:ascii="Segoe UI" w:hAnsi="Segoe UI" w:cs="Segoe UI"/>
          <w:sz w:val="22"/>
          <w:szCs w:val="22"/>
        </w:rPr>
        <w:t> </w:t>
      </w:r>
      <w:r w:rsidR="001C6B3F" w:rsidRPr="001C6B3F">
        <w:rPr>
          <w:rFonts w:ascii="Segoe UI" w:hAnsi="Segoe UI" w:cs="Segoe UI"/>
          <w:sz w:val="22"/>
          <w:szCs w:val="22"/>
        </w:rPr>
        <w:t>Praz</w:t>
      </w:r>
      <w:r w:rsidR="001C6B3F">
        <w:rPr>
          <w:rFonts w:ascii="Segoe UI" w:hAnsi="Segoe UI" w:cs="Segoe UI"/>
          <w:sz w:val="22"/>
          <w:szCs w:val="22"/>
        </w:rPr>
        <w:t xml:space="preserve">e dne: dle el. podpisu </w:t>
      </w:r>
      <w:r w:rsidR="001C6B3F">
        <w:rPr>
          <w:rFonts w:ascii="Segoe UI" w:hAnsi="Segoe UI" w:cs="Segoe UI"/>
          <w:sz w:val="22"/>
          <w:szCs w:val="22"/>
        </w:rPr>
        <w:tab/>
      </w:r>
      <w:r w:rsidR="001C6B3F">
        <w:rPr>
          <w:rFonts w:ascii="Segoe UI" w:hAnsi="Segoe UI" w:cs="Segoe UI"/>
          <w:sz w:val="22"/>
          <w:szCs w:val="22"/>
        </w:rPr>
        <w:tab/>
      </w:r>
      <w:r w:rsidRPr="001C6B3F">
        <w:rPr>
          <w:rFonts w:ascii="Segoe UI" w:hAnsi="Segoe UI" w:cs="Segoe UI"/>
          <w:sz w:val="22"/>
          <w:szCs w:val="22"/>
        </w:rPr>
        <w:tab/>
      </w:r>
      <w:r w:rsidRPr="001C6B3F">
        <w:rPr>
          <w:rFonts w:ascii="Segoe UI" w:hAnsi="Segoe UI" w:cs="Segoe UI"/>
          <w:sz w:val="22"/>
          <w:szCs w:val="22"/>
        </w:rPr>
        <w:tab/>
        <w:t>V Praze dne:</w:t>
      </w:r>
      <w:r w:rsidR="00CB7C97" w:rsidRPr="001C6B3F">
        <w:rPr>
          <w:rFonts w:ascii="Segoe UI" w:hAnsi="Segoe UI" w:cs="Segoe UI"/>
          <w:sz w:val="22"/>
          <w:szCs w:val="22"/>
        </w:rPr>
        <w:t xml:space="preserve"> dle el. podpisu</w:t>
      </w:r>
    </w:p>
    <w:p w14:paraId="4AE7E5E3" w14:textId="77777777" w:rsidR="00243F50" w:rsidRPr="001C6B3F" w:rsidRDefault="00243F50" w:rsidP="00287C64">
      <w:pPr>
        <w:spacing w:after="0"/>
        <w:rPr>
          <w:rFonts w:ascii="Segoe UI" w:hAnsi="Segoe UI" w:cs="Segoe UI"/>
          <w:sz w:val="22"/>
          <w:szCs w:val="22"/>
        </w:rPr>
      </w:pPr>
    </w:p>
    <w:p w14:paraId="3D6B19F2" w14:textId="77777777" w:rsidR="00243F50" w:rsidRPr="001C6B3F" w:rsidRDefault="00243F50" w:rsidP="00287C64">
      <w:pPr>
        <w:spacing w:after="0"/>
        <w:rPr>
          <w:rFonts w:ascii="Segoe UI" w:hAnsi="Segoe UI" w:cs="Segoe UI"/>
          <w:sz w:val="22"/>
          <w:szCs w:val="22"/>
        </w:rPr>
      </w:pPr>
    </w:p>
    <w:p w14:paraId="50CF22A5" w14:textId="77777777" w:rsidR="00243F50" w:rsidRPr="001C6B3F" w:rsidRDefault="00243F50" w:rsidP="00287C64">
      <w:pPr>
        <w:spacing w:after="0"/>
        <w:rPr>
          <w:rFonts w:ascii="Segoe UI" w:hAnsi="Segoe UI" w:cs="Segoe UI"/>
          <w:sz w:val="22"/>
          <w:szCs w:val="22"/>
        </w:rPr>
      </w:pPr>
    </w:p>
    <w:p w14:paraId="3570E397" w14:textId="77777777" w:rsidR="00243F50" w:rsidRPr="001C6B3F" w:rsidRDefault="00243F50" w:rsidP="00287C64">
      <w:pPr>
        <w:spacing w:after="0"/>
        <w:rPr>
          <w:rFonts w:ascii="Segoe UI" w:hAnsi="Segoe UI" w:cs="Segoe UI"/>
          <w:sz w:val="22"/>
          <w:szCs w:val="22"/>
        </w:rPr>
      </w:pPr>
    </w:p>
    <w:p w14:paraId="46D7F4EB" w14:textId="77777777" w:rsidR="00243F50" w:rsidRPr="001C6B3F" w:rsidRDefault="00243F50" w:rsidP="00287C64">
      <w:pPr>
        <w:spacing w:after="0"/>
        <w:rPr>
          <w:rFonts w:ascii="Segoe UI" w:hAnsi="Segoe UI" w:cs="Segoe UI"/>
          <w:sz w:val="22"/>
          <w:szCs w:val="22"/>
        </w:rPr>
      </w:pPr>
      <w:r w:rsidRPr="001C6B3F">
        <w:rPr>
          <w:rFonts w:ascii="Segoe UI" w:hAnsi="Segoe UI" w:cs="Segoe UI"/>
          <w:sz w:val="22"/>
          <w:szCs w:val="22"/>
        </w:rPr>
        <w:t>.............................................</w:t>
      </w:r>
      <w:r w:rsidRPr="001C6B3F">
        <w:rPr>
          <w:rFonts w:ascii="Segoe UI" w:hAnsi="Segoe UI" w:cs="Segoe UI"/>
          <w:sz w:val="22"/>
          <w:szCs w:val="22"/>
        </w:rPr>
        <w:tab/>
      </w:r>
      <w:r w:rsidRPr="001C6B3F">
        <w:rPr>
          <w:rFonts w:ascii="Segoe UI" w:hAnsi="Segoe UI" w:cs="Segoe UI"/>
          <w:sz w:val="22"/>
          <w:szCs w:val="22"/>
        </w:rPr>
        <w:tab/>
      </w:r>
      <w:r w:rsidRPr="001C6B3F">
        <w:rPr>
          <w:rFonts w:ascii="Segoe UI" w:hAnsi="Segoe UI" w:cs="Segoe UI"/>
          <w:sz w:val="22"/>
          <w:szCs w:val="22"/>
        </w:rPr>
        <w:tab/>
      </w:r>
      <w:r w:rsidRPr="001C6B3F">
        <w:rPr>
          <w:rFonts w:ascii="Segoe UI" w:hAnsi="Segoe UI" w:cs="Segoe UI"/>
          <w:sz w:val="22"/>
          <w:szCs w:val="22"/>
        </w:rPr>
        <w:tab/>
        <w:t>.............................................</w:t>
      </w:r>
    </w:p>
    <w:p w14:paraId="65DBA5C6" w14:textId="679A8358" w:rsidR="00243F50" w:rsidRPr="001C6B3F" w:rsidRDefault="001C6B3F" w:rsidP="00287C64">
      <w:pPr>
        <w:spacing w:after="0"/>
        <w:rPr>
          <w:rFonts w:ascii="Segoe UI" w:hAnsi="Segoe UI" w:cs="Segoe UI"/>
          <w:sz w:val="22"/>
          <w:szCs w:val="22"/>
        </w:rPr>
      </w:pPr>
      <w:r>
        <w:rPr>
          <w:rFonts w:ascii="Segoe UI" w:hAnsi="Segoe UI" w:cs="Segoe UI"/>
          <w:sz w:val="22"/>
          <w:szCs w:val="22"/>
        </w:rPr>
        <w:t>STRABAG a.s.</w:t>
      </w:r>
      <w:r>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8B22DB" w:rsidRPr="001C6B3F">
        <w:rPr>
          <w:rFonts w:ascii="Segoe UI" w:hAnsi="Segoe UI" w:cs="Segoe UI"/>
          <w:sz w:val="22"/>
          <w:szCs w:val="22"/>
        </w:rPr>
        <w:t>Hlavní město Praha</w:t>
      </w:r>
    </w:p>
    <w:p w14:paraId="367384EE" w14:textId="06D9ADFA" w:rsidR="00243F50" w:rsidRPr="001C6B3F" w:rsidRDefault="001C6B3F" w:rsidP="00287C64">
      <w:pPr>
        <w:spacing w:after="0"/>
        <w:rPr>
          <w:rFonts w:ascii="Segoe UI" w:hAnsi="Segoe UI" w:cs="Segoe UI"/>
          <w:sz w:val="22"/>
          <w:szCs w:val="22"/>
        </w:rPr>
      </w:pPr>
      <w:r>
        <w:rPr>
          <w:rFonts w:ascii="Segoe UI" w:hAnsi="Segoe UI" w:cs="Segoe UI"/>
          <w:sz w:val="22"/>
          <w:szCs w:val="22"/>
        </w:rPr>
        <w:t>Ing. Tomáš Hajič</w:t>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t>v zastoupení</w:t>
      </w:r>
    </w:p>
    <w:p w14:paraId="08BF7CCD" w14:textId="27E7A20C" w:rsidR="00243F50" w:rsidRPr="00243F50" w:rsidRDefault="001C6B3F" w:rsidP="00287C64">
      <w:pPr>
        <w:spacing w:after="0"/>
        <w:rPr>
          <w:rFonts w:ascii="Segoe UI" w:hAnsi="Segoe UI" w:cs="Segoe UI"/>
          <w:color w:val="000000"/>
          <w:sz w:val="22"/>
          <w:szCs w:val="22"/>
        </w:rPr>
      </w:pPr>
      <w:r>
        <w:rPr>
          <w:rFonts w:ascii="Segoe UI" w:hAnsi="Segoe UI" w:cs="Segoe UI"/>
          <w:sz w:val="22"/>
          <w:szCs w:val="22"/>
        </w:rPr>
        <w:t>prokurista</w:t>
      </w:r>
      <w:r>
        <w:rPr>
          <w:rFonts w:ascii="Segoe UI" w:hAnsi="Segoe UI" w:cs="Segoe UI"/>
          <w:sz w:val="22"/>
          <w:szCs w:val="22"/>
        </w:rPr>
        <w:tab/>
      </w:r>
      <w:r w:rsidR="00243F50" w:rsidRPr="001C6B3F">
        <w:rPr>
          <w:rFonts w:ascii="Segoe UI" w:hAnsi="Segoe UI" w:cs="Segoe UI"/>
          <w:sz w:val="22"/>
          <w:szCs w:val="22"/>
        </w:rPr>
        <w:tab/>
      </w:r>
      <w:r w:rsidR="00243F50" w:rsidRPr="001C6B3F">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3F6B89F5" w:rsidR="00243F50" w:rsidRPr="00243F50" w:rsidRDefault="001C6B3F"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52050B42" w:rsidR="00243F50" w:rsidRDefault="00243F50" w:rsidP="00287C64">
      <w:pPr>
        <w:spacing w:after="0"/>
        <w:rPr>
          <w:rFonts w:ascii="Segoe UI" w:hAnsi="Segoe UI" w:cs="Segoe UI"/>
          <w:color w:val="000000"/>
          <w:sz w:val="22"/>
          <w:szCs w:val="22"/>
        </w:rPr>
      </w:pPr>
    </w:p>
    <w:p w14:paraId="268DBED7" w14:textId="77777777" w:rsidR="00282C83" w:rsidRPr="00243F50" w:rsidRDefault="00282C83"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3AF6AA96" w:rsidR="00243F50" w:rsidRPr="00243F50" w:rsidRDefault="00A60C03" w:rsidP="00287C64">
      <w:pPr>
        <w:spacing w:after="0"/>
        <w:rPr>
          <w:rFonts w:ascii="Segoe UI" w:hAnsi="Segoe UI" w:cs="Segoe UI"/>
          <w:color w:val="000000"/>
          <w:sz w:val="22"/>
          <w:szCs w:val="22"/>
        </w:rPr>
      </w:pPr>
      <w:r>
        <w:rPr>
          <w:rFonts w:ascii="Segoe UI" w:hAnsi="Segoe UI" w:cs="Segoe UI"/>
          <w:color w:val="000000"/>
          <w:sz w:val="22"/>
          <w:szCs w:val="22"/>
        </w:rPr>
        <w:t>……………………………………</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w:t>
      </w:r>
    </w:p>
    <w:p w14:paraId="149CB6CD" w14:textId="22E15E98" w:rsidR="00243F50" w:rsidRPr="00243F50" w:rsidRDefault="00A60C03" w:rsidP="00287C64">
      <w:pPr>
        <w:spacing w:after="0"/>
        <w:rPr>
          <w:rFonts w:ascii="Segoe UI" w:hAnsi="Segoe UI" w:cs="Segoe UI"/>
          <w:color w:val="000000"/>
          <w:sz w:val="22"/>
          <w:szCs w:val="22"/>
        </w:rPr>
      </w:pPr>
      <w:r>
        <w:rPr>
          <w:rFonts w:ascii="Segoe UI" w:hAnsi="Segoe UI" w:cs="Segoe UI"/>
          <w:color w:val="000000"/>
          <w:sz w:val="22"/>
          <w:szCs w:val="22"/>
        </w:rPr>
        <w:t>STRABAG a.s.</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4ADCEC74" w:rsidR="00243F50" w:rsidRPr="00243F50" w:rsidRDefault="00A60C03" w:rsidP="00287C64">
      <w:pPr>
        <w:spacing w:after="0"/>
        <w:rPr>
          <w:rFonts w:ascii="Segoe UI" w:hAnsi="Segoe UI" w:cs="Segoe UI"/>
          <w:color w:val="000000"/>
          <w:sz w:val="22"/>
          <w:szCs w:val="22"/>
        </w:rPr>
      </w:pPr>
      <w:r>
        <w:rPr>
          <w:rFonts w:ascii="Segoe UI" w:hAnsi="Segoe UI" w:cs="Segoe UI"/>
          <w:color w:val="000000"/>
          <w:sz w:val="22"/>
          <w:szCs w:val="22"/>
        </w:rPr>
        <w:t>Ing. Renata Hamrská</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v zastoupení</w:t>
      </w:r>
    </w:p>
    <w:p w14:paraId="19082C85" w14:textId="0B18C751" w:rsidR="00243F50" w:rsidRPr="00243F50" w:rsidRDefault="00A60C03" w:rsidP="00287C64">
      <w:pPr>
        <w:spacing w:after="0"/>
        <w:rPr>
          <w:rFonts w:ascii="Segoe UI" w:hAnsi="Segoe UI" w:cs="Segoe UI"/>
          <w:color w:val="000000"/>
          <w:sz w:val="22"/>
          <w:szCs w:val="22"/>
        </w:rPr>
      </w:pPr>
      <w:r>
        <w:rPr>
          <w:rFonts w:ascii="Segoe UI" w:hAnsi="Segoe UI" w:cs="Segoe UI"/>
          <w:color w:val="000000"/>
          <w:sz w:val="22"/>
          <w:szCs w:val="22"/>
        </w:rPr>
        <w:t>prokuristka</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69A09E64" w14:textId="66ACC886" w:rsidR="00243F50" w:rsidRPr="00243F50" w:rsidRDefault="00A60C03"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2461E1F3"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A15203">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w:t>
    </w:r>
    <w:r w:rsidRPr="00A15203">
      <w:rPr>
        <w:rFonts w:ascii="Segoe UI" w:hAnsi="Segoe UI" w:cs="Segoe UI"/>
        <w:i/>
        <w:iCs/>
        <w:sz w:val="22"/>
        <w:szCs w:val="22"/>
        <w:u w:val="single"/>
      </w:rPr>
      <w:t>smlouvy SODM-</w:t>
    </w:r>
    <w:r w:rsidR="00A15203" w:rsidRPr="00A15203">
      <w:rPr>
        <w:rFonts w:ascii="Segoe UI" w:hAnsi="Segoe UI" w:cs="Segoe UI"/>
        <w:i/>
        <w:iCs/>
        <w:sz w:val="22"/>
        <w:szCs w:val="22"/>
        <w:u w:val="single"/>
      </w:rPr>
      <w:t>26</w:t>
    </w:r>
    <w:r w:rsidRPr="00A15203">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w:t>
    </w:r>
    <w:r w:rsidR="00A631A3">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298D"/>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C6B3F"/>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25F2"/>
    <w:rsid w:val="0026533C"/>
    <w:rsid w:val="002669A0"/>
    <w:rsid w:val="00266D01"/>
    <w:rsid w:val="002712EE"/>
    <w:rsid w:val="00271A5E"/>
    <w:rsid w:val="0027200A"/>
    <w:rsid w:val="0027392B"/>
    <w:rsid w:val="00274D09"/>
    <w:rsid w:val="00275D5E"/>
    <w:rsid w:val="0027639D"/>
    <w:rsid w:val="00276CCD"/>
    <w:rsid w:val="0028023A"/>
    <w:rsid w:val="00282C83"/>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7E0"/>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00D"/>
    <w:rsid w:val="00553471"/>
    <w:rsid w:val="0055368E"/>
    <w:rsid w:val="00554E0B"/>
    <w:rsid w:val="00560379"/>
    <w:rsid w:val="005603C3"/>
    <w:rsid w:val="005610CC"/>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5CE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17C"/>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23E9"/>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481E"/>
    <w:rsid w:val="009958D3"/>
    <w:rsid w:val="0099643D"/>
    <w:rsid w:val="009A0BD3"/>
    <w:rsid w:val="009A13A9"/>
    <w:rsid w:val="009A3E54"/>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2B5"/>
    <w:rsid w:val="00A026DD"/>
    <w:rsid w:val="00A03222"/>
    <w:rsid w:val="00A035A6"/>
    <w:rsid w:val="00A048E2"/>
    <w:rsid w:val="00A05D2F"/>
    <w:rsid w:val="00A06C61"/>
    <w:rsid w:val="00A07201"/>
    <w:rsid w:val="00A12331"/>
    <w:rsid w:val="00A12ACC"/>
    <w:rsid w:val="00A13D9C"/>
    <w:rsid w:val="00A15203"/>
    <w:rsid w:val="00A15339"/>
    <w:rsid w:val="00A20051"/>
    <w:rsid w:val="00A23479"/>
    <w:rsid w:val="00A2593E"/>
    <w:rsid w:val="00A2799E"/>
    <w:rsid w:val="00A317BC"/>
    <w:rsid w:val="00A31E82"/>
    <w:rsid w:val="00A346BC"/>
    <w:rsid w:val="00A35B13"/>
    <w:rsid w:val="00A37A11"/>
    <w:rsid w:val="00A40707"/>
    <w:rsid w:val="00A4327A"/>
    <w:rsid w:val="00A465BD"/>
    <w:rsid w:val="00A465C1"/>
    <w:rsid w:val="00A47122"/>
    <w:rsid w:val="00A51A19"/>
    <w:rsid w:val="00A52624"/>
    <w:rsid w:val="00A571A2"/>
    <w:rsid w:val="00A6078E"/>
    <w:rsid w:val="00A60C03"/>
    <w:rsid w:val="00A614BB"/>
    <w:rsid w:val="00A631A3"/>
    <w:rsid w:val="00A64E61"/>
    <w:rsid w:val="00A654A1"/>
    <w:rsid w:val="00A65DE8"/>
    <w:rsid w:val="00A65F59"/>
    <w:rsid w:val="00A70776"/>
    <w:rsid w:val="00A70D13"/>
    <w:rsid w:val="00A71DAE"/>
    <w:rsid w:val="00A735F3"/>
    <w:rsid w:val="00A75444"/>
    <w:rsid w:val="00A80D43"/>
    <w:rsid w:val="00A80D6A"/>
    <w:rsid w:val="00A80FF0"/>
    <w:rsid w:val="00A822E1"/>
    <w:rsid w:val="00A82CBB"/>
    <w:rsid w:val="00A85E80"/>
    <w:rsid w:val="00A86938"/>
    <w:rsid w:val="00A90453"/>
    <w:rsid w:val="00A90EA3"/>
    <w:rsid w:val="00A90FEB"/>
    <w:rsid w:val="00A91004"/>
    <w:rsid w:val="00A922BB"/>
    <w:rsid w:val="00A925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12F"/>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59C5"/>
    <w:rsid w:val="00BA64DA"/>
    <w:rsid w:val="00BA6EBC"/>
    <w:rsid w:val="00BB291F"/>
    <w:rsid w:val="00BB4FFC"/>
    <w:rsid w:val="00BB78A7"/>
    <w:rsid w:val="00BB7F21"/>
    <w:rsid w:val="00BC0BA7"/>
    <w:rsid w:val="00BC12CB"/>
    <w:rsid w:val="00BC328D"/>
    <w:rsid w:val="00BC57BB"/>
    <w:rsid w:val="00BD45F8"/>
    <w:rsid w:val="00BD555C"/>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AE"/>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199D"/>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0BDC"/>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7A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blasko@straba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map@kolektory.cz" TargetMode="External"/><Relationship Id="rId4" Type="http://schemas.openxmlformats.org/officeDocument/2006/relationships/settings" Target="settings.xml"/><Relationship Id="rId9" Type="http://schemas.openxmlformats.org/officeDocument/2006/relationships/hyperlink" Target="mailto:radek.blasko@strabag.com"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30</Pages>
  <Words>10679</Words>
  <Characters>63009</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73541</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57</cp:revision>
  <cp:lastPrinted>2019-07-25T07:19:00Z</cp:lastPrinted>
  <dcterms:created xsi:type="dcterms:W3CDTF">2020-10-26T07:39:00Z</dcterms:created>
  <dcterms:modified xsi:type="dcterms:W3CDTF">2021-04-12T11:49:00Z</dcterms:modified>
</cp:coreProperties>
</file>