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52D05" w14:textId="77777777" w:rsidR="003413D3" w:rsidRPr="00104C1F" w:rsidRDefault="003413D3" w:rsidP="00DA3E46">
      <w:pPr>
        <w:spacing w:after="120"/>
        <w:jc w:val="center"/>
        <w:rPr>
          <w:rFonts w:ascii="Arial" w:hAnsi="Arial" w:cs="Arial"/>
          <w:b/>
          <w:sz w:val="28"/>
          <w:szCs w:val="28"/>
        </w:rPr>
      </w:pPr>
      <w:r w:rsidRPr="00104C1F">
        <w:rPr>
          <w:rFonts w:ascii="Arial" w:hAnsi="Arial" w:cs="Arial"/>
          <w:b/>
          <w:sz w:val="28"/>
          <w:szCs w:val="28"/>
        </w:rPr>
        <w:t>Příkazní smlouva</w:t>
      </w:r>
    </w:p>
    <w:p w14:paraId="7D0D0BC1" w14:textId="77777777" w:rsidR="003413D3" w:rsidRPr="00104C1F" w:rsidRDefault="003413D3" w:rsidP="00DA3E46">
      <w:pPr>
        <w:tabs>
          <w:tab w:val="right" w:pos="9072"/>
        </w:tabs>
        <w:spacing w:after="120"/>
        <w:jc w:val="center"/>
        <w:rPr>
          <w:rFonts w:ascii="Arial" w:hAnsi="Arial" w:cs="Arial"/>
          <w:b/>
          <w:sz w:val="20"/>
          <w:szCs w:val="20"/>
        </w:rPr>
      </w:pPr>
      <w:r w:rsidRPr="00104C1F">
        <w:rPr>
          <w:rFonts w:ascii="Arial" w:hAnsi="Arial" w:cs="Arial"/>
          <w:b/>
          <w:sz w:val="20"/>
          <w:szCs w:val="20"/>
        </w:rPr>
        <w:t>uzavřená</w:t>
      </w:r>
    </w:p>
    <w:p w14:paraId="7888DD87" w14:textId="77777777" w:rsidR="003413D3" w:rsidRPr="00104C1F" w:rsidRDefault="003413D3" w:rsidP="00DA3E46">
      <w:pPr>
        <w:spacing w:after="120"/>
        <w:jc w:val="center"/>
        <w:rPr>
          <w:rFonts w:ascii="Arial" w:hAnsi="Arial" w:cs="Arial"/>
          <w:b/>
          <w:sz w:val="20"/>
          <w:szCs w:val="20"/>
        </w:rPr>
      </w:pPr>
      <w:r w:rsidRPr="00104C1F">
        <w:rPr>
          <w:rFonts w:ascii="Arial" w:hAnsi="Arial" w:cs="Arial"/>
          <w:b/>
          <w:sz w:val="20"/>
          <w:szCs w:val="20"/>
        </w:rPr>
        <w:t>dne, měsíce, roku níže uvedeného</w:t>
      </w:r>
    </w:p>
    <w:p w14:paraId="35A76BF8" w14:textId="77777777" w:rsidR="003413D3" w:rsidRPr="00DA3E46" w:rsidRDefault="003413D3" w:rsidP="003413D3">
      <w:pPr>
        <w:rPr>
          <w:rFonts w:ascii="Arial" w:hAnsi="Arial" w:cs="Arial"/>
          <w:sz w:val="8"/>
          <w:szCs w:val="8"/>
        </w:rPr>
      </w:pPr>
    </w:p>
    <w:p w14:paraId="72E5E088" w14:textId="77777777" w:rsidR="003413D3" w:rsidRPr="00104C1F" w:rsidRDefault="003413D3" w:rsidP="003413D3">
      <w:pPr>
        <w:rPr>
          <w:rFonts w:ascii="Arial" w:hAnsi="Arial" w:cs="Arial"/>
          <w:sz w:val="20"/>
          <w:szCs w:val="20"/>
        </w:rPr>
      </w:pPr>
      <w:r w:rsidRPr="00104C1F">
        <w:rPr>
          <w:rFonts w:ascii="Arial" w:hAnsi="Arial" w:cs="Arial"/>
          <w:sz w:val="20"/>
          <w:szCs w:val="20"/>
        </w:rPr>
        <w:t>mezi</w:t>
      </w:r>
    </w:p>
    <w:tbl>
      <w:tblPr>
        <w:tblStyle w:val="Mkatabulky"/>
        <w:tblW w:w="0" w:type="auto"/>
        <w:tblLook w:val="04A0" w:firstRow="1" w:lastRow="0" w:firstColumn="1" w:lastColumn="0" w:noHBand="0" w:noVBand="1"/>
      </w:tblPr>
      <w:tblGrid>
        <w:gridCol w:w="2972"/>
        <w:gridCol w:w="6088"/>
      </w:tblGrid>
      <w:tr w:rsidR="003413D3" w:rsidRPr="00104C1F" w14:paraId="036E1B9A" w14:textId="77777777" w:rsidTr="004A7B2D">
        <w:tc>
          <w:tcPr>
            <w:tcW w:w="2972" w:type="dxa"/>
          </w:tcPr>
          <w:p w14:paraId="77E3C0A2" w14:textId="77777777" w:rsidR="003413D3" w:rsidRPr="00104C1F" w:rsidRDefault="003413D3" w:rsidP="00DA3E46">
            <w:pPr>
              <w:spacing w:after="0"/>
              <w:rPr>
                <w:rFonts w:ascii="Arial" w:hAnsi="Arial" w:cs="Arial"/>
                <w:sz w:val="20"/>
                <w:szCs w:val="20"/>
              </w:rPr>
            </w:pPr>
            <w:r w:rsidRPr="00104C1F">
              <w:rPr>
                <w:rFonts w:ascii="Arial" w:hAnsi="Arial" w:cs="Arial"/>
                <w:sz w:val="20"/>
                <w:szCs w:val="20"/>
              </w:rPr>
              <w:t>Název</w:t>
            </w:r>
          </w:p>
        </w:tc>
        <w:tc>
          <w:tcPr>
            <w:tcW w:w="6088" w:type="dxa"/>
          </w:tcPr>
          <w:p w14:paraId="7761F12C" w14:textId="57761B8E" w:rsidR="003413D3" w:rsidRPr="00770B3F" w:rsidRDefault="00142D2E" w:rsidP="00DA3E46">
            <w:pPr>
              <w:spacing w:after="0"/>
              <w:rPr>
                <w:rFonts w:ascii="Arial" w:hAnsi="Arial" w:cs="Arial"/>
                <w:b/>
                <w:sz w:val="20"/>
                <w:szCs w:val="20"/>
              </w:rPr>
            </w:pPr>
            <w:r w:rsidRPr="00142D2E">
              <w:rPr>
                <w:rFonts w:ascii="Arial" w:hAnsi="Arial" w:cs="Arial"/>
                <w:b/>
                <w:sz w:val="20"/>
                <w:szCs w:val="20"/>
              </w:rPr>
              <w:t>Městská část Praha 3</w:t>
            </w:r>
          </w:p>
        </w:tc>
      </w:tr>
      <w:tr w:rsidR="003413D3" w:rsidRPr="00104C1F" w14:paraId="230FC57A" w14:textId="77777777" w:rsidTr="004A7B2D">
        <w:tc>
          <w:tcPr>
            <w:tcW w:w="2972" w:type="dxa"/>
          </w:tcPr>
          <w:p w14:paraId="322584BD" w14:textId="77777777" w:rsidR="003413D3" w:rsidRPr="00104C1F" w:rsidRDefault="003413D3" w:rsidP="00DA3E46">
            <w:pPr>
              <w:spacing w:after="0"/>
              <w:rPr>
                <w:rFonts w:ascii="Arial" w:hAnsi="Arial" w:cs="Arial"/>
                <w:sz w:val="20"/>
                <w:szCs w:val="20"/>
              </w:rPr>
            </w:pPr>
            <w:r w:rsidRPr="00104C1F">
              <w:rPr>
                <w:rFonts w:ascii="Arial" w:hAnsi="Arial" w:cs="Arial"/>
                <w:sz w:val="20"/>
                <w:szCs w:val="20"/>
              </w:rPr>
              <w:t>Sídlo</w:t>
            </w:r>
          </w:p>
        </w:tc>
        <w:tc>
          <w:tcPr>
            <w:tcW w:w="6088" w:type="dxa"/>
          </w:tcPr>
          <w:p w14:paraId="64621D6D" w14:textId="509EF92F" w:rsidR="003413D3" w:rsidRPr="007A0003" w:rsidRDefault="00142D2E" w:rsidP="00142D2E">
            <w:pPr>
              <w:spacing w:after="0"/>
              <w:rPr>
                <w:rFonts w:ascii="Arial" w:hAnsi="Arial" w:cs="Arial"/>
                <w:sz w:val="20"/>
                <w:szCs w:val="20"/>
              </w:rPr>
            </w:pPr>
            <w:r w:rsidRPr="00142D2E">
              <w:rPr>
                <w:rFonts w:ascii="Arial" w:hAnsi="Arial" w:cs="Arial"/>
                <w:sz w:val="20"/>
                <w:szCs w:val="20"/>
              </w:rPr>
              <w:t>Havlíčkovo nám. 700/9</w:t>
            </w:r>
            <w:r>
              <w:rPr>
                <w:rFonts w:ascii="Arial" w:hAnsi="Arial" w:cs="Arial"/>
                <w:sz w:val="20"/>
                <w:szCs w:val="20"/>
              </w:rPr>
              <w:t xml:space="preserve">, </w:t>
            </w:r>
            <w:r w:rsidRPr="00142D2E">
              <w:rPr>
                <w:rFonts w:ascii="Arial" w:hAnsi="Arial" w:cs="Arial"/>
                <w:sz w:val="20"/>
                <w:szCs w:val="20"/>
              </w:rPr>
              <w:t>130 85 Praha 3</w:t>
            </w:r>
          </w:p>
        </w:tc>
      </w:tr>
      <w:tr w:rsidR="003413D3" w:rsidRPr="00104C1F" w14:paraId="4FC1D911" w14:textId="77777777" w:rsidTr="004A7B2D">
        <w:tc>
          <w:tcPr>
            <w:tcW w:w="2972" w:type="dxa"/>
          </w:tcPr>
          <w:p w14:paraId="2F179BDC" w14:textId="77777777" w:rsidR="003413D3" w:rsidRPr="00104C1F" w:rsidRDefault="003413D3" w:rsidP="00DA3E46">
            <w:pPr>
              <w:spacing w:after="0"/>
              <w:rPr>
                <w:rFonts w:ascii="Arial" w:hAnsi="Arial" w:cs="Arial"/>
                <w:sz w:val="20"/>
                <w:szCs w:val="20"/>
              </w:rPr>
            </w:pPr>
            <w:r w:rsidRPr="00104C1F">
              <w:rPr>
                <w:rFonts w:ascii="Arial" w:hAnsi="Arial" w:cs="Arial"/>
                <w:sz w:val="20"/>
                <w:szCs w:val="20"/>
              </w:rPr>
              <w:t>IČO</w:t>
            </w:r>
          </w:p>
        </w:tc>
        <w:tc>
          <w:tcPr>
            <w:tcW w:w="6088" w:type="dxa"/>
          </w:tcPr>
          <w:p w14:paraId="37C305CA" w14:textId="2E2B207D" w:rsidR="003413D3" w:rsidRPr="007A0003" w:rsidRDefault="00142D2E" w:rsidP="00DA3E46">
            <w:pPr>
              <w:spacing w:after="0"/>
              <w:rPr>
                <w:rFonts w:ascii="Arial" w:hAnsi="Arial" w:cs="Arial"/>
                <w:sz w:val="20"/>
                <w:szCs w:val="20"/>
              </w:rPr>
            </w:pPr>
            <w:r w:rsidRPr="00142D2E">
              <w:rPr>
                <w:rFonts w:ascii="Arial" w:hAnsi="Arial" w:cs="Arial"/>
                <w:sz w:val="20"/>
                <w:szCs w:val="20"/>
              </w:rPr>
              <w:t>00063517</w:t>
            </w:r>
          </w:p>
        </w:tc>
      </w:tr>
      <w:tr w:rsidR="007260BA" w:rsidRPr="00104C1F" w14:paraId="1881A610" w14:textId="77777777" w:rsidTr="004A7B2D">
        <w:tc>
          <w:tcPr>
            <w:tcW w:w="2972" w:type="dxa"/>
          </w:tcPr>
          <w:p w14:paraId="5AB15457" w14:textId="77777777" w:rsidR="007260BA" w:rsidRPr="00104C1F" w:rsidRDefault="007260BA" w:rsidP="00DA3E46">
            <w:pPr>
              <w:spacing w:after="0"/>
              <w:rPr>
                <w:rFonts w:ascii="Arial" w:hAnsi="Arial" w:cs="Arial"/>
                <w:sz w:val="20"/>
                <w:szCs w:val="20"/>
              </w:rPr>
            </w:pPr>
            <w:r>
              <w:rPr>
                <w:rFonts w:ascii="Arial" w:hAnsi="Arial" w:cs="Arial"/>
                <w:sz w:val="20"/>
                <w:szCs w:val="20"/>
              </w:rPr>
              <w:t>DIČ</w:t>
            </w:r>
          </w:p>
        </w:tc>
        <w:tc>
          <w:tcPr>
            <w:tcW w:w="6088" w:type="dxa"/>
          </w:tcPr>
          <w:p w14:paraId="5FFD6E69" w14:textId="4F39EABE" w:rsidR="007260BA" w:rsidRPr="007A0003" w:rsidRDefault="00142D2E" w:rsidP="00DA3E46">
            <w:pPr>
              <w:spacing w:after="0"/>
              <w:rPr>
                <w:rFonts w:ascii="Arial" w:hAnsi="Arial" w:cs="Arial"/>
                <w:sz w:val="20"/>
                <w:szCs w:val="20"/>
              </w:rPr>
            </w:pPr>
            <w:r>
              <w:rPr>
                <w:rFonts w:ascii="Arial" w:hAnsi="Arial" w:cs="Arial"/>
                <w:sz w:val="20"/>
                <w:szCs w:val="20"/>
              </w:rPr>
              <w:t>CZ</w:t>
            </w:r>
            <w:r w:rsidRPr="00142D2E">
              <w:rPr>
                <w:rFonts w:ascii="Arial" w:hAnsi="Arial" w:cs="Arial"/>
                <w:sz w:val="20"/>
                <w:szCs w:val="20"/>
              </w:rPr>
              <w:t>00063517</w:t>
            </w:r>
          </w:p>
        </w:tc>
      </w:tr>
      <w:tr w:rsidR="003413D3" w:rsidRPr="00104C1F" w14:paraId="2C57A99C" w14:textId="77777777" w:rsidTr="004A7B2D">
        <w:tc>
          <w:tcPr>
            <w:tcW w:w="2972" w:type="dxa"/>
          </w:tcPr>
          <w:p w14:paraId="618EBFD7" w14:textId="77777777" w:rsidR="003413D3" w:rsidRPr="00104C1F" w:rsidRDefault="003413D3" w:rsidP="00DA3E46">
            <w:pPr>
              <w:spacing w:after="0"/>
              <w:rPr>
                <w:rFonts w:ascii="Arial" w:hAnsi="Arial" w:cs="Arial"/>
                <w:sz w:val="20"/>
                <w:szCs w:val="20"/>
              </w:rPr>
            </w:pPr>
            <w:r w:rsidRPr="00104C1F">
              <w:rPr>
                <w:rFonts w:ascii="Arial" w:hAnsi="Arial" w:cs="Arial"/>
                <w:sz w:val="20"/>
                <w:szCs w:val="20"/>
              </w:rPr>
              <w:t>Zastoupena</w:t>
            </w:r>
          </w:p>
        </w:tc>
        <w:tc>
          <w:tcPr>
            <w:tcW w:w="6088" w:type="dxa"/>
          </w:tcPr>
          <w:p w14:paraId="3C6290BE" w14:textId="3A5B8269" w:rsidR="003413D3" w:rsidRPr="00767519" w:rsidRDefault="00142D2E" w:rsidP="00DA3E46">
            <w:pPr>
              <w:spacing w:after="0"/>
              <w:rPr>
                <w:rFonts w:ascii="Arial" w:hAnsi="Arial" w:cs="Arial"/>
                <w:sz w:val="20"/>
                <w:szCs w:val="20"/>
              </w:rPr>
            </w:pPr>
            <w:r>
              <w:rPr>
                <w:rFonts w:ascii="Arial" w:hAnsi="Arial" w:cs="Arial"/>
                <w:sz w:val="20"/>
                <w:szCs w:val="20"/>
              </w:rPr>
              <w:t>Jiří Ptáček, starosta</w:t>
            </w:r>
          </w:p>
        </w:tc>
      </w:tr>
      <w:tr w:rsidR="003413D3" w:rsidRPr="00104C1F" w14:paraId="6C1B442A" w14:textId="77777777" w:rsidTr="004A7B2D">
        <w:tc>
          <w:tcPr>
            <w:tcW w:w="2972" w:type="dxa"/>
          </w:tcPr>
          <w:p w14:paraId="3A127E51" w14:textId="77777777" w:rsidR="003413D3" w:rsidRPr="00104C1F" w:rsidRDefault="003413D3" w:rsidP="00DA3E46">
            <w:pPr>
              <w:spacing w:after="0"/>
              <w:rPr>
                <w:rFonts w:ascii="Arial" w:hAnsi="Arial" w:cs="Arial"/>
                <w:sz w:val="20"/>
                <w:szCs w:val="20"/>
              </w:rPr>
            </w:pPr>
            <w:r w:rsidRPr="00104C1F">
              <w:rPr>
                <w:rFonts w:ascii="Arial" w:hAnsi="Arial" w:cs="Arial"/>
                <w:sz w:val="20"/>
                <w:szCs w:val="20"/>
              </w:rPr>
              <w:t>Kontaktní osoba</w:t>
            </w:r>
          </w:p>
        </w:tc>
        <w:tc>
          <w:tcPr>
            <w:tcW w:w="6088" w:type="dxa"/>
          </w:tcPr>
          <w:p w14:paraId="7284CF8D" w14:textId="55510A5A" w:rsidR="00767519" w:rsidRPr="00767519" w:rsidRDefault="00142D2E" w:rsidP="00DA3E46">
            <w:pPr>
              <w:spacing w:after="0"/>
              <w:rPr>
                <w:rFonts w:ascii="Arial" w:hAnsi="Arial" w:cs="Arial"/>
                <w:sz w:val="20"/>
                <w:szCs w:val="20"/>
              </w:rPr>
            </w:pPr>
            <w:r>
              <w:rPr>
                <w:rFonts w:ascii="Arial" w:hAnsi="Arial" w:cs="Arial"/>
                <w:sz w:val="20"/>
                <w:szCs w:val="20"/>
              </w:rPr>
              <w:t xml:space="preserve"> vedoucí Odboru </w:t>
            </w:r>
            <w:r w:rsidRPr="00142D2E">
              <w:rPr>
                <w:rFonts w:ascii="Arial" w:hAnsi="Arial" w:cs="Arial"/>
                <w:sz w:val="20"/>
                <w:szCs w:val="20"/>
              </w:rPr>
              <w:t>ochrany životního prostředí</w:t>
            </w:r>
          </w:p>
        </w:tc>
      </w:tr>
      <w:tr w:rsidR="003413D3" w:rsidRPr="00104C1F" w14:paraId="0F61C175" w14:textId="77777777" w:rsidTr="004A7B2D">
        <w:tc>
          <w:tcPr>
            <w:tcW w:w="2972" w:type="dxa"/>
          </w:tcPr>
          <w:p w14:paraId="6D12E77B" w14:textId="77777777" w:rsidR="003413D3" w:rsidRPr="00104C1F" w:rsidRDefault="003413D3" w:rsidP="00DA3E46">
            <w:pPr>
              <w:spacing w:after="0"/>
              <w:rPr>
                <w:rFonts w:ascii="Arial" w:hAnsi="Arial" w:cs="Arial"/>
                <w:sz w:val="20"/>
                <w:szCs w:val="20"/>
              </w:rPr>
            </w:pPr>
            <w:r w:rsidRPr="00104C1F">
              <w:rPr>
                <w:rFonts w:ascii="Arial" w:hAnsi="Arial" w:cs="Arial"/>
                <w:sz w:val="20"/>
                <w:szCs w:val="20"/>
              </w:rPr>
              <w:t xml:space="preserve">E-mail </w:t>
            </w:r>
          </w:p>
        </w:tc>
        <w:tc>
          <w:tcPr>
            <w:tcW w:w="6088" w:type="dxa"/>
          </w:tcPr>
          <w:p w14:paraId="09474D00" w14:textId="1FD3C0AE" w:rsidR="00767519" w:rsidRPr="00767519" w:rsidRDefault="00767519" w:rsidP="00DA3E46">
            <w:pPr>
              <w:spacing w:after="0"/>
              <w:rPr>
                <w:rFonts w:ascii="Arial" w:hAnsi="Arial" w:cs="Arial"/>
                <w:sz w:val="20"/>
                <w:szCs w:val="20"/>
              </w:rPr>
            </w:pPr>
          </w:p>
        </w:tc>
      </w:tr>
      <w:tr w:rsidR="003413D3" w:rsidRPr="00104C1F" w14:paraId="6DDAA2C1" w14:textId="77777777" w:rsidTr="004A7B2D">
        <w:tc>
          <w:tcPr>
            <w:tcW w:w="2972" w:type="dxa"/>
          </w:tcPr>
          <w:p w14:paraId="344771C8" w14:textId="77777777" w:rsidR="003413D3" w:rsidRPr="00104C1F" w:rsidRDefault="003413D3" w:rsidP="00DA3E46">
            <w:pPr>
              <w:spacing w:after="0"/>
              <w:rPr>
                <w:rFonts w:ascii="Arial" w:hAnsi="Arial" w:cs="Arial"/>
                <w:sz w:val="20"/>
                <w:szCs w:val="20"/>
              </w:rPr>
            </w:pPr>
            <w:r w:rsidRPr="00104C1F">
              <w:rPr>
                <w:rFonts w:ascii="Arial" w:hAnsi="Arial" w:cs="Arial"/>
                <w:sz w:val="20"/>
                <w:szCs w:val="20"/>
              </w:rPr>
              <w:t xml:space="preserve">Telefon </w:t>
            </w:r>
          </w:p>
        </w:tc>
        <w:tc>
          <w:tcPr>
            <w:tcW w:w="6088" w:type="dxa"/>
          </w:tcPr>
          <w:p w14:paraId="33E4DC0D" w14:textId="5F60EC67" w:rsidR="00767519" w:rsidRPr="00767519" w:rsidRDefault="00767519" w:rsidP="00DA3E46">
            <w:pPr>
              <w:spacing w:after="0"/>
              <w:rPr>
                <w:rFonts w:ascii="Arial" w:hAnsi="Arial" w:cs="Arial"/>
                <w:sz w:val="20"/>
                <w:szCs w:val="20"/>
              </w:rPr>
            </w:pPr>
          </w:p>
        </w:tc>
      </w:tr>
    </w:tbl>
    <w:p w14:paraId="77A2C39D" w14:textId="77777777" w:rsidR="003413D3" w:rsidRPr="00104C1F" w:rsidRDefault="003413D3" w:rsidP="003413D3">
      <w:pPr>
        <w:spacing w:after="0"/>
        <w:rPr>
          <w:rFonts w:ascii="Arial" w:hAnsi="Arial" w:cs="Arial"/>
          <w:sz w:val="20"/>
          <w:szCs w:val="20"/>
        </w:rPr>
      </w:pPr>
      <w:r w:rsidRPr="00104C1F">
        <w:rPr>
          <w:rFonts w:ascii="Arial" w:hAnsi="Arial" w:cs="Arial"/>
          <w:sz w:val="20"/>
          <w:szCs w:val="20"/>
        </w:rPr>
        <w:t>dále jen „příkazce“</w:t>
      </w:r>
    </w:p>
    <w:p w14:paraId="3A3767D4" w14:textId="77777777" w:rsidR="003413D3" w:rsidRPr="00104C1F" w:rsidRDefault="003413D3" w:rsidP="003413D3">
      <w:pPr>
        <w:spacing w:after="0"/>
        <w:rPr>
          <w:rFonts w:ascii="Arial" w:hAnsi="Arial" w:cs="Arial"/>
          <w:sz w:val="20"/>
          <w:szCs w:val="20"/>
        </w:rPr>
      </w:pPr>
      <w:r w:rsidRPr="00104C1F">
        <w:rPr>
          <w:rFonts w:ascii="Arial" w:hAnsi="Arial" w:cs="Arial"/>
          <w:sz w:val="20"/>
          <w:szCs w:val="20"/>
        </w:rPr>
        <w:t>a</w:t>
      </w:r>
    </w:p>
    <w:tbl>
      <w:tblPr>
        <w:tblStyle w:val="Mkatabulky"/>
        <w:tblW w:w="0" w:type="auto"/>
        <w:tblLook w:val="04A0" w:firstRow="1" w:lastRow="0" w:firstColumn="1" w:lastColumn="0" w:noHBand="0" w:noVBand="1"/>
      </w:tblPr>
      <w:tblGrid>
        <w:gridCol w:w="2972"/>
        <w:gridCol w:w="6088"/>
      </w:tblGrid>
      <w:tr w:rsidR="003413D3" w:rsidRPr="00104C1F" w14:paraId="57973EC9" w14:textId="77777777" w:rsidTr="007260BA">
        <w:tc>
          <w:tcPr>
            <w:tcW w:w="2972" w:type="dxa"/>
          </w:tcPr>
          <w:p w14:paraId="7A970B5A" w14:textId="77777777" w:rsidR="003413D3" w:rsidRPr="00104C1F" w:rsidRDefault="003413D3" w:rsidP="003413D3">
            <w:pPr>
              <w:spacing w:after="0"/>
              <w:rPr>
                <w:rFonts w:ascii="Arial" w:hAnsi="Arial" w:cs="Arial"/>
                <w:sz w:val="20"/>
                <w:szCs w:val="20"/>
              </w:rPr>
            </w:pPr>
            <w:r w:rsidRPr="00104C1F">
              <w:rPr>
                <w:rFonts w:ascii="Arial" w:hAnsi="Arial" w:cs="Arial"/>
                <w:sz w:val="20"/>
                <w:szCs w:val="20"/>
              </w:rPr>
              <w:t>Název</w:t>
            </w:r>
          </w:p>
        </w:tc>
        <w:tc>
          <w:tcPr>
            <w:tcW w:w="6088" w:type="dxa"/>
          </w:tcPr>
          <w:p w14:paraId="0F9B65A6" w14:textId="25E4E87C" w:rsidR="003413D3" w:rsidRPr="00142D2E" w:rsidRDefault="00142D2E" w:rsidP="007F03F4">
            <w:pPr>
              <w:spacing w:after="0"/>
              <w:rPr>
                <w:rFonts w:ascii="Arial" w:hAnsi="Arial" w:cs="Arial"/>
                <w:b/>
                <w:bCs/>
                <w:sz w:val="20"/>
                <w:szCs w:val="20"/>
              </w:rPr>
            </w:pPr>
            <w:r w:rsidRPr="00142D2E">
              <w:rPr>
                <w:rFonts w:ascii="Arial" w:hAnsi="Arial" w:cs="Arial"/>
                <w:b/>
                <w:bCs/>
                <w:sz w:val="20"/>
                <w:szCs w:val="20"/>
              </w:rPr>
              <w:t>LAWYA, advokátní kancelář s.r.o.</w:t>
            </w:r>
          </w:p>
        </w:tc>
      </w:tr>
      <w:tr w:rsidR="003413D3" w:rsidRPr="00104C1F" w14:paraId="42DCC349" w14:textId="77777777" w:rsidTr="007260BA">
        <w:tc>
          <w:tcPr>
            <w:tcW w:w="2972" w:type="dxa"/>
          </w:tcPr>
          <w:p w14:paraId="605088AC" w14:textId="77777777" w:rsidR="003413D3" w:rsidRPr="00104C1F" w:rsidRDefault="003413D3" w:rsidP="003413D3">
            <w:pPr>
              <w:spacing w:after="0"/>
              <w:rPr>
                <w:rFonts w:ascii="Arial" w:hAnsi="Arial" w:cs="Arial"/>
                <w:sz w:val="20"/>
                <w:szCs w:val="20"/>
              </w:rPr>
            </w:pPr>
            <w:r w:rsidRPr="00104C1F">
              <w:rPr>
                <w:rFonts w:ascii="Arial" w:hAnsi="Arial" w:cs="Arial"/>
                <w:sz w:val="20"/>
                <w:szCs w:val="20"/>
              </w:rPr>
              <w:t>Sídlo</w:t>
            </w:r>
          </w:p>
        </w:tc>
        <w:tc>
          <w:tcPr>
            <w:tcW w:w="6088" w:type="dxa"/>
          </w:tcPr>
          <w:p w14:paraId="0C981EA8" w14:textId="1C335945" w:rsidR="003413D3" w:rsidRPr="00104C1F" w:rsidRDefault="00142D2E" w:rsidP="003413D3">
            <w:pPr>
              <w:spacing w:after="0"/>
              <w:rPr>
                <w:rFonts w:ascii="Arial" w:hAnsi="Arial" w:cs="Arial"/>
                <w:sz w:val="20"/>
                <w:szCs w:val="20"/>
              </w:rPr>
            </w:pPr>
            <w:r w:rsidRPr="00142D2E">
              <w:rPr>
                <w:rFonts w:ascii="Arial" w:hAnsi="Arial" w:cs="Arial"/>
                <w:sz w:val="20"/>
                <w:szCs w:val="20"/>
              </w:rPr>
              <w:t>č.p. 240, 683 01 Tučapy</w:t>
            </w:r>
          </w:p>
        </w:tc>
      </w:tr>
      <w:tr w:rsidR="003413D3" w:rsidRPr="00104C1F" w14:paraId="46E7336C" w14:textId="77777777" w:rsidTr="007260BA">
        <w:tc>
          <w:tcPr>
            <w:tcW w:w="2972" w:type="dxa"/>
          </w:tcPr>
          <w:p w14:paraId="2A3CA076" w14:textId="77777777" w:rsidR="003413D3" w:rsidRPr="00104C1F" w:rsidRDefault="003413D3" w:rsidP="003413D3">
            <w:pPr>
              <w:spacing w:after="0"/>
              <w:rPr>
                <w:rFonts w:ascii="Arial" w:hAnsi="Arial" w:cs="Arial"/>
                <w:sz w:val="20"/>
                <w:szCs w:val="20"/>
              </w:rPr>
            </w:pPr>
            <w:r w:rsidRPr="00104C1F">
              <w:rPr>
                <w:rFonts w:ascii="Arial" w:hAnsi="Arial" w:cs="Arial"/>
                <w:sz w:val="20"/>
                <w:szCs w:val="20"/>
              </w:rPr>
              <w:t>IČO</w:t>
            </w:r>
          </w:p>
        </w:tc>
        <w:tc>
          <w:tcPr>
            <w:tcW w:w="6088" w:type="dxa"/>
          </w:tcPr>
          <w:p w14:paraId="72E499A5" w14:textId="11075C23" w:rsidR="003413D3" w:rsidRPr="00104C1F" w:rsidRDefault="00142D2E" w:rsidP="003413D3">
            <w:pPr>
              <w:spacing w:after="0"/>
              <w:rPr>
                <w:rFonts w:ascii="Arial" w:hAnsi="Arial" w:cs="Arial"/>
                <w:sz w:val="20"/>
                <w:szCs w:val="20"/>
              </w:rPr>
            </w:pPr>
            <w:r w:rsidRPr="00142D2E">
              <w:rPr>
                <w:rFonts w:ascii="Arial" w:hAnsi="Arial" w:cs="Arial"/>
                <w:sz w:val="20"/>
                <w:szCs w:val="20"/>
              </w:rPr>
              <w:t>07013531</w:t>
            </w:r>
          </w:p>
        </w:tc>
      </w:tr>
      <w:tr w:rsidR="007260BA" w:rsidRPr="00104C1F" w14:paraId="10002E31" w14:textId="77777777" w:rsidTr="007260BA">
        <w:tc>
          <w:tcPr>
            <w:tcW w:w="2972" w:type="dxa"/>
          </w:tcPr>
          <w:p w14:paraId="2EAC800A" w14:textId="77777777" w:rsidR="007260BA" w:rsidRPr="00104C1F" w:rsidRDefault="007260BA" w:rsidP="003413D3">
            <w:pPr>
              <w:spacing w:after="0"/>
              <w:rPr>
                <w:rFonts w:ascii="Arial" w:hAnsi="Arial" w:cs="Arial"/>
                <w:sz w:val="20"/>
                <w:szCs w:val="20"/>
              </w:rPr>
            </w:pPr>
            <w:r>
              <w:rPr>
                <w:rFonts w:ascii="Arial" w:hAnsi="Arial" w:cs="Arial"/>
                <w:sz w:val="20"/>
                <w:szCs w:val="20"/>
              </w:rPr>
              <w:t>DIČ</w:t>
            </w:r>
          </w:p>
        </w:tc>
        <w:tc>
          <w:tcPr>
            <w:tcW w:w="6088" w:type="dxa"/>
          </w:tcPr>
          <w:p w14:paraId="2AB8D640" w14:textId="6B81FE8B" w:rsidR="007260BA" w:rsidRPr="00104C1F" w:rsidRDefault="00142D2E" w:rsidP="003413D3">
            <w:pPr>
              <w:spacing w:after="0"/>
              <w:rPr>
                <w:rFonts w:ascii="Arial" w:hAnsi="Arial" w:cs="Arial"/>
                <w:sz w:val="20"/>
                <w:szCs w:val="20"/>
              </w:rPr>
            </w:pPr>
            <w:r>
              <w:rPr>
                <w:rFonts w:ascii="Arial" w:hAnsi="Arial" w:cs="Arial"/>
                <w:sz w:val="20"/>
                <w:szCs w:val="20"/>
              </w:rPr>
              <w:t>CZ</w:t>
            </w:r>
            <w:r w:rsidRPr="00142D2E">
              <w:rPr>
                <w:rFonts w:ascii="Arial" w:hAnsi="Arial" w:cs="Arial"/>
                <w:sz w:val="20"/>
                <w:szCs w:val="20"/>
              </w:rPr>
              <w:t>07013531</w:t>
            </w:r>
          </w:p>
        </w:tc>
      </w:tr>
      <w:tr w:rsidR="007260BA" w:rsidRPr="00104C1F" w14:paraId="07595CB2" w14:textId="77777777" w:rsidTr="007260BA">
        <w:tc>
          <w:tcPr>
            <w:tcW w:w="2972" w:type="dxa"/>
          </w:tcPr>
          <w:p w14:paraId="71F8D894" w14:textId="1A4A44F5" w:rsidR="007260BA" w:rsidRDefault="00142D2E" w:rsidP="003413D3">
            <w:pPr>
              <w:spacing w:after="0"/>
              <w:rPr>
                <w:rFonts w:ascii="Arial" w:hAnsi="Arial" w:cs="Arial"/>
                <w:sz w:val="20"/>
                <w:szCs w:val="20"/>
              </w:rPr>
            </w:pPr>
            <w:r>
              <w:rPr>
                <w:rFonts w:ascii="Arial" w:hAnsi="Arial" w:cs="Arial"/>
                <w:sz w:val="20"/>
                <w:szCs w:val="20"/>
              </w:rPr>
              <w:t>Spisová značka</w:t>
            </w:r>
          </w:p>
        </w:tc>
        <w:tc>
          <w:tcPr>
            <w:tcW w:w="6088" w:type="dxa"/>
          </w:tcPr>
          <w:p w14:paraId="72998A3E" w14:textId="7FD5E90A" w:rsidR="007260BA" w:rsidRPr="00104C1F" w:rsidRDefault="00142D2E" w:rsidP="003413D3">
            <w:pPr>
              <w:spacing w:after="0"/>
              <w:rPr>
                <w:rFonts w:ascii="Arial" w:hAnsi="Arial" w:cs="Arial"/>
                <w:sz w:val="20"/>
                <w:szCs w:val="20"/>
              </w:rPr>
            </w:pPr>
            <w:r w:rsidRPr="00142D2E">
              <w:rPr>
                <w:rFonts w:ascii="Arial" w:hAnsi="Arial" w:cs="Arial"/>
                <w:sz w:val="20"/>
                <w:szCs w:val="20"/>
              </w:rPr>
              <w:t>C 105635 vedená u Krajského soudu v</w:t>
            </w:r>
            <w:r>
              <w:rPr>
                <w:rFonts w:ascii="Arial" w:hAnsi="Arial" w:cs="Arial"/>
                <w:sz w:val="20"/>
                <w:szCs w:val="20"/>
              </w:rPr>
              <w:t> </w:t>
            </w:r>
            <w:r w:rsidRPr="00142D2E">
              <w:rPr>
                <w:rFonts w:ascii="Arial" w:hAnsi="Arial" w:cs="Arial"/>
                <w:sz w:val="20"/>
                <w:szCs w:val="20"/>
              </w:rPr>
              <w:t>Brně</w:t>
            </w:r>
          </w:p>
        </w:tc>
      </w:tr>
      <w:tr w:rsidR="003413D3" w:rsidRPr="00104C1F" w14:paraId="59A709BB" w14:textId="77777777" w:rsidTr="007260BA">
        <w:tc>
          <w:tcPr>
            <w:tcW w:w="2972" w:type="dxa"/>
          </w:tcPr>
          <w:p w14:paraId="0A45C8FF" w14:textId="77777777" w:rsidR="003413D3" w:rsidRPr="00104C1F" w:rsidRDefault="003413D3" w:rsidP="003413D3">
            <w:pPr>
              <w:spacing w:after="0"/>
              <w:rPr>
                <w:rFonts w:ascii="Arial" w:hAnsi="Arial" w:cs="Arial"/>
                <w:sz w:val="20"/>
                <w:szCs w:val="20"/>
              </w:rPr>
            </w:pPr>
            <w:r w:rsidRPr="00104C1F">
              <w:rPr>
                <w:rFonts w:ascii="Arial" w:hAnsi="Arial" w:cs="Arial"/>
                <w:sz w:val="20"/>
                <w:szCs w:val="20"/>
              </w:rPr>
              <w:t>Zastoupena</w:t>
            </w:r>
          </w:p>
        </w:tc>
        <w:tc>
          <w:tcPr>
            <w:tcW w:w="6088" w:type="dxa"/>
          </w:tcPr>
          <w:p w14:paraId="323C982F" w14:textId="10581EBB" w:rsidR="003413D3" w:rsidRPr="00104C1F" w:rsidRDefault="00142D2E" w:rsidP="009654C4">
            <w:pPr>
              <w:spacing w:after="0"/>
              <w:rPr>
                <w:rFonts w:ascii="Arial" w:hAnsi="Arial" w:cs="Arial"/>
                <w:sz w:val="20"/>
                <w:szCs w:val="20"/>
              </w:rPr>
            </w:pPr>
            <w:r>
              <w:rPr>
                <w:rFonts w:ascii="Arial" w:hAnsi="Arial" w:cs="Arial"/>
                <w:sz w:val="20"/>
                <w:szCs w:val="20"/>
              </w:rPr>
              <w:t>JUDr. Michal Šilhánek, jednatel</w:t>
            </w:r>
          </w:p>
        </w:tc>
      </w:tr>
      <w:tr w:rsidR="003413D3" w:rsidRPr="00104C1F" w14:paraId="25956857" w14:textId="77777777" w:rsidTr="007260BA">
        <w:tc>
          <w:tcPr>
            <w:tcW w:w="2972" w:type="dxa"/>
          </w:tcPr>
          <w:p w14:paraId="782D2FC9" w14:textId="77777777" w:rsidR="003413D3" w:rsidRPr="00104C1F" w:rsidRDefault="003413D3" w:rsidP="003413D3">
            <w:pPr>
              <w:spacing w:after="0"/>
              <w:rPr>
                <w:rFonts w:ascii="Arial" w:hAnsi="Arial" w:cs="Arial"/>
                <w:sz w:val="20"/>
                <w:szCs w:val="20"/>
              </w:rPr>
            </w:pPr>
            <w:r w:rsidRPr="00104C1F">
              <w:rPr>
                <w:rFonts w:ascii="Arial" w:hAnsi="Arial" w:cs="Arial"/>
                <w:sz w:val="20"/>
                <w:szCs w:val="20"/>
              </w:rPr>
              <w:t>Kontaktní osoba</w:t>
            </w:r>
          </w:p>
        </w:tc>
        <w:tc>
          <w:tcPr>
            <w:tcW w:w="6088" w:type="dxa"/>
          </w:tcPr>
          <w:p w14:paraId="788F1E96" w14:textId="3BD970CB" w:rsidR="003413D3" w:rsidRPr="00104C1F" w:rsidRDefault="00142D2E" w:rsidP="003413D3">
            <w:pPr>
              <w:spacing w:after="0"/>
              <w:rPr>
                <w:rFonts w:ascii="Arial" w:hAnsi="Arial" w:cs="Arial"/>
                <w:sz w:val="20"/>
                <w:szCs w:val="20"/>
              </w:rPr>
            </w:pPr>
            <w:r>
              <w:rPr>
                <w:rFonts w:ascii="Arial" w:hAnsi="Arial" w:cs="Arial"/>
                <w:sz w:val="20"/>
                <w:szCs w:val="20"/>
              </w:rPr>
              <w:t>JUDr. Michal Šilhánek, jednatel</w:t>
            </w:r>
          </w:p>
        </w:tc>
      </w:tr>
      <w:tr w:rsidR="003413D3" w:rsidRPr="00104C1F" w14:paraId="0F078DA7" w14:textId="77777777" w:rsidTr="007260BA">
        <w:tc>
          <w:tcPr>
            <w:tcW w:w="2972" w:type="dxa"/>
          </w:tcPr>
          <w:p w14:paraId="6FD09138" w14:textId="77777777" w:rsidR="003413D3" w:rsidRPr="00104C1F" w:rsidRDefault="003413D3" w:rsidP="003413D3">
            <w:pPr>
              <w:spacing w:after="0"/>
              <w:rPr>
                <w:rFonts w:ascii="Arial" w:hAnsi="Arial" w:cs="Arial"/>
                <w:sz w:val="20"/>
                <w:szCs w:val="20"/>
              </w:rPr>
            </w:pPr>
            <w:r w:rsidRPr="00104C1F">
              <w:rPr>
                <w:rFonts w:ascii="Arial" w:hAnsi="Arial" w:cs="Arial"/>
                <w:sz w:val="20"/>
                <w:szCs w:val="20"/>
              </w:rPr>
              <w:t xml:space="preserve">E-mail </w:t>
            </w:r>
          </w:p>
        </w:tc>
        <w:tc>
          <w:tcPr>
            <w:tcW w:w="6088" w:type="dxa"/>
          </w:tcPr>
          <w:p w14:paraId="2F5FF35A" w14:textId="72DEAEE3" w:rsidR="003413D3" w:rsidRPr="00104C1F" w:rsidRDefault="003413D3" w:rsidP="003413D3">
            <w:pPr>
              <w:spacing w:after="0"/>
              <w:rPr>
                <w:rFonts w:ascii="Arial" w:hAnsi="Arial" w:cs="Arial"/>
                <w:sz w:val="20"/>
                <w:szCs w:val="20"/>
              </w:rPr>
            </w:pPr>
          </w:p>
        </w:tc>
      </w:tr>
      <w:tr w:rsidR="003413D3" w:rsidRPr="00104C1F" w14:paraId="1D1EEC4B" w14:textId="77777777" w:rsidTr="007260BA">
        <w:tc>
          <w:tcPr>
            <w:tcW w:w="2972" w:type="dxa"/>
          </w:tcPr>
          <w:p w14:paraId="2FD1FDDC" w14:textId="77777777" w:rsidR="003413D3" w:rsidRPr="00104C1F" w:rsidRDefault="003413D3" w:rsidP="003413D3">
            <w:pPr>
              <w:spacing w:after="0"/>
              <w:rPr>
                <w:rFonts w:ascii="Arial" w:hAnsi="Arial" w:cs="Arial"/>
                <w:sz w:val="20"/>
                <w:szCs w:val="20"/>
              </w:rPr>
            </w:pPr>
            <w:r w:rsidRPr="00104C1F">
              <w:rPr>
                <w:rFonts w:ascii="Arial" w:hAnsi="Arial" w:cs="Arial"/>
                <w:sz w:val="20"/>
                <w:szCs w:val="20"/>
              </w:rPr>
              <w:t xml:space="preserve">Telefon </w:t>
            </w:r>
          </w:p>
        </w:tc>
        <w:tc>
          <w:tcPr>
            <w:tcW w:w="6088" w:type="dxa"/>
          </w:tcPr>
          <w:p w14:paraId="2604B19F" w14:textId="772CE220" w:rsidR="003413D3" w:rsidRPr="00104C1F" w:rsidRDefault="003413D3" w:rsidP="003F3002">
            <w:pPr>
              <w:spacing w:after="0"/>
              <w:rPr>
                <w:rFonts w:ascii="Arial" w:hAnsi="Arial" w:cs="Arial"/>
                <w:sz w:val="20"/>
                <w:szCs w:val="20"/>
              </w:rPr>
            </w:pPr>
            <w:bookmarkStart w:id="0" w:name="_GoBack"/>
            <w:bookmarkEnd w:id="0"/>
          </w:p>
        </w:tc>
      </w:tr>
    </w:tbl>
    <w:p w14:paraId="465BB051" w14:textId="77777777" w:rsidR="003413D3" w:rsidRPr="00104C1F" w:rsidRDefault="003413D3" w:rsidP="003413D3">
      <w:pPr>
        <w:rPr>
          <w:rFonts w:ascii="Arial" w:hAnsi="Arial" w:cs="Arial"/>
          <w:sz w:val="20"/>
          <w:szCs w:val="20"/>
        </w:rPr>
      </w:pPr>
      <w:r w:rsidRPr="00104C1F">
        <w:rPr>
          <w:rFonts w:ascii="Arial" w:hAnsi="Arial" w:cs="Arial"/>
          <w:sz w:val="20"/>
          <w:szCs w:val="20"/>
        </w:rPr>
        <w:t>dále jen „příkazník“</w:t>
      </w:r>
    </w:p>
    <w:p w14:paraId="468800AC" w14:textId="77777777" w:rsidR="003413D3" w:rsidRPr="00104C1F" w:rsidRDefault="003413D3" w:rsidP="003413D3">
      <w:pPr>
        <w:rPr>
          <w:rFonts w:ascii="Arial" w:hAnsi="Arial" w:cs="Arial"/>
          <w:sz w:val="20"/>
          <w:szCs w:val="20"/>
        </w:rPr>
      </w:pPr>
      <w:r w:rsidRPr="00104C1F">
        <w:rPr>
          <w:rFonts w:ascii="Arial" w:hAnsi="Arial" w:cs="Arial"/>
          <w:sz w:val="20"/>
          <w:szCs w:val="20"/>
        </w:rPr>
        <w:t>dále společně jen „smluvní strany“</w:t>
      </w:r>
    </w:p>
    <w:p w14:paraId="6A8E99E1" w14:textId="77777777" w:rsidR="003413D3" w:rsidRPr="00104C1F" w:rsidRDefault="003413D3" w:rsidP="002D72F6">
      <w:pPr>
        <w:pStyle w:val="Nzev"/>
        <w:numPr>
          <w:ilvl w:val="0"/>
          <w:numId w:val="1"/>
        </w:numPr>
        <w:spacing w:before="240" w:after="240"/>
        <w:ind w:left="357" w:hanging="357"/>
      </w:pPr>
      <w:r w:rsidRPr="00104C1F">
        <w:t>Preambule</w:t>
      </w:r>
    </w:p>
    <w:p w14:paraId="7BB22CF1" w14:textId="77777777" w:rsidR="003413D3" w:rsidRDefault="003413D3" w:rsidP="00955671">
      <w:pPr>
        <w:spacing w:before="60" w:after="60"/>
        <w:jc w:val="center"/>
        <w:rPr>
          <w:rFonts w:ascii="Arial" w:hAnsi="Arial" w:cs="Arial"/>
          <w:sz w:val="20"/>
          <w:szCs w:val="20"/>
        </w:rPr>
      </w:pPr>
      <w:r w:rsidRPr="00104C1F">
        <w:rPr>
          <w:rFonts w:ascii="Arial" w:hAnsi="Arial" w:cs="Arial"/>
          <w:sz w:val="20"/>
          <w:szCs w:val="20"/>
        </w:rPr>
        <w:t>Smluvní strany tímto uzavírají příkazní smlouvu ve smyslu usta</w:t>
      </w:r>
      <w:r w:rsidR="00104C1F">
        <w:rPr>
          <w:rFonts w:ascii="Arial" w:hAnsi="Arial" w:cs="Arial"/>
          <w:sz w:val="20"/>
          <w:szCs w:val="20"/>
        </w:rPr>
        <w:t>novení § 2430 a násl. zákona č. </w:t>
      </w:r>
      <w:r w:rsidRPr="00104C1F">
        <w:rPr>
          <w:rFonts w:ascii="Arial" w:hAnsi="Arial" w:cs="Arial"/>
          <w:sz w:val="20"/>
          <w:szCs w:val="20"/>
        </w:rPr>
        <w:t xml:space="preserve">89/2012 Sb., občanský zákoník, </w:t>
      </w:r>
      <w:r w:rsidR="00F37CD3">
        <w:rPr>
          <w:rFonts w:ascii="Arial" w:hAnsi="Arial" w:cs="Arial"/>
          <w:sz w:val="20"/>
          <w:szCs w:val="20"/>
        </w:rPr>
        <w:t>ve znění pozdějších předpisů</w:t>
      </w:r>
      <w:r w:rsidRPr="00104C1F">
        <w:rPr>
          <w:rFonts w:ascii="Arial" w:hAnsi="Arial" w:cs="Arial"/>
          <w:sz w:val="20"/>
          <w:szCs w:val="20"/>
        </w:rPr>
        <w:t>, jejímž účelem je spolupráce smluvních stran při organizaci zadávacíh</w:t>
      </w:r>
      <w:r w:rsidR="006D2AAF">
        <w:rPr>
          <w:rFonts w:ascii="Arial" w:hAnsi="Arial" w:cs="Arial"/>
          <w:sz w:val="20"/>
          <w:szCs w:val="20"/>
        </w:rPr>
        <w:t>o</w:t>
      </w:r>
      <w:r w:rsidRPr="00104C1F">
        <w:rPr>
          <w:rFonts w:ascii="Arial" w:hAnsi="Arial" w:cs="Arial"/>
          <w:sz w:val="20"/>
          <w:szCs w:val="20"/>
        </w:rPr>
        <w:t xml:space="preserve"> řízení dle zákona č. </w:t>
      </w:r>
      <w:r w:rsidR="00443457" w:rsidRPr="00104C1F">
        <w:rPr>
          <w:rFonts w:ascii="Arial" w:hAnsi="Arial" w:cs="Arial"/>
          <w:sz w:val="20"/>
          <w:szCs w:val="20"/>
        </w:rPr>
        <w:t>134/2016</w:t>
      </w:r>
      <w:r w:rsidRPr="00104C1F">
        <w:rPr>
          <w:rFonts w:ascii="Arial" w:hAnsi="Arial" w:cs="Arial"/>
          <w:sz w:val="20"/>
          <w:szCs w:val="20"/>
        </w:rPr>
        <w:t xml:space="preserve"> Sb., o </w:t>
      </w:r>
      <w:r w:rsidR="00443457" w:rsidRPr="00104C1F">
        <w:rPr>
          <w:rFonts w:ascii="Arial" w:hAnsi="Arial" w:cs="Arial"/>
          <w:sz w:val="20"/>
          <w:szCs w:val="20"/>
        </w:rPr>
        <w:t>zadávání veřejných zakázek</w:t>
      </w:r>
      <w:r w:rsidRPr="00104C1F">
        <w:rPr>
          <w:rFonts w:ascii="Arial" w:hAnsi="Arial" w:cs="Arial"/>
          <w:sz w:val="20"/>
          <w:szCs w:val="20"/>
        </w:rPr>
        <w:t xml:space="preserve">, </w:t>
      </w:r>
      <w:r w:rsidR="00F37CD3">
        <w:rPr>
          <w:rFonts w:ascii="Arial" w:hAnsi="Arial" w:cs="Arial"/>
          <w:sz w:val="20"/>
          <w:szCs w:val="20"/>
        </w:rPr>
        <w:t>ve znění pozdějších předpisů</w:t>
      </w:r>
      <w:r w:rsidR="00606142">
        <w:rPr>
          <w:rFonts w:ascii="Arial" w:hAnsi="Arial" w:cs="Arial"/>
          <w:sz w:val="20"/>
          <w:szCs w:val="20"/>
        </w:rPr>
        <w:t>.</w:t>
      </w:r>
    </w:p>
    <w:p w14:paraId="7D732271" w14:textId="77777777" w:rsidR="003413D3" w:rsidRPr="00104C1F" w:rsidRDefault="003413D3" w:rsidP="002D72F6">
      <w:pPr>
        <w:pStyle w:val="Nzev"/>
        <w:numPr>
          <w:ilvl w:val="0"/>
          <w:numId w:val="1"/>
        </w:numPr>
        <w:spacing w:before="240" w:after="240"/>
        <w:ind w:left="357" w:hanging="357"/>
      </w:pPr>
      <w:r w:rsidRPr="00104C1F">
        <w:t>Definice a pojmy</w:t>
      </w:r>
    </w:p>
    <w:p w14:paraId="44FD43DC" w14:textId="432B1B8B" w:rsidR="00382CDC" w:rsidRDefault="003413D3" w:rsidP="00955671">
      <w:pPr>
        <w:pStyle w:val="rove1"/>
        <w:numPr>
          <w:ilvl w:val="1"/>
          <w:numId w:val="1"/>
        </w:numPr>
      </w:pPr>
      <w:r w:rsidRPr="00104C1F">
        <w:t>Zadávací řízení - proces zadání veřejné zakázky dodavateli v souladu se zákonem č. </w:t>
      </w:r>
      <w:r w:rsidR="00443457" w:rsidRPr="00104C1F">
        <w:t>134/2016</w:t>
      </w:r>
      <w:r w:rsidRPr="00104C1F">
        <w:t xml:space="preserve"> Sb., o </w:t>
      </w:r>
      <w:r w:rsidR="00104C1F">
        <w:t xml:space="preserve">zadávání veřejných zakázek, </w:t>
      </w:r>
      <w:r w:rsidR="00F37CD3">
        <w:t>ve znění pozdějších předpisů</w:t>
      </w:r>
      <w:r w:rsidR="002B467C" w:rsidRPr="00104C1F">
        <w:t xml:space="preserve"> (</w:t>
      </w:r>
      <w:r w:rsidR="000B7FB4">
        <w:t xml:space="preserve">dále jen </w:t>
      </w:r>
      <w:r w:rsidR="002B467C" w:rsidRPr="00104C1F">
        <w:t>„</w:t>
      </w:r>
      <w:r w:rsidR="007260BA">
        <w:t>ZZVZ</w:t>
      </w:r>
      <w:r w:rsidR="002B467C" w:rsidRPr="00104C1F">
        <w:t>“)</w:t>
      </w:r>
      <w:r w:rsidR="007260BA">
        <w:t>, s interními pravidly příkazce, které příkazce příkazníkovi poskytne</w:t>
      </w:r>
      <w:r w:rsidR="00606142">
        <w:t>.</w:t>
      </w:r>
    </w:p>
    <w:p w14:paraId="43211DAC" w14:textId="77777777" w:rsidR="003413D3" w:rsidRPr="00104C1F" w:rsidRDefault="003413D3" w:rsidP="00955671">
      <w:pPr>
        <w:pStyle w:val="rove1"/>
        <w:numPr>
          <w:ilvl w:val="1"/>
          <w:numId w:val="1"/>
        </w:numPr>
      </w:pPr>
      <w:r w:rsidRPr="00104C1F">
        <w:t>Organizace zadávacího řízení spočívá zejména v:</w:t>
      </w:r>
    </w:p>
    <w:p w14:paraId="687C25A6" w14:textId="77777777" w:rsidR="003413D3" w:rsidRPr="00104C1F" w:rsidRDefault="003413D3" w:rsidP="00955671">
      <w:pPr>
        <w:pStyle w:val="rove3"/>
        <w:numPr>
          <w:ilvl w:val="3"/>
          <w:numId w:val="2"/>
        </w:numPr>
      </w:pPr>
      <w:r w:rsidRPr="00104C1F">
        <w:t>identifikaci potřeb zadavatele veřejné zakázky;</w:t>
      </w:r>
    </w:p>
    <w:p w14:paraId="7DBD4D28" w14:textId="77777777" w:rsidR="003413D3" w:rsidRPr="00104C1F" w:rsidRDefault="003413D3" w:rsidP="00955671">
      <w:pPr>
        <w:pStyle w:val="rove3"/>
        <w:numPr>
          <w:ilvl w:val="3"/>
          <w:numId w:val="2"/>
        </w:numPr>
      </w:pPr>
      <w:r w:rsidRPr="00104C1F">
        <w:t>přípravě zadávacích podmínek veřejné zakázky</w:t>
      </w:r>
      <w:r w:rsidR="007260BA">
        <w:t>, zejména zpracování textové části zadávací dokumentace, včetně přípravy či úpravy návrhů smluv či obchodních podmínek vztahujících se k dané veřejné zakázce;</w:t>
      </w:r>
    </w:p>
    <w:p w14:paraId="62460166" w14:textId="77777777" w:rsidR="003413D3" w:rsidRPr="00104C1F" w:rsidRDefault="003413D3" w:rsidP="00955671">
      <w:pPr>
        <w:pStyle w:val="rove3"/>
        <w:numPr>
          <w:ilvl w:val="3"/>
          <w:numId w:val="2"/>
        </w:numPr>
      </w:pPr>
      <w:r w:rsidRPr="00104C1F">
        <w:t xml:space="preserve">administraci samotného zadávacího řízení dle </w:t>
      </w:r>
      <w:r w:rsidR="007260BA">
        <w:t>ZZVZ</w:t>
      </w:r>
      <w:r w:rsidRPr="00104C1F">
        <w:t>;</w:t>
      </w:r>
    </w:p>
    <w:p w14:paraId="32B08849" w14:textId="77777777" w:rsidR="003413D3" w:rsidRPr="00104C1F" w:rsidRDefault="003413D3" w:rsidP="00955671">
      <w:pPr>
        <w:pStyle w:val="rove3"/>
        <w:numPr>
          <w:ilvl w:val="3"/>
          <w:numId w:val="2"/>
        </w:numPr>
      </w:pPr>
      <w:r w:rsidRPr="00104C1F">
        <w:t>přípravě veškerých dokumentů navazujících na zadávací řízení</w:t>
      </w:r>
      <w:r w:rsidR="002B467C" w:rsidRPr="00104C1F">
        <w:t xml:space="preserve">, jejichž vznik v průběhu zadávacího řízení </w:t>
      </w:r>
      <w:r w:rsidR="007260BA">
        <w:t>ZZVZ</w:t>
      </w:r>
      <w:r w:rsidR="002B467C" w:rsidRPr="00104C1F">
        <w:t xml:space="preserve"> předpokládá</w:t>
      </w:r>
      <w:r w:rsidRPr="00104C1F">
        <w:t>;</w:t>
      </w:r>
    </w:p>
    <w:p w14:paraId="39693761" w14:textId="77777777" w:rsidR="003413D3" w:rsidRPr="00104C1F" w:rsidRDefault="003413D3" w:rsidP="00955671">
      <w:pPr>
        <w:pStyle w:val="rove3"/>
        <w:numPr>
          <w:ilvl w:val="3"/>
          <w:numId w:val="2"/>
        </w:numPr>
      </w:pPr>
      <w:r w:rsidRPr="00104C1F">
        <w:t>přípravě veškerých dokumentů zajišťujících plnění případných informačních povinností zadavatele ve vztahu k Věstníku veřejných zakázek</w:t>
      </w:r>
      <w:r w:rsidR="002B467C" w:rsidRPr="00104C1F">
        <w:t xml:space="preserve"> a k profilu zadavatele</w:t>
      </w:r>
      <w:r w:rsidRPr="00104C1F">
        <w:t>;</w:t>
      </w:r>
    </w:p>
    <w:p w14:paraId="147E5C6F" w14:textId="77777777" w:rsidR="003413D3" w:rsidRPr="00104C1F" w:rsidRDefault="003413D3" w:rsidP="00955671">
      <w:pPr>
        <w:pStyle w:val="rove3"/>
        <w:numPr>
          <w:ilvl w:val="3"/>
          <w:numId w:val="2"/>
        </w:numPr>
      </w:pPr>
      <w:r w:rsidRPr="00104C1F">
        <w:lastRenderedPageBreak/>
        <w:t xml:space="preserve">přímé </w:t>
      </w:r>
      <w:r w:rsidRPr="00142D2E">
        <w:t>právní</w:t>
      </w:r>
      <w:r w:rsidRPr="00104C1F">
        <w:t xml:space="preserve"> podpoře zadavatele při jednání hodnot</w:t>
      </w:r>
      <w:r w:rsidR="002B467C" w:rsidRPr="00104C1F">
        <w:t>i</w:t>
      </w:r>
      <w:r w:rsidRPr="00104C1F">
        <w:t>cí komise</w:t>
      </w:r>
      <w:r w:rsidR="002B467C" w:rsidRPr="00104C1F">
        <w:t xml:space="preserve"> nebo jiné komise jmenované v rámci zadávacího řízení</w:t>
      </w:r>
      <w:r w:rsidRPr="00104C1F">
        <w:t>;</w:t>
      </w:r>
    </w:p>
    <w:p w14:paraId="4EACB9C8" w14:textId="77777777" w:rsidR="003413D3" w:rsidRDefault="003413D3" w:rsidP="00955671">
      <w:pPr>
        <w:pStyle w:val="rove3"/>
        <w:numPr>
          <w:ilvl w:val="3"/>
          <w:numId w:val="2"/>
        </w:numPr>
      </w:pPr>
      <w:r w:rsidRPr="00104C1F">
        <w:t xml:space="preserve">přípravě a administraci vypořádání námitek </w:t>
      </w:r>
      <w:r w:rsidR="007260BA">
        <w:t>dodavatelů</w:t>
      </w:r>
      <w:r w:rsidR="00944378">
        <w:t xml:space="preserve"> (</w:t>
      </w:r>
      <w:r w:rsidRPr="00104C1F">
        <w:t xml:space="preserve">včetně případného zastupování před </w:t>
      </w:r>
      <w:r w:rsidR="00BD36D8" w:rsidRPr="00104C1F">
        <w:t>Úřadem pro ochranu hospodářské soutěže</w:t>
      </w:r>
      <w:r w:rsidRPr="00104C1F">
        <w:t>);</w:t>
      </w:r>
    </w:p>
    <w:p w14:paraId="536014FB" w14:textId="77777777" w:rsidR="007260BA" w:rsidRPr="00104C1F" w:rsidRDefault="007260BA" w:rsidP="00955671">
      <w:pPr>
        <w:pStyle w:val="rove3"/>
        <w:numPr>
          <w:ilvl w:val="3"/>
          <w:numId w:val="2"/>
        </w:numPr>
      </w:pPr>
      <w:r>
        <w:t>kompletaci a předání dokumentace o průběhu zadávacího řízení;</w:t>
      </w:r>
    </w:p>
    <w:p w14:paraId="2811CD88" w14:textId="77777777" w:rsidR="003413D3" w:rsidRDefault="003413D3" w:rsidP="00955671">
      <w:pPr>
        <w:pStyle w:val="rove3"/>
        <w:numPr>
          <w:ilvl w:val="3"/>
          <w:numId w:val="2"/>
        </w:numPr>
      </w:pPr>
      <w:r w:rsidRPr="00104C1F">
        <w:t>plnění dalších povinností, které při administraci veřejných zakázek mohou vzniknout.</w:t>
      </w:r>
    </w:p>
    <w:p w14:paraId="4E06A6E8" w14:textId="77777777" w:rsidR="006D2AAF" w:rsidRPr="00776BFE" w:rsidRDefault="003413D3" w:rsidP="00955671">
      <w:pPr>
        <w:pStyle w:val="rove2"/>
        <w:numPr>
          <w:ilvl w:val="1"/>
          <w:numId w:val="2"/>
        </w:numPr>
      </w:pPr>
      <w:r w:rsidRPr="00104C1F">
        <w:t>Organizace zadávacího řízení nespočívá ve stanovení technických podmínek zadávacího řízení</w:t>
      </w:r>
      <w:r w:rsidR="00AC6B43" w:rsidRPr="00104C1F">
        <w:t xml:space="preserve"> ani technické specifikace</w:t>
      </w:r>
      <w:r w:rsidR="002B467C" w:rsidRPr="00104C1F">
        <w:t xml:space="preserve"> ani v posouzení splnění technických podmínek či technické specifikace nabídek podaných v zadávacím řízení</w:t>
      </w:r>
      <w:r w:rsidRPr="00104C1F">
        <w:t>.</w:t>
      </w:r>
      <w:r w:rsidR="00776BFE">
        <w:t xml:space="preserve"> </w:t>
      </w:r>
    </w:p>
    <w:p w14:paraId="703DFD93" w14:textId="77777777" w:rsidR="00D84876" w:rsidRDefault="007260BA" w:rsidP="00955671">
      <w:pPr>
        <w:pStyle w:val="rove1"/>
        <w:numPr>
          <w:ilvl w:val="1"/>
          <w:numId w:val="1"/>
        </w:numPr>
      </w:pPr>
      <w:r>
        <w:t>Technická specifikace – specifikace předmětu zadávacího řízení. Jedná se o technické požadavky, které musí předmět zadávacího řízení splňovat, tedy soubor technických požadavků, které stanovují zejména vlastnosti, provedení nebo uspořádání předmětů (surovin, materiálů, výrobků, zařízení) nebo způsoby práce (pracovní postupy, zkušební metody nebo jiné činnosti), popřípadě i opatření potřebná ke zjištění, zda jsou stanovené požadavky plněny. V případě stavebních prací se jedná o projektovou dokumentaci zpracovanou v souladu s vyhláškou 169/2016 Sb., o stanovení rozsahu dokumentace veřejné zakázky na stavební práce a soupisu stavebních prací, dodávek a služeb s výkazem výměr, ve znění pozdějších předpisů.</w:t>
      </w:r>
    </w:p>
    <w:p w14:paraId="1535F4CE" w14:textId="77777777" w:rsidR="003413D3" w:rsidRPr="00104C1F" w:rsidRDefault="003413D3" w:rsidP="002D72F6">
      <w:pPr>
        <w:pStyle w:val="Nzev"/>
        <w:numPr>
          <w:ilvl w:val="0"/>
          <w:numId w:val="1"/>
        </w:numPr>
        <w:spacing w:before="240" w:after="240"/>
        <w:ind w:left="357" w:hanging="357"/>
      </w:pPr>
      <w:r w:rsidRPr="00104C1F">
        <w:t>Předmět smlouvy</w:t>
      </w:r>
    </w:p>
    <w:p w14:paraId="51FD34D0" w14:textId="21A665A7" w:rsidR="00767519" w:rsidRPr="00776BFE" w:rsidRDefault="00767519" w:rsidP="00955671">
      <w:pPr>
        <w:pStyle w:val="rove2"/>
        <w:numPr>
          <w:ilvl w:val="1"/>
          <w:numId w:val="1"/>
        </w:numPr>
      </w:pPr>
      <w:r w:rsidRPr="00104C1F">
        <w:t>Příkazce je zadavatelem</w:t>
      </w:r>
      <w:r>
        <w:t xml:space="preserve"> </w:t>
      </w:r>
      <w:r w:rsidR="00142D2E">
        <w:t>nad</w:t>
      </w:r>
      <w:r>
        <w:t>limitní</w:t>
      </w:r>
      <w:r w:rsidRPr="00104C1F">
        <w:t xml:space="preserve"> </w:t>
      </w:r>
      <w:r w:rsidRPr="005A654F">
        <w:t>veřejn</w:t>
      </w:r>
      <w:r>
        <w:t>é</w:t>
      </w:r>
      <w:r w:rsidRPr="005A654F">
        <w:t xml:space="preserve"> zakázk</w:t>
      </w:r>
      <w:r>
        <w:t>y zadávané v </w:t>
      </w:r>
      <w:r w:rsidR="00142D2E">
        <w:t>jednacím</w:t>
      </w:r>
      <w:r>
        <w:t xml:space="preserve"> řízení</w:t>
      </w:r>
      <w:r w:rsidR="00142D2E">
        <w:t xml:space="preserve"> bez uveřejnění</w:t>
      </w:r>
      <w:r>
        <w:t xml:space="preserve">, jejímž předmětem </w:t>
      </w:r>
      <w:r w:rsidRPr="00776BFE">
        <w:t xml:space="preserve">je </w:t>
      </w:r>
      <w:r w:rsidR="00142D2E">
        <w:t>vypracování projektové dokumentace ve všech fázích včetně inženýringu a autorského dozoru pro projekt „</w:t>
      </w:r>
      <w:r w:rsidR="00142D2E" w:rsidRPr="00142D2E">
        <w:t>Obnova náměstí Jiřího z</w:t>
      </w:r>
      <w:r w:rsidR="00142D2E">
        <w:t> </w:t>
      </w:r>
      <w:r w:rsidR="00142D2E" w:rsidRPr="00142D2E">
        <w:t>Lobkovic</w:t>
      </w:r>
      <w:r w:rsidR="00142D2E">
        <w:t>“ navazující na soutěž o návrh se stejným názvem</w:t>
      </w:r>
      <w:r w:rsidRPr="00C23DA8">
        <w:t>.</w:t>
      </w:r>
    </w:p>
    <w:p w14:paraId="79DFEF51" w14:textId="77777777" w:rsidR="00767519" w:rsidRPr="005A654F" w:rsidRDefault="00767519" w:rsidP="00955671">
      <w:pPr>
        <w:pStyle w:val="rove1"/>
        <w:numPr>
          <w:ilvl w:val="1"/>
          <w:numId w:val="1"/>
        </w:numPr>
      </w:pPr>
      <w:r w:rsidRPr="005A654F">
        <w:t xml:space="preserve">Příkazník je obchodní společnost poskytující služby </w:t>
      </w:r>
      <w:r w:rsidR="00037B72">
        <w:t xml:space="preserve">spočívající </w:t>
      </w:r>
      <w:r w:rsidRPr="005A654F">
        <w:t>v zajištění organizace zadávacího řízení.</w:t>
      </w:r>
    </w:p>
    <w:p w14:paraId="1EECFBE0" w14:textId="77777777" w:rsidR="003413D3" w:rsidRPr="00104C1F" w:rsidRDefault="003413D3" w:rsidP="00955671">
      <w:pPr>
        <w:pStyle w:val="rove1"/>
        <w:numPr>
          <w:ilvl w:val="1"/>
          <w:numId w:val="1"/>
        </w:numPr>
      </w:pPr>
      <w:r w:rsidRPr="005A654F">
        <w:t>Smluvní strany se dohodly, že příkazník bude pro příkazce poskytovat s</w:t>
      </w:r>
      <w:r w:rsidRPr="00104C1F">
        <w:t>lužby spočívající v zajištění organizace zadávacího řízení výše popsaného jménem příkazce.</w:t>
      </w:r>
    </w:p>
    <w:p w14:paraId="04878730" w14:textId="77777777" w:rsidR="003413D3" w:rsidRPr="00104C1F" w:rsidRDefault="003413D3" w:rsidP="00955671">
      <w:pPr>
        <w:pStyle w:val="rove1"/>
        <w:numPr>
          <w:ilvl w:val="1"/>
          <w:numId w:val="1"/>
        </w:numPr>
      </w:pPr>
      <w:r w:rsidRPr="00104C1F">
        <w:t>Předmětem této smlouvy není stanovení technické specifikace.</w:t>
      </w:r>
    </w:p>
    <w:p w14:paraId="5E59E280" w14:textId="77777777" w:rsidR="007260BA" w:rsidRDefault="003413D3" w:rsidP="00955671">
      <w:pPr>
        <w:pStyle w:val="rove1"/>
        <w:numPr>
          <w:ilvl w:val="1"/>
          <w:numId w:val="1"/>
        </w:numPr>
      </w:pPr>
      <w:r w:rsidRPr="00104C1F">
        <w:t xml:space="preserve">Předmětem smlouvy nejsou </w:t>
      </w:r>
      <w:r w:rsidR="0075544E">
        <w:t>jednání</w:t>
      </w:r>
      <w:r w:rsidRPr="00104C1F">
        <w:t xml:space="preserve"> stanoven</w:t>
      </w:r>
      <w:r w:rsidR="0075544E">
        <w:t>á</w:t>
      </w:r>
      <w:r w:rsidRPr="00104C1F">
        <w:t xml:space="preserve"> v § </w:t>
      </w:r>
      <w:r w:rsidR="00443457" w:rsidRPr="00104C1F">
        <w:t xml:space="preserve">43 </w:t>
      </w:r>
      <w:r w:rsidRPr="00104C1F">
        <w:t xml:space="preserve">odst. 2 </w:t>
      </w:r>
      <w:r w:rsidR="007260BA">
        <w:t>ZZVZ, tj. výběr dodavatele, vyloučení účastníka zadávacího řízení, zrušení zadávacího řízení, nebo rozhodnutí o námitkách. Příkazník je však povinen připravit příkazci podklady pro tato jednání.</w:t>
      </w:r>
    </w:p>
    <w:p w14:paraId="39532CD4" w14:textId="77777777" w:rsidR="003413D3" w:rsidRPr="00104C1F" w:rsidRDefault="003413D3" w:rsidP="00955671">
      <w:pPr>
        <w:pStyle w:val="rove1"/>
        <w:numPr>
          <w:ilvl w:val="1"/>
          <w:numId w:val="1"/>
        </w:numPr>
      </w:pPr>
      <w:r w:rsidRPr="00104C1F">
        <w:t>Předmětem této smlouvy není uveřejňování</w:t>
      </w:r>
      <w:r w:rsidR="00944378">
        <w:t xml:space="preserve"> dokumentů</w:t>
      </w:r>
      <w:r w:rsidR="00F37CD3">
        <w:t xml:space="preserve"> a informací</w:t>
      </w:r>
      <w:r w:rsidR="00944378">
        <w:t xml:space="preserve"> v souladu se </w:t>
      </w:r>
      <w:r w:rsidR="007260BA">
        <w:t>ZZVZ</w:t>
      </w:r>
      <w:r w:rsidRPr="00104C1F">
        <w:t xml:space="preserve"> po předání kompletní dokumentace k veřej</w:t>
      </w:r>
      <w:r w:rsidR="00944378">
        <w:t>né zakázce k archivaci příkazci, pokud se smluvní strany nedohodnou jinak.</w:t>
      </w:r>
    </w:p>
    <w:p w14:paraId="46EBA32C" w14:textId="77777777" w:rsidR="003413D3" w:rsidRPr="00104C1F" w:rsidRDefault="003413D3" w:rsidP="00955671">
      <w:pPr>
        <w:pStyle w:val="rove1"/>
        <w:numPr>
          <w:ilvl w:val="1"/>
          <w:numId w:val="1"/>
        </w:numPr>
      </w:pPr>
      <w:r w:rsidRPr="00104C1F">
        <w:t>Příkazník je povinen na základě pokynu příkazce splnit předmět této smlouvy.</w:t>
      </w:r>
    </w:p>
    <w:p w14:paraId="58DFA6E0" w14:textId="77777777" w:rsidR="003413D3" w:rsidRDefault="003413D3" w:rsidP="00955671">
      <w:pPr>
        <w:pStyle w:val="rove1"/>
        <w:numPr>
          <w:ilvl w:val="1"/>
          <w:numId w:val="1"/>
        </w:numPr>
      </w:pPr>
      <w:r w:rsidRPr="00104C1F">
        <w:t>Příkazce je povinen na základě plnění předmětu této smlouvy uhradit příkazníkovi sjednanou odměnu.</w:t>
      </w:r>
    </w:p>
    <w:p w14:paraId="1711BBB1" w14:textId="77777777" w:rsidR="003413D3" w:rsidRPr="00104C1F" w:rsidRDefault="003413D3" w:rsidP="002D72F6">
      <w:pPr>
        <w:pStyle w:val="Nzev"/>
        <w:numPr>
          <w:ilvl w:val="0"/>
          <w:numId w:val="1"/>
        </w:numPr>
        <w:spacing w:before="240" w:after="240"/>
        <w:ind w:left="357" w:hanging="357"/>
      </w:pPr>
      <w:r w:rsidRPr="00104C1F">
        <w:t>Termín a místo plnění</w:t>
      </w:r>
    </w:p>
    <w:p w14:paraId="1E5A2063" w14:textId="77777777" w:rsidR="003413D3" w:rsidRPr="00104C1F" w:rsidRDefault="003413D3" w:rsidP="00955671">
      <w:pPr>
        <w:pStyle w:val="rove1"/>
        <w:numPr>
          <w:ilvl w:val="1"/>
          <w:numId w:val="1"/>
        </w:numPr>
      </w:pPr>
      <w:r w:rsidRPr="00104C1F">
        <w:t xml:space="preserve">Smlouva se uzavírá na dobu určitou, a to od </w:t>
      </w:r>
      <w:r w:rsidR="00F37CD3">
        <w:t>účinnosti</w:t>
      </w:r>
      <w:r w:rsidRPr="00104C1F">
        <w:t xml:space="preserve"> této smlouvy do předání finální dokumentace zadávacího řízení k archivaci.</w:t>
      </w:r>
    </w:p>
    <w:p w14:paraId="02993A74" w14:textId="77777777" w:rsidR="003413D3" w:rsidRPr="00104C1F" w:rsidRDefault="003413D3" w:rsidP="00955671">
      <w:pPr>
        <w:pStyle w:val="rove1"/>
        <w:numPr>
          <w:ilvl w:val="1"/>
          <w:numId w:val="1"/>
        </w:numPr>
      </w:pPr>
      <w:r w:rsidRPr="00104C1F">
        <w:t xml:space="preserve">Místem plnění se sjednávají prostory příkazce případně prostory příkazníka, a to vždy s ohledem na povahu konkrétního </w:t>
      </w:r>
      <w:r w:rsidR="007260BA">
        <w:t>právního jednání</w:t>
      </w:r>
      <w:r w:rsidRPr="00104C1F">
        <w:t>.</w:t>
      </w:r>
    </w:p>
    <w:p w14:paraId="4B64285E" w14:textId="77777777" w:rsidR="003413D3" w:rsidRPr="00104C1F" w:rsidRDefault="003413D3" w:rsidP="002D72F6">
      <w:pPr>
        <w:pStyle w:val="Nzev"/>
        <w:numPr>
          <w:ilvl w:val="0"/>
          <w:numId w:val="1"/>
        </w:numPr>
        <w:spacing w:before="240" w:after="240"/>
        <w:ind w:left="357" w:hanging="357"/>
      </w:pPr>
      <w:r w:rsidRPr="00104C1F">
        <w:t>Odměna a platební podmínky</w:t>
      </w:r>
    </w:p>
    <w:p w14:paraId="5C6D68C7" w14:textId="41972EF3" w:rsidR="003413D3" w:rsidRDefault="003413D3" w:rsidP="00955671">
      <w:pPr>
        <w:pStyle w:val="rove1"/>
        <w:numPr>
          <w:ilvl w:val="1"/>
          <w:numId w:val="1"/>
        </w:numPr>
      </w:pPr>
      <w:r w:rsidRPr="00104C1F">
        <w:t xml:space="preserve">Výše smluvní odměny za organizaci </w:t>
      </w:r>
      <w:r w:rsidR="0034752D" w:rsidRPr="00104C1F">
        <w:t>zadávacího řízení</w:t>
      </w:r>
      <w:r w:rsidRPr="00104C1F">
        <w:t xml:space="preserve"> se sjednává</w:t>
      </w:r>
      <w:r w:rsidR="00944378">
        <w:t xml:space="preserve"> </w:t>
      </w:r>
      <w:r w:rsidR="007260BA">
        <w:t xml:space="preserve">ve výši </w:t>
      </w:r>
      <w:r w:rsidR="00142D2E">
        <w:t>59 000</w:t>
      </w:r>
      <w:r w:rsidR="007260BA">
        <w:t xml:space="preserve"> </w:t>
      </w:r>
      <w:r w:rsidR="004F0446">
        <w:t>Kč</w:t>
      </w:r>
      <w:r w:rsidR="00951021">
        <w:t xml:space="preserve"> bez DPH</w:t>
      </w:r>
      <w:r w:rsidR="004F0446">
        <w:t xml:space="preserve"> (slovy </w:t>
      </w:r>
      <w:r w:rsidR="00142D2E">
        <w:t xml:space="preserve">padesát devět tisíc </w:t>
      </w:r>
      <w:r w:rsidR="000118E6">
        <w:t>korun českých</w:t>
      </w:r>
      <w:r w:rsidR="00951021">
        <w:t xml:space="preserve"> bez DPH</w:t>
      </w:r>
      <w:r w:rsidR="000118E6">
        <w:t>)</w:t>
      </w:r>
      <w:r w:rsidR="00776BFE">
        <w:t xml:space="preserve">. </w:t>
      </w:r>
    </w:p>
    <w:p w14:paraId="6C5987D6" w14:textId="77777777" w:rsidR="00951021" w:rsidRPr="00104C1F" w:rsidRDefault="00951021" w:rsidP="00955671">
      <w:pPr>
        <w:pStyle w:val="rove1"/>
        <w:numPr>
          <w:ilvl w:val="1"/>
          <w:numId w:val="1"/>
        </w:numPr>
      </w:pPr>
      <w:r>
        <w:t>Příkazn</w:t>
      </w:r>
      <w:r>
        <w:rPr>
          <w:rStyle w:val="rove1Char"/>
        </w:rPr>
        <w:t>í</w:t>
      </w:r>
      <w:r>
        <w:t>k je plátce DPH. DPH bude vyúčtována dle aktuální sazby DPH.</w:t>
      </w:r>
    </w:p>
    <w:p w14:paraId="41BD0C03" w14:textId="77777777" w:rsidR="003413D3" w:rsidRPr="00104C1F" w:rsidRDefault="003413D3" w:rsidP="00955671">
      <w:pPr>
        <w:pStyle w:val="rove1"/>
        <w:numPr>
          <w:ilvl w:val="1"/>
          <w:numId w:val="1"/>
        </w:numPr>
      </w:pPr>
      <w:r w:rsidRPr="00104C1F">
        <w:lastRenderedPageBreak/>
        <w:t>Příkazník je oprávněn provést fakturaci příkazci následujícím způsobem:</w:t>
      </w:r>
    </w:p>
    <w:p w14:paraId="0C829EE4" w14:textId="77777777" w:rsidR="003413D3" w:rsidRPr="00104C1F" w:rsidRDefault="003413D3" w:rsidP="00955671">
      <w:pPr>
        <w:pStyle w:val="rove3"/>
        <w:numPr>
          <w:ilvl w:val="3"/>
          <w:numId w:val="2"/>
        </w:numPr>
      </w:pPr>
      <w:r w:rsidRPr="00104C1F">
        <w:t xml:space="preserve">30 % z celkové výše smluvní odměny </w:t>
      </w:r>
      <w:r w:rsidR="002E535D">
        <w:t>ke dni</w:t>
      </w:r>
      <w:r w:rsidRPr="00104C1F">
        <w:t xml:space="preserve"> zahájení zadávacího řízení;</w:t>
      </w:r>
    </w:p>
    <w:p w14:paraId="0A165577" w14:textId="77777777" w:rsidR="003413D3" w:rsidRPr="00753626" w:rsidRDefault="003F3002" w:rsidP="00955671">
      <w:pPr>
        <w:pStyle w:val="rove3"/>
        <w:numPr>
          <w:ilvl w:val="3"/>
          <w:numId w:val="2"/>
        </w:numPr>
      </w:pPr>
      <w:r>
        <w:t>7</w:t>
      </w:r>
      <w:r w:rsidR="003413D3" w:rsidRPr="00753626">
        <w:t xml:space="preserve">0 % z celkové výše smluvní odměny </w:t>
      </w:r>
      <w:r w:rsidR="002E535D" w:rsidRPr="00753626">
        <w:t>ke dni</w:t>
      </w:r>
      <w:r w:rsidR="003413D3" w:rsidRPr="00753626">
        <w:t xml:space="preserve"> předání kompletní dokumentace k zadávacímu řízení</w:t>
      </w:r>
      <w:r w:rsidR="002B60B3" w:rsidRPr="00753626">
        <w:t xml:space="preserve"> </w:t>
      </w:r>
      <w:r w:rsidR="00382CDC" w:rsidRPr="00753626">
        <w:t xml:space="preserve">k archivaci </w:t>
      </w:r>
      <w:r w:rsidR="002B60B3" w:rsidRPr="00753626">
        <w:t>příkazci</w:t>
      </w:r>
      <w:r w:rsidR="003413D3" w:rsidRPr="00753626">
        <w:t>.</w:t>
      </w:r>
    </w:p>
    <w:p w14:paraId="15D97865" w14:textId="77777777" w:rsidR="000118E6" w:rsidRDefault="003413D3" w:rsidP="00955671">
      <w:pPr>
        <w:pStyle w:val="rove1"/>
        <w:numPr>
          <w:ilvl w:val="1"/>
          <w:numId w:val="1"/>
        </w:numPr>
      </w:pPr>
      <w:r w:rsidRPr="00104C1F">
        <w:t>V případě zrušení</w:t>
      </w:r>
      <w:r w:rsidR="005A654F">
        <w:t xml:space="preserve"> </w:t>
      </w:r>
      <w:r w:rsidRPr="00104C1F">
        <w:t>zadávacího řízení</w:t>
      </w:r>
      <w:r w:rsidR="000118E6">
        <w:t xml:space="preserve"> náleží za administraci zrušeného zadávacího řízení místo celé odměny dle čl. 5.1 odměna následující:</w:t>
      </w:r>
    </w:p>
    <w:p w14:paraId="52EC7D14" w14:textId="77777777" w:rsidR="00B36C25" w:rsidRDefault="00B36C25" w:rsidP="00B36C25">
      <w:pPr>
        <w:pStyle w:val="rove1"/>
        <w:numPr>
          <w:ilvl w:val="2"/>
          <w:numId w:val="6"/>
        </w:numPr>
        <w:ind w:left="851" w:hanging="283"/>
      </w:pPr>
      <w:r>
        <w:t>40 % z odměny dle čl. 5.1 v případě zrušení zadávacího řízení před koncem lhůty pro podání nabídek;</w:t>
      </w:r>
    </w:p>
    <w:p w14:paraId="55873F8E" w14:textId="77777777" w:rsidR="00B36C25" w:rsidRDefault="00B36C25" w:rsidP="00B36C25">
      <w:pPr>
        <w:pStyle w:val="rove1"/>
        <w:numPr>
          <w:ilvl w:val="2"/>
          <w:numId w:val="6"/>
        </w:numPr>
        <w:ind w:left="851" w:hanging="283"/>
      </w:pPr>
      <w:r>
        <w:t>70 % z odměny dle čl. 5.1 v případě zrušení zadávacího řízení po konci lhůty pro</w:t>
      </w:r>
      <w:r w:rsidR="00037B72">
        <w:t xml:space="preserve"> podání</w:t>
      </w:r>
      <w:r>
        <w:t xml:space="preserve"> nabídek před rozhodnutím o výběru dodavatele;</w:t>
      </w:r>
    </w:p>
    <w:p w14:paraId="409E1BE1" w14:textId="77777777" w:rsidR="00B36C25" w:rsidRDefault="00B36C25" w:rsidP="00B36C25">
      <w:pPr>
        <w:pStyle w:val="rove1"/>
        <w:numPr>
          <w:ilvl w:val="2"/>
          <w:numId w:val="6"/>
        </w:numPr>
        <w:ind w:left="851" w:hanging="283"/>
      </w:pPr>
      <w:r>
        <w:t>80 % z odměny dle čl. 5.1 v případě zrušení zadávacího řízení po rozhodnutí o výběru dodavatele.</w:t>
      </w:r>
    </w:p>
    <w:p w14:paraId="0CA052CB" w14:textId="77777777" w:rsidR="000118E6" w:rsidRDefault="00ED09FA" w:rsidP="00955671">
      <w:pPr>
        <w:pStyle w:val="rove1"/>
        <w:ind w:left="568" w:firstLine="0"/>
      </w:pPr>
      <w:r>
        <w:t>Rozdíl mezi odměnou dle čl. 5.3 písm. a) a odměnou</w:t>
      </w:r>
      <w:r w:rsidR="000118E6">
        <w:t xml:space="preserve"> dle tohoto odstavce příkazník vyfakturuje po </w:t>
      </w:r>
      <w:r w:rsidR="003F3002" w:rsidRPr="00753626">
        <w:t>předání kompletní dokumentace k zadávacímu řízení k archivaci příkazci</w:t>
      </w:r>
      <w:r w:rsidR="000118E6">
        <w:t>.</w:t>
      </w:r>
    </w:p>
    <w:p w14:paraId="56DD8932" w14:textId="77777777" w:rsidR="003413D3" w:rsidRPr="00104C1F" w:rsidRDefault="00ED09FA" w:rsidP="00955671">
      <w:pPr>
        <w:pStyle w:val="rove1"/>
        <w:numPr>
          <w:ilvl w:val="1"/>
          <w:numId w:val="1"/>
        </w:numPr>
      </w:pPr>
      <w:r>
        <w:t>P</w:t>
      </w:r>
      <w:r w:rsidR="005A654F">
        <w:t xml:space="preserve">okud dá příkazce </w:t>
      </w:r>
      <w:r>
        <w:t xml:space="preserve">po zrušení zadávacího řízení </w:t>
      </w:r>
      <w:r w:rsidR="005A654F">
        <w:t>příkazníkovi pokyn k zahájení opakovaného zadávacího řízení se stejným předmětem, náleží příkazníkovi za opakované řízení</w:t>
      </w:r>
      <w:r w:rsidR="003413D3" w:rsidRPr="00104C1F">
        <w:t xml:space="preserve"> </w:t>
      </w:r>
      <w:r>
        <w:t xml:space="preserve">další smluvní odměna </w:t>
      </w:r>
      <w:r w:rsidR="007260BA">
        <w:t xml:space="preserve">ve výši </w:t>
      </w:r>
      <w:r>
        <w:t>dle předchozích odstavců.</w:t>
      </w:r>
    </w:p>
    <w:p w14:paraId="6F06C780" w14:textId="27CE7DA1" w:rsidR="003413D3" w:rsidRPr="00104C1F" w:rsidRDefault="003413D3" w:rsidP="00955671">
      <w:pPr>
        <w:pStyle w:val="rove1"/>
        <w:numPr>
          <w:ilvl w:val="1"/>
          <w:numId w:val="1"/>
        </w:numPr>
      </w:pPr>
      <w:r w:rsidRPr="00104C1F">
        <w:t xml:space="preserve">Splatnost faktur se sjednává na </w:t>
      </w:r>
      <w:r w:rsidR="0034752D" w:rsidRPr="00104C1F">
        <w:t>15</w:t>
      </w:r>
      <w:r w:rsidRPr="00104C1F">
        <w:t xml:space="preserve"> kalendářních dní</w:t>
      </w:r>
      <w:r w:rsidR="00CD5384">
        <w:t xml:space="preserve"> ode dne doručení faktury příkazci</w:t>
      </w:r>
      <w:r w:rsidRPr="00104C1F">
        <w:t>.</w:t>
      </w:r>
      <w:r w:rsidR="007260BA">
        <w:t xml:space="preserve"> Faktura se doručuje</w:t>
      </w:r>
      <w:r w:rsidR="000E6E28">
        <w:t xml:space="preserve"> na e-mailovou adresu příkazce</w:t>
      </w:r>
      <w:r w:rsidR="00D50840">
        <w:t>:</w:t>
      </w:r>
      <w:r w:rsidR="000E6E28">
        <w:t xml:space="preserve"> caldrova.jana@praha3.cz.</w:t>
      </w:r>
    </w:p>
    <w:p w14:paraId="72206120" w14:textId="77777777" w:rsidR="003413D3" w:rsidRPr="00104C1F" w:rsidRDefault="003413D3" w:rsidP="00955671">
      <w:pPr>
        <w:pStyle w:val="rove1"/>
        <w:numPr>
          <w:ilvl w:val="1"/>
          <w:numId w:val="1"/>
        </w:numPr>
      </w:pPr>
      <w:r w:rsidRPr="00104C1F">
        <w:t>Vystavená faktura bude obsahovat náležitosti účetního dokladu v souladu s příslušnými právními předpisy. V opačném případě je oprávněn příkazce takto vystavenou fakturu vrátit. V případě vrácení faktury počíná běžet nová splatnost faktury po jejím opětovném vystavení.</w:t>
      </w:r>
    </w:p>
    <w:p w14:paraId="5F3AEA8E" w14:textId="77777777" w:rsidR="003413D3" w:rsidRPr="00104C1F" w:rsidRDefault="003413D3" w:rsidP="00955671">
      <w:pPr>
        <w:pStyle w:val="rove1"/>
        <w:numPr>
          <w:ilvl w:val="1"/>
          <w:numId w:val="1"/>
        </w:numPr>
      </w:pPr>
      <w:r w:rsidRPr="00104C1F">
        <w:t xml:space="preserve">Smluvní odměna bude uhrazena dle platebních údajů uvedených na faktuře. </w:t>
      </w:r>
    </w:p>
    <w:p w14:paraId="72453302" w14:textId="6CF5CAE7" w:rsidR="003413D3" w:rsidRDefault="003413D3" w:rsidP="00955671">
      <w:pPr>
        <w:pStyle w:val="rove1"/>
        <w:numPr>
          <w:ilvl w:val="1"/>
          <w:numId w:val="1"/>
        </w:numPr>
      </w:pPr>
      <w:r w:rsidRPr="00104C1F">
        <w:t>Za skutečné datum provedení úhrady smluvní odměny se považuje den připsání dané částky na účet příkazníka.</w:t>
      </w:r>
    </w:p>
    <w:p w14:paraId="2C75FAE0" w14:textId="584CDE92" w:rsidR="00F84DCB" w:rsidRPr="00104C1F" w:rsidRDefault="00F84DCB" w:rsidP="00955671">
      <w:pPr>
        <w:pStyle w:val="rove1"/>
        <w:numPr>
          <w:ilvl w:val="1"/>
          <w:numId w:val="1"/>
        </w:numPr>
      </w:pPr>
      <w:r w:rsidRPr="00F84DCB">
        <w:t>Jakákoli platba uskutečněná na základě této smlouvy, včetně popisu stran transakce, částky, data uskutečnění apod. může proběhnout z transparentního účtu objednatele, tedy může být zveřejněna prostřednictvím internetu</w:t>
      </w:r>
    </w:p>
    <w:p w14:paraId="63C2C35E" w14:textId="77777777" w:rsidR="003413D3" w:rsidRPr="00104C1F" w:rsidRDefault="003413D3" w:rsidP="002D72F6">
      <w:pPr>
        <w:pStyle w:val="Nzev"/>
        <w:numPr>
          <w:ilvl w:val="0"/>
          <w:numId w:val="1"/>
        </w:numPr>
        <w:spacing w:before="240" w:after="240"/>
        <w:ind w:left="357" w:hanging="357"/>
      </w:pPr>
      <w:r w:rsidRPr="00104C1F">
        <w:t>Práva a povinnosti příkazce</w:t>
      </w:r>
    </w:p>
    <w:p w14:paraId="41CDDFDD" w14:textId="77777777" w:rsidR="003413D3" w:rsidRPr="00104C1F" w:rsidRDefault="003413D3" w:rsidP="00955671">
      <w:pPr>
        <w:pStyle w:val="rove1"/>
        <w:numPr>
          <w:ilvl w:val="1"/>
          <w:numId w:val="1"/>
        </w:numPr>
      </w:pPr>
      <w:r w:rsidRPr="00104C1F">
        <w:t xml:space="preserve">Příkazce je povinen informovat příkazníka o všech okolnostech důležitých pro řádné a včasné provedení předmětu plnění a poskytovat vzájemnou součinnost. </w:t>
      </w:r>
    </w:p>
    <w:p w14:paraId="1211FEA6" w14:textId="77777777" w:rsidR="003413D3" w:rsidRPr="00104C1F" w:rsidRDefault="003413D3" w:rsidP="00955671">
      <w:pPr>
        <w:pStyle w:val="rove1"/>
        <w:numPr>
          <w:ilvl w:val="1"/>
          <w:numId w:val="1"/>
        </w:numPr>
      </w:pPr>
      <w:r w:rsidRPr="00104C1F">
        <w:t>Příkazce je povinen příkazníkovi poskytnout veškeré nezbytné informace a podklady pro plnění předmětu smlouvy nebo mu sdělit, kde je možné si tyto informace obstarat. Toto se týká zejména interních pravidel a postupů příkazce, které mají vliv na plnění předmětu této smlouvy.</w:t>
      </w:r>
    </w:p>
    <w:p w14:paraId="5762E638" w14:textId="77777777" w:rsidR="003413D3" w:rsidRPr="00104C1F" w:rsidRDefault="003413D3" w:rsidP="00955671">
      <w:pPr>
        <w:pStyle w:val="rove1"/>
        <w:numPr>
          <w:ilvl w:val="1"/>
          <w:numId w:val="1"/>
        </w:numPr>
      </w:pPr>
      <w:r w:rsidRPr="00104C1F">
        <w:t>Příkazce je oprávněn kontrolovat průběžné výstupy plnění předmětu smlouvy ze strany příkazníka.</w:t>
      </w:r>
    </w:p>
    <w:p w14:paraId="0826C9DD" w14:textId="77777777" w:rsidR="003413D3" w:rsidRPr="00104C1F" w:rsidRDefault="003413D3" w:rsidP="00955671">
      <w:pPr>
        <w:pStyle w:val="rove1"/>
        <w:numPr>
          <w:ilvl w:val="1"/>
          <w:numId w:val="1"/>
        </w:numPr>
      </w:pPr>
      <w:r w:rsidRPr="00104C1F">
        <w:t>Příkazce je povinen předat příkazníkovi technickou specifikaci veřejné zakázky.</w:t>
      </w:r>
    </w:p>
    <w:p w14:paraId="531ADCC1" w14:textId="77777777" w:rsidR="003413D3" w:rsidRPr="00104C1F" w:rsidRDefault="003413D3" w:rsidP="00955671">
      <w:pPr>
        <w:pStyle w:val="rove1"/>
        <w:numPr>
          <w:ilvl w:val="1"/>
          <w:numId w:val="1"/>
        </w:numPr>
      </w:pPr>
      <w:r w:rsidRPr="00104C1F">
        <w:t xml:space="preserve">Technická specifikace, projektová dokumentace, technické podmínky a výkazy výměr nesmí </w:t>
      </w:r>
      <w:r w:rsidR="00DA128E">
        <w:t xml:space="preserve">v rozporu s </w:t>
      </w:r>
      <w:r w:rsidR="00DA128E" w:rsidRPr="00104C1F">
        <w:t xml:space="preserve">§ 89 odst. 5 </w:t>
      </w:r>
      <w:r w:rsidR="00DA128E">
        <w:t xml:space="preserve">ZZVZ </w:t>
      </w:r>
      <w:r w:rsidRPr="00104C1F">
        <w:t>obsahovat požadavky nebo odkazy na obchodní firmy, názvy nebo jména, specifická označení, které platí pro určitou osobu. Pokud z důvodů vad příkazcem předaných informací nebo podkladů bude zadání veřejné zakázky zrušeno nebo jinak kontrolním orgánem napadeno, nelze uplatnit vůči příkazníkovi žádné sankce.</w:t>
      </w:r>
    </w:p>
    <w:p w14:paraId="4893BE2A" w14:textId="77777777" w:rsidR="003413D3" w:rsidRPr="00104C1F" w:rsidRDefault="003413D3" w:rsidP="00955671">
      <w:pPr>
        <w:pStyle w:val="rove1"/>
        <w:numPr>
          <w:ilvl w:val="1"/>
          <w:numId w:val="1"/>
        </w:numPr>
      </w:pPr>
      <w:r w:rsidRPr="00104C1F">
        <w:t xml:space="preserve">Obdrží-li příkazce jakýkoliv doklad nebo dopis vztahující se k zadání veřejné zakázky, je povinen jej bezodkladně poskytnout příkazníkovi. Pokud tak neučiní, nenese příkazník odpovědnost za prodlení nebo </w:t>
      </w:r>
      <w:r w:rsidR="0075544E">
        <w:t>jednání</w:t>
      </w:r>
      <w:r w:rsidRPr="00104C1F">
        <w:t>, které jsou s tímto dokumentem spojeny.</w:t>
      </w:r>
    </w:p>
    <w:p w14:paraId="66F33A3B" w14:textId="77777777" w:rsidR="002B60B3" w:rsidRPr="00104C1F" w:rsidRDefault="002B60B3" w:rsidP="00955671">
      <w:pPr>
        <w:pStyle w:val="rove1"/>
        <w:numPr>
          <w:ilvl w:val="1"/>
          <w:numId w:val="1"/>
        </w:numPr>
      </w:pPr>
      <w:r w:rsidRPr="00104C1F">
        <w:t>Příkazce je povinen:</w:t>
      </w:r>
    </w:p>
    <w:p w14:paraId="1C0DD5A2" w14:textId="77777777" w:rsidR="002B60B3" w:rsidRPr="00104C1F" w:rsidRDefault="002B60B3" w:rsidP="00955671">
      <w:pPr>
        <w:pStyle w:val="rove1"/>
        <w:numPr>
          <w:ilvl w:val="1"/>
          <w:numId w:val="5"/>
        </w:numPr>
        <w:ind w:left="1134"/>
      </w:pPr>
      <w:r w:rsidRPr="00104C1F">
        <w:t>Nejpozději deset dnů před datem stanoveného jednání ustavit hodnot</w:t>
      </w:r>
      <w:r w:rsidR="00DA128E">
        <w:t>i</w:t>
      </w:r>
      <w:r w:rsidRPr="00104C1F">
        <w:t xml:space="preserve">cí komisi nebo jinou komisi požadovanou </w:t>
      </w:r>
      <w:r w:rsidR="007260BA">
        <w:t>ZZVZ</w:t>
      </w:r>
      <w:r w:rsidR="00C23DA8">
        <w:t>, interními předpisy příkazce,</w:t>
      </w:r>
      <w:r w:rsidRPr="00104C1F">
        <w:t xml:space="preserve"> či dotačními pravidly </w:t>
      </w:r>
      <w:r w:rsidRPr="00104C1F">
        <w:lastRenderedPageBreak/>
        <w:t>v požadovaném počtu členů a jejich náhradníků. Hodnot</w:t>
      </w:r>
      <w:r w:rsidR="00DA128E">
        <w:t>i</w:t>
      </w:r>
      <w:r w:rsidRPr="00104C1F">
        <w:t>cí komise musí být schopna posoudit splnění technických podmínek a technické specifikace v nabídkách. Příkazník ani jeho zaměstnanci nebudou jmenováni členy komise, pokud se smluvní strany nedohodnou jinak.</w:t>
      </w:r>
    </w:p>
    <w:p w14:paraId="59C9666A" w14:textId="77777777" w:rsidR="002B60B3" w:rsidRPr="00104C1F" w:rsidRDefault="002B60B3" w:rsidP="00955671">
      <w:pPr>
        <w:pStyle w:val="rove1"/>
        <w:numPr>
          <w:ilvl w:val="1"/>
          <w:numId w:val="5"/>
        </w:numPr>
        <w:ind w:left="1134"/>
      </w:pPr>
      <w:r w:rsidRPr="00104C1F">
        <w:t>Na základě pokynu příkazníka zveřejnit jím definované podklady související se zadávacím řízením na svém profilu zadavatele, a to po celou dobu trvání této smlouvy, případně příkazníkovi umožnit přístup do profilu zadavatele.</w:t>
      </w:r>
    </w:p>
    <w:p w14:paraId="1E6AE40D" w14:textId="77777777" w:rsidR="002B60B3" w:rsidRPr="00104C1F" w:rsidRDefault="002B60B3" w:rsidP="00955671">
      <w:pPr>
        <w:pStyle w:val="rove1"/>
        <w:numPr>
          <w:ilvl w:val="1"/>
          <w:numId w:val="5"/>
        </w:numPr>
        <w:ind w:left="1134"/>
      </w:pPr>
      <w:r w:rsidRPr="00104C1F">
        <w:t>Písemně informovat příkazníka o tom, že byla podepsána příslušná smlouva</w:t>
      </w:r>
      <w:r w:rsidR="00DA128E">
        <w:t xml:space="preserve"> s</w:t>
      </w:r>
      <w:r w:rsidRPr="00104C1F">
        <w:t xml:space="preserve"> vybraným dodavatelem</w:t>
      </w:r>
      <w:r w:rsidR="00DA128E">
        <w:t>,</w:t>
      </w:r>
      <w:r w:rsidRPr="00104C1F">
        <w:t xml:space="preserve"> a to nejpozději do tří pracovních dnů ode dne podpisu </w:t>
      </w:r>
      <w:r w:rsidR="0074666F">
        <w:t xml:space="preserve">příslušné </w:t>
      </w:r>
      <w:r w:rsidRPr="00104C1F">
        <w:t>smlouvy.</w:t>
      </w:r>
    </w:p>
    <w:p w14:paraId="05BB7DA6" w14:textId="77777777" w:rsidR="002B60B3" w:rsidRPr="00104C1F" w:rsidRDefault="002B60B3" w:rsidP="00955671">
      <w:pPr>
        <w:pStyle w:val="rove1"/>
        <w:numPr>
          <w:ilvl w:val="1"/>
          <w:numId w:val="1"/>
        </w:numPr>
      </w:pPr>
      <w:r w:rsidRPr="00104C1F">
        <w:t>Příkazce je povinen řídit se v rámci zadávacího řízení i dalšími písemnými pokyny ze strany příkazníka (za tyto se považují i doručené e-mailové zprávy). V opačném případě příkazník neodpovídá za škodu způsobenou nedodržením těchto pokynů.</w:t>
      </w:r>
    </w:p>
    <w:p w14:paraId="04D00241" w14:textId="77777777" w:rsidR="002B60B3" w:rsidRPr="00104C1F" w:rsidRDefault="002B60B3" w:rsidP="00955671">
      <w:pPr>
        <w:pStyle w:val="rove1"/>
        <w:numPr>
          <w:ilvl w:val="1"/>
          <w:numId w:val="1"/>
        </w:numPr>
      </w:pPr>
      <w:r w:rsidRPr="00104C1F">
        <w:t>Příkazce je povinen archivovat kompletní dokumentaci minimálně po dobu 10 let, nestanoví-li pravidla dotačního orgánu</w:t>
      </w:r>
      <w:r w:rsidR="00DA128E">
        <w:t xml:space="preserve"> či jiná aplikovatelná pravidla a </w:t>
      </w:r>
      <w:r w:rsidR="00A81058">
        <w:t>zákony</w:t>
      </w:r>
      <w:r w:rsidR="00A81058" w:rsidRPr="00104C1F">
        <w:t xml:space="preserve"> </w:t>
      </w:r>
      <w:r w:rsidR="00A81058">
        <w:t xml:space="preserve">o </w:t>
      </w:r>
      <w:r w:rsidR="00A81058" w:rsidRPr="00104C1F">
        <w:t xml:space="preserve">archivaci </w:t>
      </w:r>
      <w:r w:rsidR="00A81058">
        <w:t xml:space="preserve">dobu </w:t>
      </w:r>
      <w:r w:rsidR="00A81058" w:rsidRPr="00104C1F">
        <w:t>delší</w:t>
      </w:r>
      <w:r w:rsidRPr="00104C1F">
        <w:t>.</w:t>
      </w:r>
    </w:p>
    <w:p w14:paraId="3AF32CE3" w14:textId="77777777" w:rsidR="003413D3" w:rsidRPr="00104C1F" w:rsidRDefault="003413D3" w:rsidP="00955671">
      <w:pPr>
        <w:pStyle w:val="rove1"/>
        <w:numPr>
          <w:ilvl w:val="1"/>
          <w:numId w:val="1"/>
        </w:numPr>
      </w:pPr>
      <w:r w:rsidRPr="00104C1F">
        <w:t xml:space="preserve">Příkazce není oprávněn vést komunikaci s potenciálními </w:t>
      </w:r>
      <w:r w:rsidR="00F2181D">
        <w:t>dodavateli</w:t>
      </w:r>
      <w:r w:rsidR="00124797">
        <w:t xml:space="preserve"> </w:t>
      </w:r>
      <w:r w:rsidRPr="00104C1F">
        <w:t xml:space="preserve">v průběhu zadávacího řízení bez předchozího vědomí příkazníka. V opačném případě příkazník neručí za řádný průběh řízení. </w:t>
      </w:r>
    </w:p>
    <w:p w14:paraId="1E0DDFED" w14:textId="77777777" w:rsidR="003413D3" w:rsidRDefault="003413D3" w:rsidP="00955671">
      <w:pPr>
        <w:pStyle w:val="rove1"/>
        <w:numPr>
          <w:ilvl w:val="1"/>
          <w:numId w:val="1"/>
        </w:numPr>
      </w:pPr>
      <w:r w:rsidRPr="00104C1F">
        <w:t xml:space="preserve">Příkazce nesmí uzavřít příslušnou smlouvu s </w:t>
      </w:r>
      <w:r w:rsidR="002B60B3" w:rsidRPr="00104C1F">
        <w:t>dodavatelem</w:t>
      </w:r>
      <w:r w:rsidRPr="00104C1F">
        <w:t xml:space="preserve">, jehož nabídka byla vybrána jako nejvhodnější, dříve, než mu příkazník oznámí, že uplynuly lhůty stanovené </w:t>
      </w:r>
      <w:r w:rsidR="007260BA">
        <w:t>ZZVZ</w:t>
      </w:r>
      <w:r w:rsidRPr="00104C1F">
        <w:t>, ve kterých nelze smlouvu uzavřít.</w:t>
      </w:r>
    </w:p>
    <w:p w14:paraId="15544A50" w14:textId="77777777" w:rsidR="00DA128E" w:rsidRDefault="00DA128E" w:rsidP="00955671">
      <w:pPr>
        <w:pStyle w:val="rove1"/>
        <w:numPr>
          <w:ilvl w:val="1"/>
          <w:numId w:val="1"/>
        </w:numPr>
      </w:pPr>
      <w:r>
        <w:t>Všechny dokumenty, tj. zejména všechny textové šablony, elektronické dokumenty atd. předkládané, vytvořené nebo jakkoli jinak prezentované příkazníkem, jejichž předkládání a zpracovávání předpokládá tato smlouva, jsou chráněny autorskými právy příkazníka, ve smyslu zákona č. 121/2000 Sb., autorského zákona, ve znění pozdějších předpisů, a mohou tak být příkazcem používány výlučně pro účely předpokládané touto smlouvu a nesmí být užity mimo zadávací řízení administrované příkazníkem. Jejich použití v rozporu s tímto bodem zakládá právo na náhradu škody. Nároky z autorského zákona zůstávají uplatněním nároku na náhradu škody zachovány.</w:t>
      </w:r>
    </w:p>
    <w:p w14:paraId="5DB38FEA" w14:textId="77777777" w:rsidR="003413D3" w:rsidRPr="00104C1F" w:rsidRDefault="003413D3" w:rsidP="002D72F6">
      <w:pPr>
        <w:pStyle w:val="Nzev"/>
        <w:numPr>
          <w:ilvl w:val="0"/>
          <w:numId w:val="1"/>
        </w:numPr>
        <w:spacing w:before="240" w:after="240"/>
        <w:ind w:left="357" w:hanging="357"/>
      </w:pPr>
      <w:r w:rsidRPr="00104C1F">
        <w:t>Práva a povinnosti příkazníka</w:t>
      </w:r>
    </w:p>
    <w:p w14:paraId="4CA4EE55" w14:textId="77777777" w:rsidR="003413D3" w:rsidRPr="00104C1F" w:rsidRDefault="003413D3" w:rsidP="00955671">
      <w:pPr>
        <w:pStyle w:val="rove1"/>
        <w:numPr>
          <w:ilvl w:val="1"/>
          <w:numId w:val="1"/>
        </w:numPr>
      </w:pPr>
      <w:r w:rsidRPr="00104C1F">
        <w:t>Příkazník je povinen informovat příkazce o všech okolnostech důležitých pro řádné a včasné provedení předmětu plnění a poskytovat vzájemnou součinnost. Výstupy z poskytnutého plnění, které vzniknou v průběhu a v souvislosti s poskytováním služeb, se stávají okamžikem jejich předání příkazci jeho výlučným vlastnictvím. Příkazník nesmí poskytnout žádný z těchto výstupů třetí straně bez předchozího písemného souhlasu příkazce, pokud to nepředpokládá samotná povaha plnění předmětu této smlouvy.</w:t>
      </w:r>
    </w:p>
    <w:p w14:paraId="6E58030D" w14:textId="2A4C518E" w:rsidR="003413D3" w:rsidRPr="00104C1F" w:rsidRDefault="003413D3" w:rsidP="00955671">
      <w:pPr>
        <w:pStyle w:val="rove1"/>
        <w:numPr>
          <w:ilvl w:val="1"/>
          <w:numId w:val="1"/>
        </w:numPr>
      </w:pPr>
      <w:r w:rsidRPr="00104C1F">
        <w:t>Příkazník je povinen postupovat při plnění předmětu smlouvy s péčí řádného hospodáře a je povinen předcházet vzniku škod.</w:t>
      </w:r>
      <w:r w:rsidR="00142D2E">
        <w:t xml:space="preserve"> Způsobí-li příkazník škodu, je povinen k její náhradě ve smyslu příslušných právních předpisů.</w:t>
      </w:r>
    </w:p>
    <w:p w14:paraId="4179F133" w14:textId="77777777" w:rsidR="003413D3" w:rsidRPr="00104C1F" w:rsidRDefault="003413D3" w:rsidP="00955671">
      <w:pPr>
        <w:pStyle w:val="rove1"/>
        <w:numPr>
          <w:ilvl w:val="1"/>
          <w:numId w:val="1"/>
        </w:numPr>
      </w:pPr>
      <w:r w:rsidRPr="00104C1F">
        <w:t>Příkazník je povinen vykonávat příslušné činnosti podle pokynů příkazce a v souladu s jeho zájmy. Od těchto pokynů se může odchýlit jen tehdy, je-li to naléhavé a nezbytné v zájmu příkazce a příkazník nemůže včas obdržet jeho souhlas. Ani v těchto případech se nesmí od pokynů odc</w:t>
      </w:r>
      <w:r w:rsidR="00124797">
        <w:t xml:space="preserve">hýlit, jestliže je to zakázáno </w:t>
      </w:r>
      <w:r w:rsidR="007C3C40">
        <w:t>ZZVZ</w:t>
      </w:r>
      <w:r w:rsidR="00D9709D">
        <w:t>, smlouvou</w:t>
      </w:r>
      <w:r w:rsidRPr="00104C1F">
        <w:t xml:space="preserve"> nebo příkazcem. Příkazník je dále povinen oznámit příkazci všechny okolnosti, které zjistil při zařizování záležitostí podle smlouvy a které mohou mít vliv na změnu pokynů příkazce.</w:t>
      </w:r>
    </w:p>
    <w:p w14:paraId="7E270585" w14:textId="77777777" w:rsidR="003413D3" w:rsidRPr="00104C1F" w:rsidRDefault="003413D3" w:rsidP="00955671">
      <w:pPr>
        <w:pStyle w:val="rove1"/>
        <w:numPr>
          <w:ilvl w:val="1"/>
          <w:numId w:val="1"/>
        </w:numPr>
      </w:pPr>
      <w:r w:rsidRPr="00104C1F">
        <w:t>Zjistí-li příkazník, že pokyny příkazce jsou nevhodné či neúčelné, je povinen příkazce na tuto skutečnost upozornit. Bude-li příkazce přes toto upozornění na splnění svých pokynů trvat, má příkazník právo:</w:t>
      </w:r>
    </w:p>
    <w:p w14:paraId="3A0BB0E9" w14:textId="77777777" w:rsidR="003413D3" w:rsidRPr="00104C1F" w:rsidRDefault="003413D3" w:rsidP="00955671">
      <w:pPr>
        <w:pStyle w:val="rove1"/>
        <w:numPr>
          <w:ilvl w:val="1"/>
          <w:numId w:val="9"/>
        </w:numPr>
        <w:ind w:left="1134"/>
      </w:pPr>
      <w:r w:rsidRPr="00104C1F">
        <w:t>požádat o písemné potvrzení pokynu,</w:t>
      </w:r>
      <w:r w:rsidR="00DA128E">
        <w:t xml:space="preserve"> přičemž neodpovídá za případnou škodu,</w:t>
      </w:r>
    </w:p>
    <w:p w14:paraId="6D8E9C34" w14:textId="77777777" w:rsidR="003413D3" w:rsidRPr="00104C1F" w:rsidRDefault="003413D3" w:rsidP="00955671">
      <w:pPr>
        <w:pStyle w:val="rove1"/>
        <w:numPr>
          <w:ilvl w:val="1"/>
          <w:numId w:val="9"/>
        </w:numPr>
        <w:ind w:left="1134"/>
      </w:pPr>
      <w:r w:rsidRPr="00104C1F">
        <w:t>odstoupit od smlouvy za předpokladu, že pokyny příkazce jsou v rozporu s touto smlouvou.</w:t>
      </w:r>
    </w:p>
    <w:p w14:paraId="130B74A0" w14:textId="77777777" w:rsidR="003413D3" w:rsidRPr="00104C1F" w:rsidRDefault="003413D3" w:rsidP="00955671">
      <w:pPr>
        <w:pStyle w:val="rove3"/>
        <w:ind w:left="567" w:firstLine="0"/>
      </w:pPr>
      <w:r w:rsidRPr="00104C1F">
        <w:t xml:space="preserve">Stejně je příkazník povinen a oprávněn postupovat v případě, že pokyny příkazce jsou v rozporu se </w:t>
      </w:r>
      <w:r w:rsidR="007260BA">
        <w:t>ZZVZ</w:t>
      </w:r>
      <w:r w:rsidR="00C92274">
        <w:t xml:space="preserve">, </w:t>
      </w:r>
      <w:r w:rsidR="00DA128E">
        <w:t>dotačními pravidly</w:t>
      </w:r>
      <w:r w:rsidR="00C92274">
        <w:t xml:space="preserve"> </w:t>
      </w:r>
      <w:r w:rsidRPr="00104C1F">
        <w:t>nebo jinými právními předpisy.</w:t>
      </w:r>
    </w:p>
    <w:p w14:paraId="3985C9CF" w14:textId="77777777" w:rsidR="00B71793" w:rsidRPr="00104C1F" w:rsidRDefault="003413D3" w:rsidP="00955671">
      <w:pPr>
        <w:pStyle w:val="rove1"/>
        <w:numPr>
          <w:ilvl w:val="1"/>
          <w:numId w:val="1"/>
        </w:numPr>
      </w:pPr>
      <w:r w:rsidRPr="00104C1F">
        <w:t xml:space="preserve">Příkazník je povinen provést bez nároku na úhradu organizační zajištění veškerých </w:t>
      </w:r>
      <w:r w:rsidR="0075544E">
        <w:t>jednání</w:t>
      </w:r>
      <w:r w:rsidRPr="00104C1F">
        <w:t>, jejichž provedení, případně opakované provedení, je nezbytné, protože zadávací řízení nebo někter</w:t>
      </w:r>
      <w:r w:rsidR="0075544E">
        <w:t>á</w:t>
      </w:r>
      <w:r w:rsidRPr="00104C1F">
        <w:t xml:space="preserve"> </w:t>
      </w:r>
      <w:r w:rsidR="0075544E">
        <w:t>jednání</w:t>
      </w:r>
      <w:r w:rsidRPr="00104C1F">
        <w:t xml:space="preserve"> v zadávacím řízení byly příkazcem nebo Úřadem pro ochranu hospodářské soutěže zrušeny z důvodu nesprávného postupu příkazníka.</w:t>
      </w:r>
    </w:p>
    <w:p w14:paraId="5C9BE011" w14:textId="77777777" w:rsidR="003413D3" w:rsidRPr="00104C1F" w:rsidRDefault="003413D3" w:rsidP="00955671">
      <w:pPr>
        <w:pStyle w:val="rove1"/>
        <w:numPr>
          <w:ilvl w:val="1"/>
          <w:numId w:val="1"/>
        </w:numPr>
      </w:pPr>
      <w:r w:rsidRPr="00104C1F">
        <w:t xml:space="preserve">Příkazník i osoby zajišťující administraci </w:t>
      </w:r>
      <w:r w:rsidR="00980512" w:rsidRPr="00104C1F">
        <w:t>ne</w:t>
      </w:r>
      <w:r w:rsidRPr="00104C1F">
        <w:t xml:space="preserve">budou po celou dobu příslušného zadávacího řízení </w:t>
      </w:r>
      <w:r w:rsidR="00980512" w:rsidRPr="00104C1F">
        <w:t xml:space="preserve">ve střetu zájmů </w:t>
      </w:r>
      <w:r w:rsidRPr="00104C1F">
        <w:t xml:space="preserve">ve vztahu k danému zadávacímu řízení v rozsahu, jak je stanoven v § </w:t>
      </w:r>
      <w:r w:rsidR="00980512" w:rsidRPr="00104C1F">
        <w:t>44</w:t>
      </w:r>
      <w:r w:rsidRPr="00104C1F">
        <w:t xml:space="preserve"> </w:t>
      </w:r>
      <w:r w:rsidR="007260BA">
        <w:t>ZZVZ</w:t>
      </w:r>
      <w:r w:rsidRPr="00104C1F">
        <w:t xml:space="preserve">. Pokud příkazník zjistí </w:t>
      </w:r>
      <w:r w:rsidR="00980512" w:rsidRPr="00104C1F">
        <w:t xml:space="preserve">střet zájmů </w:t>
      </w:r>
      <w:r w:rsidRPr="00104C1F">
        <w:t>ve smyslu předchozí věty, je povinen tuto skutečnost oznámit příkazci bezodkladně po jejím zjištění.</w:t>
      </w:r>
    </w:p>
    <w:p w14:paraId="62EFCC28" w14:textId="7C66BD0E" w:rsidR="003413D3" w:rsidRDefault="003413D3" w:rsidP="00955671">
      <w:pPr>
        <w:pStyle w:val="rove1"/>
        <w:numPr>
          <w:ilvl w:val="1"/>
          <w:numId w:val="1"/>
        </w:numPr>
      </w:pPr>
      <w:r w:rsidRPr="00104C1F">
        <w:t>Příkazník odpovídá za zákonný průběh zadávacího řízení</w:t>
      </w:r>
      <w:r w:rsidR="00DA128E">
        <w:t xml:space="preserve">, a to do výše </w:t>
      </w:r>
      <w:r w:rsidR="00673714">
        <w:t>10</w:t>
      </w:r>
      <w:r w:rsidR="00142D2E">
        <w:t>0</w:t>
      </w:r>
      <w:r w:rsidR="00673714">
        <w:t xml:space="preserve"> milionů Kč</w:t>
      </w:r>
      <w:r w:rsidR="00C92274" w:rsidRPr="00104C1F">
        <w:t>.</w:t>
      </w:r>
      <w:r w:rsidRPr="00104C1F">
        <w:t xml:space="preserve"> Pro tyto účely je příkazník pojištěn pojistnou smlouvou na odpovědnost za škodu, kterou se zavazuje udržovat po celou</w:t>
      </w:r>
      <w:r w:rsidR="00124797">
        <w:t xml:space="preserve"> dobu plnění předmětu smlouvy v </w:t>
      </w:r>
      <w:r w:rsidRPr="00104C1F">
        <w:t>platnosti.</w:t>
      </w:r>
    </w:p>
    <w:p w14:paraId="24780E86" w14:textId="77777777" w:rsidR="00122329" w:rsidRPr="00104C1F" w:rsidRDefault="00122329" w:rsidP="00955671">
      <w:pPr>
        <w:pStyle w:val="rove1"/>
        <w:numPr>
          <w:ilvl w:val="1"/>
          <w:numId w:val="1"/>
        </w:numPr>
      </w:pPr>
      <w:r>
        <w:t>Příkazník je oprávněn uvést ve svých propagačních materiálech a nabídkách pro třetí subjekty, že na základě této smlouvy pro příkazce administroval zadávací řízení, a to včetně informací o základních, obecně známých parametrech zadávacího řízení a kontaktních údajů příkazce pro potvrzení reference.</w:t>
      </w:r>
    </w:p>
    <w:p w14:paraId="2CD1E50D" w14:textId="77777777" w:rsidR="003413D3" w:rsidRPr="00104C1F" w:rsidRDefault="003413D3" w:rsidP="002D72F6">
      <w:pPr>
        <w:pStyle w:val="Nzev"/>
        <w:numPr>
          <w:ilvl w:val="0"/>
          <w:numId w:val="1"/>
        </w:numPr>
        <w:spacing w:before="240" w:after="240"/>
        <w:ind w:left="357" w:hanging="357"/>
      </w:pPr>
      <w:r w:rsidRPr="00104C1F">
        <w:t>Sankce</w:t>
      </w:r>
    </w:p>
    <w:p w14:paraId="0B4CEA4F" w14:textId="77777777" w:rsidR="003413D3" w:rsidRPr="00104C1F" w:rsidRDefault="003413D3" w:rsidP="00955671">
      <w:pPr>
        <w:pStyle w:val="rove1"/>
        <w:numPr>
          <w:ilvl w:val="1"/>
          <w:numId w:val="1"/>
        </w:numPr>
      </w:pPr>
      <w:r w:rsidRPr="00104C1F">
        <w:t>V případě prodlení příkazce s ú</w:t>
      </w:r>
      <w:r w:rsidR="007A0003">
        <w:t>hradou faktury dle této smlouvy</w:t>
      </w:r>
      <w:r w:rsidRPr="00104C1F">
        <w:t xml:space="preserve"> je příkazce povinen zaplatit příkazníkovi smluvní pokutu ve výši 0,05 % z</w:t>
      </w:r>
      <w:r w:rsidR="0075544E">
        <w:t> </w:t>
      </w:r>
      <w:r w:rsidRPr="00104C1F">
        <w:t>ceny</w:t>
      </w:r>
      <w:r w:rsidR="0075544E">
        <w:t xml:space="preserve"> bez DPH</w:t>
      </w:r>
      <w:r w:rsidRPr="00104C1F">
        <w:t xml:space="preserve"> uvedené na předmětné faktuře za každý i jen započatý den prodlení. Smluvní pokuta je splatná na základě faktury – daňového dokladu se splatností 30 dnů ode dne jejího doručení příkazci.</w:t>
      </w:r>
    </w:p>
    <w:p w14:paraId="20C59039" w14:textId="77777777" w:rsidR="003413D3" w:rsidRPr="00104C1F" w:rsidRDefault="00CD5384" w:rsidP="00955671">
      <w:pPr>
        <w:pStyle w:val="rove1"/>
        <w:numPr>
          <w:ilvl w:val="1"/>
          <w:numId w:val="1"/>
        </w:numPr>
      </w:pPr>
      <w:r w:rsidRPr="00CD5384">
        <w:t>Za každé jednotlivé porušení smlouvy prokázané poškozenou smluvní stranou, které je odlišné od prodlení příkazce s úhradou faktury podle čl. 8.1. této smlouvy, sjednávají smluvní strany smluvní pokutu ve výši 2 000 Kč</w:t>
      </w:r>
      <w:r w:rsidR="003413D3" w:rsidRPr="00104C1F">
        <w:t>.</w:t>
      </w:r>
    </w:p>
    <w:p w14:paraId="563AA509" w14:textId="77777777" w:rsidR="003413D3" w:rsidRPr="00104C1F" w:rsidRDefault="003413D3" w:rsidP="002D72F6">
      <w:pPr>
        <w:pStyle w:val="Nzev"/>
        <w:numPr>
          <w:ilvl w:val="0"/>
          <w:numId w:val="1"/>
        </w:numPr>
        <w:spacing w:before="240" w:after="240"/>
        <w:ind w:left="357" w:hanging="357"/>
      </w:pPr>
      <w:r w:rsidRPr="00104C1F">
        <w:t>Doručování</w:t>
      </w:r>
    </w:p>
    <w:p w14:paraId="22DA2B4E" w14:textId="77777777" w:rsidR="00DA128E" w:rsidRDefault="00DA128E" w:rsidP="00955671">
      <w:pPr>
        <w:pStyle w:val="rove1"/>
        <w:numPr>
          <w:ilvl w:val="1"/>
          <w:numId w:val="1"/>
        </w:numPr>
      </w:pPr>
      <w:r>
        <w:t xml:space="preserve">Smluvní strany se dohodly, </w:t>
      </w:r>
      <w:r>
        <w:rPr>
          <w:rStyle w:val="rove1Char"/>
        </w:rPr>
        <w:t>že vzájemná komunikace bude probíhat jak písemně, tak i elektronicky, telefonicky nebo ústně, a to vždy dle povahy jednání.</w:t>
      </w:r>
    </w:p>
    <w:p w14:paraId="26BC0B6E" w14:textId="77777777" w:rsidR="00DA128E" w:rsidRDefault="00DA128E" w:rsidP="00955671">
      <w:pPr>
        <w:pStyle w:val="rove1"/>
        <w:numPr>
          <w:ilvl w:val="1"/>
          <w:numId w:val="1"/>
        </w:numPr>
      </w:pPr>
      <w:r>
        <w:t xml:space="preserve">Jakékoliv sdělení či jiný dokument, jenž má nebo může být doručen podle této smlouvy, lze doručit osobně nebo doporučeným dopisem anebo e-mailem na adresu (e-mailovou adresu) smluvní strany uvedenou v záhlaví této smlouvy, resp. jinou adresu (e-mailovou adresu), která bude po uzavření této smlouvy písemně sdělena druhé smluvní straně. </w:t>
      </w:r>
    </w:p>
    <w:p w14:paraId="170F485D" w14:textId="77777777" w:rsidR="003413D3" w:rsidRPr="00104C1F" w:rsidRDefault="003413D3" w:rsidP="002D72F6">
      <w:pPr>
        <w:pStyle w:val="Nzev"/>
        <w:numPr>
          <w:ilvl w:val="0"/>
          <w:numId w:val="1"/>
        </w:numPr>
        <w:spacing w:before="240" w:after="240"/>
        <w:ind w:left="357" w:hanging="357"/>
      </w:pPr>
      <w:r w:rsidRPr="00104C1F">
        <w:t>Ukončení smlouvy</w:t>
      </w:r>
    </w:p>
    <w:p w14:paraId="4057E39D" w14:textId="77777777" w:rsidR="002B60B3" w:rsidRPr="00104C1F" w:rsidRDefault="002B60B3" w:rsidP="00955671">
      <w:pPr>
        <w:pStyle w:val="rove1"/>
        <w:numPr>
          <w:ilvl w:val="1"/>
          <w:numId w:val="1"/>
        </w:numPr>
      </w:pPr>
      <w:r w:rsidRPr="00104C1F">
        <w:t>Smlouvu lze ukončit písemnou dohodou smluvních stran.</w:t>
      </w:r>
    </w:p>
    <w:p w14:paraId="06C3D0FC" w14:textId="77777777" w:rsidR="002B60B3" w:rsidRPr="00104C1F" w:rsidRDefault="002B60B3" w:rsidP="00955671">
      <w:pPr>
        <w:pStyle w:val="rove1"/>
        <w:numPr>
          <w:ilvl w:val="1"/>
          <w:numId w:val="1"/>
        </w:numPr>
      </w:pPr>
      <w:r w:rsidRPr="00104C1F">
        <w:t>Kterákoliv smluvní strana je oprávněna vypovědět tuto smlouvu, a to i bez udání důvodu.</w:t>
      </w:r>
    </w:p>
    <w:p w14:paraId="213509F2" w14:textId="77777777" w:rsidR="002B60B3" w:rsidRPr="00104C1F" w:rsidRDefault="002B60B3" w:rsidP="00955671">
      <w:pPr>
        <w:pStyle w:val="rove1"/>
        <w:numPr>
          <w:ilvl w:val="1"/>
          <w:numId w:val="1"/>
        </w:numPr>
      </w:pPr>
      <w:r w:rsidRPr="00104C1F">
        <w:t>Výpovědní doba činí 30 dní a počíná běžet doručením druhé smluvní straně. Výpověď je možno doručit písemně osobně, prostřednictvím poštovního doručovatele, anebo elektronicky e-mailem se zaručeným elektronickým podpisem, který bude adresován na e-mailovou adresu statutárního orgánu druhé smluvní strany.</w:t>
      </w:r>
    </w:p>
    <w:p w14:paraId="0ACB5DD0" w14:textId="77777777" w:rsidR="002B60B3" w:rsidRPr="00104C1F" w:rsidRDefault="002B60B3" w:rsidP="00955671">
      <w:pPr>
        <w:pStyle w:val="rove1"/>
        <w:numPr>
          <w:ilvl w:val="1"/>
          <w:numId w:val="1"/>
        </w:numPr>
      </w:pPr>
      <w:r w:rsidRPr="00104C1F">
        <w:t>V případě výpovědi smlouvy jsou obě strany povinny počínat si tak, aby nedocházelo ke vzniku škod, tedy zejména dokončit jednání, které nesnesou odkladu. V případě předčasného ukončení této smlouvy, včetně ukončení na základě výpovědi, má příkazník právo na úhradu poměrné části odměny dle čl. V. této smlouvy.</w:t>
      </w:r>
    </w:p>
    <w:p w14:paraId="36DAA052" w14:textId="77777777" w:rsidR="003413D3" w:rsidRPr="00104C1F" w:rsidRDefault="003413D3" w:rsidP="002D72F6">
      <w:pPr>
        <w:pStyle w:val="Nzev"/>
        <w:numPr>
          <w:ilvl w:val="0"/>
          <w:numId w:val="1"/>
        </w:numPr>
        <w:spacing w:before="240" w:after="240"/>
        <w:ind w:left="357" w:hanging="357"/>
      </w:pPr>
      <w:r w:rsidRPr="00104C1F">
        <w:t>Závěrečná ustanovení</w:t>
      </w:r>
    </w:p>
    <w:p w14:paraId="7C45469F" w14:textId="77777777" w:rsidR="003413D3" w:rsidRPr="00104C1F" w:rsidRDefault="003413D3" w:rsidP="00955671">
      <w:pPr>
        <w:pStyle w:val="rove1"/>
        <w:numPr>
          <w:ilvl w:val="1"/>
          <w:numId w:val="1"/>
        </w:numPr>
      </w:pPr>
      <w:r w:rsidRPr="00104C1F">
        <w:t xml:space="preserve">Práva a povinnosti smluvních stran výslovně v této smlouvě neupravené se řídí příslušnými ustanoveními zákona č. 89/2012 Sb., občanský zákoník, </w:t>
      </w:r>
      <w:r w:rsidR="00F37CD3">
        <w:t>ve znění pozdějších předpisů</w:t>
      </w:r>
      <w:r w:rsidRPr="00104C1F">
        <w:t>, a dalšími platnými předpisy právního řádu České republiky.</w:t>
      </w:r>
    </w:p>
    <w:p w14:paraId="08B343FE" w14:textId="77777777" w:rsidR="003413D3" w:rsidRPr="00104C1F" w:rsidRDefault="003413D3" w:rsidP="00955671">
      <w:pPr>
        <w:pStyle w:val="rove1"/>
        <w:numPr>
          <w:ilvl w:val="1"/>
          <w:numId w:val="1"/>
        </w:numPr>
      </w:pPr>
      <w:r w:rsidRPr="00104C1F">
        <w:t>Smluvní strany prohlašují, že veškeré vzniklé spory budou řešit především smírnou cestou. Pokud nebude možné spor vyřešit smírnou cestou, bude řešen před věcně a místně příslušným soudem v souladu s platnými právními předpisy České republiky.</w:t>
      </w:r>
    </w:p>
    <w:p w14:paraId="60440F0F" w14:textId="77777777" w:rsidR="00DA128E" w:rsidRPr="00142D2E" w:rsidRDefault="003413D3" w:rsidP="00955671">
      <w:pPr>
        <w:pStyle w:val="rove1"/>
        <w:numPr>
          <w:ilvl w:val="1"/>
          <w:numId w:val="1"/>
        </w:numPr>
      </w:pPr>
      <w:r w:rsidRPr="00142D2E">
        <w:t xml:space="preserve">Tato smlouva je vyhotovena ve </w:t>
      </w:r>
      <w:r w:rsidR="00DA128E" w:rsidRPr="00142D2E">
        <w:t>2</w:t>
      </w:r>
      <w:r w:rsidRPr="00142D2E">
        <w:t xml:space="preserve"> stejnopisech, z nichž každý má platnost originálu. Příkazce</w:t>
      </w:r>
      <w:r w:rsidR="00673714" w:rsidRPr="00142D2E">
        <w:t xml:space="preserve"> </w:t>
      </w:r>
      <w:r w:rsidR="00DA128E" w:rsidRPr="00142D2E">
        <w:t>obdrží 1 vyhotovení a příkazník 1 vyhotovení.</w:t>
      </w:r>
    </w:p>
    <w:p w14:paraId="2E029D99" w14:textId="77777777" w:rsidR="003413D3" w:rsidRPr="00104C1F" w:rsidRDefault="003413D3" w:rsidP="00955671">
      <w:pPr>
        <w:pStyle w:val="rove1"/>
        <w:numPr>
          <w:ilvl w:val="1"/>
          <w:numId w:val="1"/>
        </w:numPr>
      </w:pPr>
      <w:r w:rsidRPr="00104C1F">
        <w:t>Tuto smlouvu je možno měnit pouze písemnými číslovanými dodatky po</w:t>
      </w:r>
      <w:r w:rsidR="009B5B61">
        <w:t>depsanými</w:t>
      </w:r>
      <w:r w:rsidRPr="00104C1F">
        <w:t xml:space="preserve"> oběma smluvními stranami.</w:t>
      </w:r>
    </w:p>
    <w:p w14:paraId="3564C6AE" w14:textId="4FA6AC4A" w:rsidR="003413D3" w:rsidRPr="00142D2E" w:rsidRDefault="00F84DCB" w:rsidP="00955671">
      <w:pPr>
        <w:pStyle w:val="rove1"/>
        <w:numPr>
          <w:ilvl w:val="1"/>
          <w:numId w:val="1"/>
        </w:numPr>
      </w:pPr>
      <w:r w:rsidRPr="00F84DCB">
        <w:t>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a o registru smluv (zákon o registru smluv).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r w:rsidR="003F3002" w:rsidRPr="00142D2E">
        <w:t>.</w:t>
      </w:r>
    </w:p>
    <w:p w14:paraId="7626E1B7" w14:textId="13A911BA" w:rsidR="003413D3" w:rsidRDefault="003413D3" w:rsidP="00955671">
      <w:pPr>
        <w:pStyle w:val="rove1"/>
        <w:numPr>
          <w:ilvl w:val="1"/>
          <w:numId w:val="1"/>
        </w:numPr>
      </w:pPr>
      <w:r w:rsidRPr="00104C1F">
        <w:t>Smluvní strany prohlašují, že smlouvu přečetly, jejímu obsahu beze</w:t>
      </w:r>
      <w:r w:rsidR="009B5B61">
        <w:t xml:space="preserve"> </w:t>
      </w:r>
      <w:r w:rsidRPr="00104C1F">
        <w:t>zbytku porozuměly a že její obsah vyjadřuje jejich skutečnou, vážnou a svobodnou vůli. To stvrzují níže svými podpisy.</w:t>
      </w:r>
    </w:p>
    <w:p w14:paraId="5819D4BA" w14:textId="611B705F" w:rsidR="00F84DCB" w:rsidRPr="00692AEE" w:rsidRDefault="00F84DCB" w:rsidP="00955671">
      <w:pPr>
        <w:pStyle w:val="rove1"/>
        <w:numPr>
          <w:ilvl w:val="1"/>
          <w:numId w:val="1"/>
        </w:numPr>
      </w:pPr>
      <w:r w:rsidRPr="00692AEE">
        <w:t>Doložka dle §43 odst. 1 zákona č. 131/2000 Sb., o hlavním městě Praze, v platném znění, potvrzující splnění podmínek pro platnost právního jednání městské části Praha 3. Uzavření této smlouvy bylo schváleno rozhodnutím RMČ P</w:t>
      </w:r>
      <w:r w:rsidR="00692AEE" w:rsidRPr="00692AEE">
        <w:t>raha 3, a to usnesením ze dne 22. 03. 2021</w:t>
      </w:r>
      <w:r w:rsidRPr="00692AEE">
        <w:t xml:space="preserve"> č. </w:t>
      </w:r>
      <w:r w:rsidR="00692AEE" w:rsidRPr="00692AEE">
        <w:t>155</w:t>
      </w:r>
      <w:r w:rsidRPr="00692AEE">
        <w:t>.</w:t>
      </w:r>
    </w:p>
    <w:p w14:paraId="4CAE27E2" w14:textId="5DE60190" w:rsidR="00E70FAC" w:rsidRDefault="00E70FAC" w:rsidP="00955671">
      <w:pPr>
        <w:spacing w:before="60" w:after="60"/>
        <w:rPr>
          <w:rFonts w:ascii="Arial" w:hAnsi="Arial" w:cs="Arial"/>
          <w:sz w:val="20"/>
          <w:szCs w:val="20"/>
        </w:rPr>
      </w:pPr>
    </w:p>
    <w:p w14:paraId="5BD6E3E0" w14:textId="77777777" w:rsidR="00692AEE" w:rsidRDefault="00692AEE" w:rsidP="00955671">
      <w:pPr>
        <w:spacing w:before="60" w:after="60"/>
        <w:rPr>
          <w:rFonts w:ascii="Arial" w:hAnsi="Arial" w:cs="Arial"/>
          <w:sz w:val="20"/>
          <w:szCs w:val="20"/>
        </w:rPr>
      </w:pPr>
    </w:p>
    <w:p w14:paraId="503CF36D" w14:textId="77777777" w:rsidR="003413D3" w:rsidRDefault="00341394" w:rsidP="00955671">
      <w:pPr>
        <w:spacing w:before="60" w:after="60"/>
        <w:rPr>
          <w:rFonts w:ascii="Arial" w:hAnsi="Arial" w:cs="Arial"/>
          <w:sz w:val="20"/>
          <w:szCs w:val="20"/>
        </w:rPr>
      </w:pPr>
      <w:r>
        <w:rPr>
          <w:rFonts w:ascii="Arial" w:hAnsi="Arial" w:cs="Arial"/>
          <w:sz w:val="20"/>
          <w:szCs w:val="20"/>
        </w:rPr>
        <w:t>V</w:t>
      </w:r>
      <w:r w:rsidR="00D84876">
        <w:rPr>
          <w:rFonts w:ascii="Arial" w:hAnsi="Arial" w:cs="Arial"/>
          <w:sz w:val="20"/>
          <w:szCs w:val="20"/>
        </w:rPr>
        <w:t xml:space="preserve"> </w:t>
      </w:r>
      <w:r w:rsidR="00DA128E">
        <w:rPr>
          <w:rFonts w:ascii="Arial" w:hAnsi="Arial" w:cs="Arial"/>
          <w:sz w:val="20"/>
          <w:szCs w:val="20"/>
        </w:rPr>
        <w:t>______</w:t>
      </w:r>
      <w:r w:rsidR="003413D3" w:rsidRPr="00104C1F">
        <w:rPr>
          <w:rFonts w:ascii="Arial" w:hAnsi="Arial" w:cs="Arial"/>
          <w:sz w:val="20"/>
          <w:szCs w:val="20"/>
        </w:rPr>
        <w:t xml:space="preserve"> dne </w:t>
      </w:r>
      <w:r w:rsidR="00E6498B" w:rsidRPr="00104C1F">
        <w:rPr>
          <w:rFonts w:ascii="Arial" w:hAnsi="Arial" w:cs="Arial"/>
          <w:sz w:val="20"/>
          <w:szCs w:val="20"/>
        </w:rPr>
        <w:t>__</w:t>
      </w:r>
      <w:r w:rsidR="003413D3" w:rsidRPr="00104C1F">
        <w:rPr>
          <w:rFonts w:ascii="Arial" w:hAnsi="Arial" w:cs="Arial"/>
          <w:sz w:val="20"/>
          <w:szCs w:val="20"/>
        </w:rPr>
        <w:t xml:space="preserve">. </w:t>
      </w:r>
      <w:r w:rsidR="00E6498B" w:rsidRPr="00104C1F">
        <w:rPr>
          <w:rFonts w:ascii="Arial" w:hAnsi="Arial" w:cs="Arial"/>
          <w:sz w:val="20"/>
          <w:szCs w:val="20"/>
        </w:rPr>
        <w:t>__</w:t>
      </w:r>
      <w:r w:rsidR="003413D3" w:rsidRPr="00104C1F">
        <w:rPr>
          <w:rFonts w:ascii="Arial" w:hAnsi="Arial" w:cs="Arial"/>
          <w:sz w:val="20"/>
          <w:szCs w:val="20"/>
        </w:rPr>
        <w:t xml:space="preserve">. </w:t>
      </w:r>
      <w:r w:rsidR="005C1C09">
        <w:rPr>
          <w:rFonts w:ascii="Arial" w:hAnsi="Arial" w:cs="Arial"/>
          <w:sz w:val="20"/>
          <w:szCs w:val="20"/>
        </w:rPr>
        <w:t>____</w:t>
      </w:r>
      <w:r w:rsidR="003413D3" w:rsidRPr="00104C1F">
        <w:rPr>
          <w:rFonts w:ascii="Arial" w:hAnsi="Arial" w:cs="Arial"/>
          <w:sz w:val="20"/>
          <w:szCs w:val="20"/>
        </w:rPr>
        <w:tab/>
      </w:r>
      <w:r w:rsidR="003413D3" w:rsidRPr="00104C1F">
        <w:rPr>
          <w:rFonts w:ascii="Arial" w:hAnsi="Arial" w:cs="Arial"/>
          <w:sz w:val="20"/>
          <w:szCs w:val="20"/>
        </w:rPr>
        <w:tab/>
      </w:r>
      <w:r w:rsidR="003413D3" w:rsidRPr="00104C1F">
        <w:rPr>
          <w:rFonts w:ascii="Arial" w:hAnsi="Arial" w:cs="Arial"/>
          <w:sz w:val="20"/>
          <w:szCs w:val="20"/>
        </w:rPr>
        <w:tab/>
      </w:r>
      <w:r w:rsidR="003413D3" w:rsidRPr="00104C1F">
        <w:rPr>
          <w:rFonts w:ascii="Arial" w:hAnsi="Arial" w:cs="Arial"/>
          <w:sz w:val="20"/>
          <w:szCs w:val="20"/>
        </w:rPr>
        <w:tab/>
        <w:t>V </w:t>
      </w:r>
      <w:r w:rsidR="00DA128E">
        <w:rPr>
          <w:rFonts w:ascii="Arial" w:hAnsi="Arial" w:cs="Arial"/>
          <w:sz w:val="20"/>
          <w:szCs w:val="20"/>
        </w:rPr>
        <w:t>______</w:t>
      </w:r>
      <w:r w:rsidR="00DA128E" w:rsidRPr="00104C1F">
        <w:rPr>
          <w:rFonts w:ascii="Arial" w:hAnsi="Arial" w:cs="Arial"/>
          <w:sz w:val="20"/>
          <w:szCs w:val="20"/>
        </w:rPr>
        <w:t xml:space="preserve"> </w:t>
      </w:r>
      <w:r w:rsidR="003413D3" w:rsidRPr="00104C1F">
        <w:rPr>
          <w:rFonts w:ascii="Arial" w:hAnsi="Arial" w:cs="Arial"/>
          <w:sz w:val="20"/>
          <w:szCs w:val="20"/>
        </w:rPr>
        <w:t xml:space="preserve">dne </w:t>
      </w:r>
      <w:r w:rsidR="003E6D2E">
        <w:rPr>
          <w:rFonts w:ascii="Arial" w:hAnsi="Arial" w:cs="Arial"/>
          <w:sz w:val="20"/>
          <w:szCs w:val="20"/>
        </w:rPr>
        <w:t>__</w:t>
      </w:r>
      <w:r w:rsidR="00153841" w:rsidRPr="00104C1F">
        <w:rPr>
          <w:rFonts w:ascii="Arial" w:hAnsi="Arial" w:cs="Arial"/>
          <w:sz w:val="20"/>
          <w:szCs w:val="20"/>
        </w:rPr>
        <w:t xml:space="preserve">. </w:t>
      </w:r>
      <w:r w:rsidR="003E6D2E">
        <w:rPr>
          <w:rFonts w:ascii="Arial" w:hAnsi="Arial" w:cs="Arial"/>
          <w:sz w:val="20"/>
          <w:szCs w:val="20"/>
        </w:rPr>
        <w:t>__</w:t>
      </w:r>
      <w:r w:rsidR="00153841" w:rsidRPr="00104C1F">
        <w:rPr>
          <w:rFonts w:ascii="Arial" w:hAnsi="Arial" w:cs="Arial"/>
          <w:sz w:val="20"/>
          <w:szCs w:val="20"/>
        </w:rPr>
        <w:t xml:space="preserve">. </w:t>
      </w:r>
      <w:r w:rsidR="005C1C09">
        <w:rPr>
          <w:rFonts w:ascii="Arial" w:hAnsi="Arial" w:cs="Arial"/>
          <w:sz w:val="20"/>
          <w:szCs w:val="20"/>
        </w:rPr>
        <w:t>____</w:t>
      </w:r>
    </w:p>
    <w:p w14:paraId="4D536CC5" w14:textId="77777777" w:rsidR="00E70FAC" w:rsidRDefault="00E70FAC" w:rsidP="00955671">
      <w:pPr>
        <w:spacing w:before="60" w:after="60"/>
        <w:rPr>
          <w:rFonts w:ascii="Arial" w:hAnsi="Arial" w:cs="Arial"/>
          <w:sz w:val="20"/>
          <w:szCs w:val="20"/>
        </w:rPr>
      </w:pPr>
    </w:p>
    <w:p w14:paraId="1480A90C" w14:textId="20BAF376" w:rsidR="00E70FAC" w:rsidRDefault="00E70FAC" w:rsidP="00955671">
      <w:pPr>
        <w:spacing w:before="60" w:after="60"/>
        <w:rPr>
          <w:rFonts w:ascii="Arial" w:hAnsi="Arial" w:cs="Arial"/>
          <w:sz w:val="20"/>
          <w:szCs w:val="20"/>
        </w:rPr>
      </w:pPr>
    </w:p>
    <w:p w14:paraId="3F1AAAEB" w14:textId="3AED2340" w:rsidR="00692AEE" w:rsidRDefault="00692AEE" w:rsidP="00955671">
      <w:pPr>
        <w:spacing w:before="60" w:after="60"/>
        <w:rPr>
          <w:rFonts w:ascii="Arial" w:hAnsi="Arial" w:cs="Arial"/>
          <w:sz w:val="20"/>
          <w:szCs w:val="20"/>
        </w:rPr>
      </w:pPr>
    </w:p>
    <w:p w14:paraId="366E2086" w14:textId="1DE2D545" w:rsidR="00692AEE" w:rsidRDefault="00692AEE" w:rsidP="00955671">
      <w:pPr>
        <w:spacing w:before="60" w:after="60"/>
        <w:rPr>
          <w:rFonts w:ascii="Arial" w:hAnsi="Arial" w:cs="Arial"/>
          <w:sz w:val="20"/>
          <w:szCs w:val="20"/>
        </w:rPr>
      </w:pPr>
    </w:p>
    <w:p w14:paraId="221C7B21" w14:textId="0A52177E" w:rsidR="00692AEE" w:rsidRDefault="00692AEE" w:rsidP="00955671">
      <w:pPr>
        <w:spacing w:before="60" w:after="60"/>
        <w:rPr>
          <w:rFonts w:ascii="Arial" w:hAnsi="Arial" w:cs="Arial"/>
          <w:sz w:val="20"/>
          <w:szCs w:val="20"/>
        </w:rPr>
      </w:pPr>
    </w:p>
    <w:p w14:paraId="0A5C04EF" w14:textId="70B164D0" w:rsidR="00692AEE" w:rsidRDefault="00692AEE" w:rsidP="00955671">
      <w:pPr>
        <w:spacing w:before="60" w:after="60"/>
        <w:rPr>
          <w:rFonts w:ascii="Arial" w:hAnsi="Arial" w:cs="Arial"/>
          <w:sz w:val="20"/>
          <w:szCs w:val="20"/>
        </w:rPr>
      </w:pPr>
    </w:p>
    <w:p w14:paraId="607564CA" w14:textId="76747B17" w:rsidR="00692AEE" w:rsidRDefault="00692AEE" w:rsidP="00955671">
      <w:pPr>
        <w:spacing w:before="60" w:after="60"/>
        <w:rPr>
          <w:rFonts w:ascii="Arial" w:hAnsi="Arial" w:cs="Arial"/>
          <w:sz w:val="20"/>
          <w:szCs w:val="20"/>
        </w:rPr>
      </w:pPr>
    </w:p>
    <w:p w14:paraId="6DA32560" w14:textId="77777777" w:rsidR="00692AEE" w:rsidRDefault="00692AEE" w:rsidP="00955671">
      <w:pPr>
        <w:spacing w:before="60" w:after="60"/>
        <w:rPr>
          <w:rFonts w:ascii="Arial" w:hAnsi="Arial" w:cs="Arial"/>
          <w:sz w:val="20"/>
          <w:szCs w:val="20"/>
        </w:rPr>
      </w:pPr>
    </w:p>
    <w:p w14:paraId="26E1DEEB" w14:textId="77777777" w:rsidR="003413D3" w:rsidRPr="007A0003" w:rsidRDefault="003413D3" w:rsidP="00955671">
      <w:pPr>
        <w:spacing w:before="60" w:after="60"/>
        <w:rPr>
          <w:rFonts w:ascii="Arial" w:hAnsi="Arial" w:cs="Arial"/>
          <w:sz w:val="20"/>
          <w:szCs w:val="20"/>
        </w:rPr>
      </w:pPr>
      <w:r w:rsidRPr="007A0003">
        <w:rPr>
          <w:rFonts w:ascii="Arial" w:hAnsi="Arial" w:cs="Arial"/>
          <w:sz w:val="20"/>
          <w:szCs w:val="20"/>
        </w:rPr>
        <w:t>____________</w:t>
      </w:r>
      <w:r w:rsidR="00104C1F" w:rsidRPr="007A0003">
        <w:rPr>
          <w:rFonts w:ascii="Arial" w:hAnsi="Arial" w:cs="Arial"/>
          <w:sz w:val="20"/>
          <w:szCs w:val="20"/>
        </w:rPr>
        <w:t>________</w:t>
      </w:r>
      <w:r w:rsidRPr="007A0003">
        <w:rPr>
          <w:rFonts w:ascii="Arial" w:hAnsi="Arial" w:cs="Arial"/>
          <w:sz w:val="20"/>
          <w:szCs w:val="20"/>
        </w:rPr>
        <w:t>_________</w:t>
      </w:r>
      <w:r w:rsidRPr="007A0003">
        <w:rPr>
          <w:rFonts w:ascii="Arial" w:hAnsi="Arial" w:cs="Arial"/>
          <w:sz w:val="20"/>
          <w:szCs w:val="20"/>
        </w:rPr>
        <w:tab/>
      </w:r>
      <w:r w:rsidRPr="007A0003">
        <w:rPr>
          <w:rFonts w:ascii="Arial" w:hAnsi="Arial" w:cs="Arial"/>
          <w:sz w:val="20"/>
          <w:szCs w:val="20"/>
        </w:rPr>
        <w:tab/>
      </w:r>
      <w:r w:rsidRPr="007A0003">
        <w:rPr>
          <w:rFonts w:ascii="Arial" w:hAnsi="Arial" w:cs="Arial"/>
          <w:sz w:val="20"/>
          <w:szCs w:val="20"/>
        </w:rPr>
        <w:tab/>
      </w:r>
      <w:r w:rsidR="00104C1F" w:rsidRPr="007A0003">
        <w:rPr>
          <w:rFonts w:ascii="Arial" w:hAnsi="Arial" w:cs="Arial"/>
          <w:sz w:val="20"/>
          <w:szCs w:val="20"/>
        </w:rPr>
        <w:t>________</w:t>
      </w:r>
      <w:r w:rsidRPr="007A0003">
        <w:rPr>
          <w:rFonts w:ascii="Arial" w:hAnsi="Arial" w:cs="Arial"/>
          <w:sz w:val="20"/>
          <w:szCs w:val="20"/>
        </w:rPr>
        <w:t>______________________</w:t>
      </w:r>
    </w:p>
    <w:p w14:paraId="4231A1A2" w14:textId="12D2BBB6" w:rsidR="007A0003" w:rsidRPr="00F84DCB" w:rsidRDefault="00F84DCB" w:rsidP="00955671">
      <w:pPr>
        <w:spacing w:before="60" w:after="60"/>
        <w:rPr>
          <w:rFonts w:ascii="Arial" w:hAnsi="Arial" w:cs="Arial"/>
          <w:b/>
          <w:bCs/>
          <w:color w:val="000000"/>
          <w:sz w:val="20"/>
          <w:szCs w:val="20"/>
        </w:rPr>
      </w:pPr>
      <w:r>
        <w:rPr>
          <w:rFonts w:ascii="Arial" w:hAnsi="Arial" w:cs="Arial"/>
          <w:b/>
          <w:bCs/>
          <w:color w:val="000000"/>
          <w:sz w:val="20"/>
          <w:szCs w:val="20"/>
        </w:rPr>
        <w:t>Městská část Praha 3</w:t>
      </w:r>
      <w:r>
        <w:rPr>
          <w:rFonts w:ascii="Arial" w:hAnsi="Arial" w:cs="Arial"/>
          <w:b/>
          <w:bCs/>
          <w:color w:val="000000"/>
          <w:sz w:val="20"/>
          <w:szCs w:val="20"/>
        </w:rPr>
        <w:tab/>
      </w:r>
      <w:r w:rsidR="007A0003" w:rsidRPr="007A0003">
        <w:rPr>
          <w:rFonts w:ascii="Arial" w:hAnsi="Arial" w:cs="Arial"/>
          <w:b/>
          <w:bCs/>
          <w:color w:val="000000"/>
          <w:sz w:val="20"/>
          <w:szCs w:val="20"/>
        </w:rPr>
        <w:tab/>
      </w:r>
      <w:r w:rsidR="007A0003" w:rsidRPr="007A0003">
        <w:rPr>
          <w:rFonts w:ascii="Arial" w:hAnsi="Arial" w:cs="Arial"/>
          <w:b/>
          <w:bCs/>
          <w:color w:val="000000"/>
          <w:sz w:val="20"/>
          <w:szCs w:val="20"/>
        </w:rPr>
        <w:tab/>
      </w:r>
      <w:r w:rsidR="007A0003" w:rsidRPr="007A0003">
        <w:rPr>
          <w:rFonts w:ascii="Arial" w:hAnsi="Arial" w:cs="Arial"/>
          <w:b/>
          <w:bCs/>
          <w:color w:val="000000"/>
          <w:sz w:val="20"/>
          <w:szCs w:val="20"/>
        </w:rPr>
        <w:tab/>
      </w:r>
      <w:r w:rsidR="00DA128E">
        <w:rPr>
          <w:rFonts w:ascii="Arial" w:hAnsi="Arial" w:cs="Arial"/>
          <w:b/>
          <w:bCs/>
          <w:color w:val="000000"/>
          <w:sz w:val="20"/>
          <w:szCs w:val="20"/>
        </w:rPr>
        <w:tab/>
      </w:r>
      <w:r>
        <w:rPr>
          <w:rFonts w:ascii="Arial" w:hAnsi="Arial" w:cs="Arial"/>
          <w:b/>
          <w:bCs/>
          <w:color w:val="000000"/>
          <w:sz w:val="20"/>
          <w:szCs w:val="20"/>
        </w:rPr>
        <w:t>LAWYA, advokátní kancelář s.r.o.</w:t>
      </w:r>
    </w:p>
    <w:p w14:paraId="0512898A" w14:textId="15E96E6B" w:rsidR="003413D3" w:rsidRPr="00F84DCB" w:rsidRDefault="00F84DCB" w:rsidP="00955671">
      <w:pPr>
        <w:spacing w:before="60" w:after="60"/>
        <w:rPr>
          <w:rFonts w:ascii="Arial" w:hAnsi="Arial" w:cs="Arial"/>
          <w:sz w:val="20"/>
          <w:szCs w:val="20"/>
        </w:rPr>
      </w:pPr>
      <w:r w:rsidRPr="00F84DCB">
        <w:rPr>
          <w:rFonts w:ascii="Arial" w:hAnsi="Arial" w:cs="Arial"/>
          <w:color w:val="000000"/>
          <w:sz w:val="20"/>
          <w:szCs w:val="20"/>
        </w:rPr>
        <w:t>Jiří Ptáček</w:t>
      </w:r>
      <w:r w:rsidR="00767519" w:rsidRPr="00F84DCB">
        <w:rPr>
          <w:rFonts w:ascii="Arial" w:hAnsi="Arial" w:cs="Arial"/>
          <w:sz w:val="20"/>
          <w:szCs w:val="20"/>
        </w:rPr>
        <w:tab/>
      </w:r>
      <w:r w:rsidR="00104C1F" w:rsidRPr="00F84DCB">
        <w:rPr>
          <w:rFonts w:ascii="Arial" w:hAnsi="Arial" w:cs="Arial"/>
          <w:sz w:val="20"/>
          <w:szCs w:val="20"/>
        </w:rPr>
        <w:tab/>
      </w:r>
      <w:r w:rsidR="00FE562B" w:rsidRPr="00F84DCB">
        <w:rPr>
          <w:rFonts w:ascii="Arial" w:hAnsi="Arial" w:cs="Arial"/>
          <w:sz w:val="20"/>
          <w:szCs w:val="20"/>
        </w:rPr>
        <w:tab/>
      </w:r>
      <w:r w:rsidR="007A0003" w:rsidRPr="00F84DCB">
        <w:rPr>
          <w:rFonts w:ascii="Arial" w:hAnsi="Arial" w:cs="Arial"/>
          <w:sz w:val="20"/>
          <w:szCs w:val="20"/>
        </w:rPr>
        <w:tab/>
      </w:r>
      <w:r w:rsidR="007A0003" w:rsidRPr="00F84DCB">
        <w:rPr>
          <w:rFonts w:ascii="Arial" w:hAnsi="Arial" w:cs="Arial"/>
          <w:sz w:val="20"/>
          <w:szCs w:val="20"/>
        </w:rPr>
        <w:tab/>
      </w:r>
      <w:r w:rsidR="00DA128E" w:rsidRPr="00F84DCB">
        <w:rPr>
          <w:rFonts w:ascii="Arial" w:hAnsi="Arial" w:cs="Arial"/>
          <w:sz w:val="20"/>
          <w:szCs w:val="20"/>
        </w:rPr>
        <w:tab/>
      </w:r>
      <w:r>
        <w:rPr>
          <w:rFonts w:ascii="Arial" w:hAnsi="Arial" w:cs="Arial"/>
          <w:color w:val="000000"/>
          <w:sz w:val="20"/>
          <w:szCs w:val="20"/>
        </w:rPr>
        <w:t>JUDr. Michal Šilhánek</w:t>
      </w:r>
    </w:p>
    <w:p w14:paraId="333323C3" w14:textId="481DBEE8" w:rsidR="003413D3" w:rsidRPr="00DA128E" w:rsidRDefault="00F84DCB" w:rsidP="00955671">
      <w:pPr>
        <w:spacing w:before="60" w:after="60"/>
        <w:rPr>
          <w:rFonts w:ascii="Arial" w:hAnsi="Arial" w:cs="Arial"/>
          <w:sz w:val="20"/>
          <w:szCs w:val="20"/>
        </w:rPr>
      </w:pPr>
      <w:r>
        <w:rPr>
          <w:rFonts w:ascii="Arial" w:hAnsi="Arial" w:cs="Arial"/>
          <w:color w:val="000000"/>
          <w:sz w:val="20"/>
          <w:szCs w:val="20"/>
        </w:rPr>
        <w:t>Starosta</w:t>
      </w:r>
      <w:r>
        <w:rPr>
          <w:rFonts w:ascii="Arial" w:hAnsi="Arial" w:cs="Arial"/>
          <w:color w:val="000000"/>
          <w:sz w:val="20"/>
          <w:szCs w:val="20"/>
        </w:rPr>
        <w:tab/>
      </w:r>
      <w:r w:rsidR="007A0003" w:rsidRPr="00DA128E">
        <w:rPr>
          <w:rFonts w:ascii="Arial" w:hAnsi="Arial" w:cs="Arial"/>
          <w:sz w:val="20"/>
          <w:szCs w:val="20"/>
        </w:rPr>
        <w:tab/>
      </w:r>
      <w:r w:rsidR="007A0003" w:rsidRPr="00DA128E">
        <w:rPr>
          <w:rFonts w:ascii="Arial" w:hAnsi="Arial" w:cs="Arial"/>
          <w:sz w:val="20"/>
          <w:szCs w:val="20"/>
        </w:rPr>
        <w:tab/>
      </w:r>
      <w:r w:rsidR="00380D2D" w:rsidRPr="00DA128E">
        <w:rPr>
          <w:rFonts w:ascii="Arial" w:hAnsi="Arial" w:cs="Arial"/>
          <w:sz w:val="20"/>
          <w:szCs w:val="20"/>
        </w:rPr>
        <w:tab/>
      </w:r>
      <w:r w:rsidR="003413D3" w:rsidRPr="00DA128E">
        <w:rPr>
          <w:rFonts w:ascii="Arial" w:hAnsi="Arial" w:cs="Arial"/>
          <w:sz w:val="20"/>
          <w:szCs w:val="20"/>
        </w:rPr>
        <w:tab/>
      </w:r>
      <w:r w:rsidR="00DA128E">
        <w:rPr>
          <w:rFonts w:ascii="Arial" w:hAnsi="Arial" w:cs="Arial"/>
          <w:sz w:val="20"/>
          <w:szCs w:val="20"/>
        </w:rPr>
        <w:tab/>
      </w:r>
      <w:r>
        <w:rPr>
          <w:rFonts w:ascii="Arial" w:hAnsi="Arial" w:cs="Arial"/>
          <w:color w:val="000000"/>
          <w:sz w:val="20"/>
          <w:szCs w:val="20"/>
        </w:rPr>
        <w:t>jednatel</w:t>
      </w:r>
    </w:p>
    <w:sectPr w:rsidR="003413D3" w:rsidRPr="00DA128E" w:rsidSect="00B71793">
      <w:headerReference w:type="even" r:id="rId8"/>
      <w:footerReference w:type="default" r:id="rId9"/>
      <w:pgSz w:w="11906" w:h="16838"/>
      <w:pgMar w:top="1191" w:right="1418" w:bottom="1191" w:left="1418" w:header="0"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C4BEA" w16cex:dateUtc="2021-03-17T08: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C3C311D" w16cid:durableId="23FC4BE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B550E" w14:textId="77777777" w:rsidR="00142D2E" w:rsidRDefault="00142D2E">
      <w:pPr>
        <w:spacing w:after="0" w:line="240" w:lineRule="auto"/>
      </w:pPr>
      <w:r>
        <w:separator/>
      </w:r>
    </w:p>
  </w:endnote>
  <w:endnote w:type="continuationSeparator" w:id="0">
    <w:p w14:paraId="69FF3B03" w14:textId="77777777" w:rsidR="00142D2E" w:rsidRDefault="00142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6299345"/>
      <w:docPartObj>
        <w:docPartGallery w:val="Page Numbers (Bottom of Page)"/>
        <w:docPartUnique/>
      </w:docPartObj>
    </w:sdtPr>
    <w:sdtEndPr>
      <w:rPr>
        <w:rFonts w:ascii="Arial" w:hAnsi="Arial" w:cs="Arial"/>
        <w:sz w:val="20"/>
        <w:szCs w:val="20"/>
      </w:rPr>
    </w:sdtEndPr>
    <w:sdtContent>
      <w:p w14:paraId="31FF49DE" w14:textId="3D251615" w:rsidR="00341394" w:rsidRPr="00341394" w:rsidRDefault="00341394">
        <w:pPr>
          <w:pStyle w:val="Zpat"/>
          <w:jc w:val="right"/>
          <w:rPr>
            <w:rFonts w:ascii="Arial" w:hAnsi="Arial" w:cs="Arial"/>
            <w:sz w:val="20"/>
            <w:szCs w:val="20"/>
          </w:rPr>
        </w:pPr>
        <w:r w:rsidRPr="00341394">
          <w:rPr>
            <w:rFonts w:ascii="Arial" w:hAnsi="Arial" w:cs="Arial"/>
            <w:sz w:val="20"/>
            <w:szCs w:val="20"/>
          </w:rPr>
          <w:fldChar w:fldCharType="begin"/>
        </w:r>
        <w:r w:rsidRPr="00341394">
          <w:rPr>
            <w:rFonts w:ascii="Arial" w:hAnsi="Arial" w:cs="Arial"/>
            <w:sz w:val="20"/>
            <w:szCs w:val="20"/>
          </w:rPr>
          <w:instrText>PAGE   \* MERGEFORMAT</w:instrText>
        </w:r>
        <w:r w:rsidRPr="00341394">
          <w:rPr>
            <w:rFonts w:ascii="Arial" w:hAnsi="Arial" w:cs="Arial"/>
            <w:sz w:val="20"/>
            <w:szCs w:val="20"/>
          </w:rPr>
          <w:fldChar w:fldCharType="separate"/>
        </w:r>
        <w:r w:rsidR="00EF3383">
          <w:rPr>
            <w:rFonts w:ascii="Arial" w:hAnsi="Arial" w:cs="Arial"/>
            <w:noProof/>
            <w:sz w:val="20"/>
            <w:szCs w:val="20"/>
          </w:rPr>
          <w:t>6</w:t>
        </w:r>
        <w:r w:rsidRPr="00341394">
          <w:rPr>
            <w:rFonts w:ascii="Arial" w:hAnsi="Arial" w:cs="Arial"/>
            <w:sz w:val="20"/>
            <w:szCs w:val="20"/>
          </w:rPr>
          <w:fldChar w:fldCharType="end"/>
        </w:r>
      </w:p>
    </w:sdtContent>
  </w:sdt>
  <w:p w14:paraId="29C19C99" w14:textId="77777777" w:rsidR="00441C12" w:rsidRPr="00643C67" w:rsidRDefault="00EF3383" w:rsidP="000A750C">
    <w:pPr>
      <w:pStyle w:val="Zpat"/>
      <w:spacing w:after="100"/>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FC542" w14:textId="77777777" w:rsidR="00142D2E" w:rsidRDefault="00142D2E">
      <w:pPr>
        <w:spacing w:after="0" w:line="240" w:lineRule="auto"/>
      </w:pPr>
      <w:r>
        <w:separator/>
      </w:r>
    </w:p>
  </w:footnote>
  <w:footnote w:type="continuationSeparator" w:id="0">
    <w:p w14:paraId="7196F4F0" w14:textId="77777777" w:rsidR="00142D2E" w:rsidRDefault="00142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94C27" w14:textId="77777777" w:rsidR="002A6335" w:rsidRDefault="003413D3">
    <w:r>
      <w:c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10124"/>
    <w:multiLevelType w:val="multilevel"/>
    <w:tmpl w:val="04C44BA4"/>
    <w:lvl w:ilvl="0">
      <w:start w:val="1"/>
      <w:numFmt w:val="upperRoman"/>
      <w:lvlText w:val="%1."/>
      <w:lvlJc w:val="left"/>
      <w:pPr>
        <w:ind w:left="5747" w:hanging="360"/>
      </w:pPr>
      <w:rPr>
        <w:rFonts w:ascii="Arial" w:hAnsi="Arial" w:cs="Arial" w:hint="default"/>
        <w:b/>
        <w:color w:val="000000" w:themeColor="text1"/>
        <w:sz w:val="20"/>
        <w:szCs w:val="20"/>
      </w:rPr>
    </w:lvl>
    <w:lvl w:ilvl="1">
      <w:start w:val="1"/>
      <w:numFmt w:val="lowerLetter"/>
      <w:lvlText w:val="%2)"/>
      <w:lvlJc w:val="left"/>
      <w:pPr>
        <w:ind w:left="567"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633604C"/>
    <w:multiLevelType w:val="multilevel"/>
    <w:tmpl w:val="FB26995C"/>
    <w:lvl w:ilvl="0">
      <w:start w:val="1"/>
      <w:numFmt w:val="upperRoman"/>
      <w:lvlText w:val="%1."/>
      <w:lvlJc w:val="left"/>
      <w:pPr>
        <w:ind w:left="5747" w:hanging="360"/>
      </w:pPr>
      <w:rPr>
        <w:rFonts w:ascii="Arial" w:hAnsi="Arial" w:cs="Arial" w:hint="default"/>
        <w:b/>
        <w:color w:val="000000" w:themeColor="text1"/>
        <w:sz w:val="20"/>
        <w:szCs w:val="20"/>
      </w:rPr>
    </w:lvl>
    <w:lvl w:ilvl="1">
      <w:start w:val="1"/>
      <w:numFmt w:val="decimal"/>
      <w:isLgl/>
      <w:lvlText w:val="%1.%2."/>
      <w:lvlJc w:val="left"/>
      <w:pPr>
        <w:ind w:left="567"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8D302F4"/>
    <w:multiLevelType w:val="multilevel"/>
    <w:tmpl w:val="04C44BA4"/>
    <w:lvl w:ilvl="0">
      <w:start w:val="1"/>
      <w:numFmt w:val="upperRoman"/>
      <w:lvlText w:val="%1."/>
      <w:lvlJc w:val="left"/>
      <w:pPr>
        <w:ind w:left="5747" w:hanging="360"/>
      </w:pPr>
      <w:rPr>
        <w:rFonts w:ascii="Arial" w:hAnsi="Arial" w:cs="Arial" w:hint="default"/>
        <w:b/>
        <w:color w:val="000000" w:themeColor="text1"/>
        <w:sz w:val="20"/>
        <w:szCs w:val="20"/>
      </w:rPr>
    </w:lvl>
    <w:lvl w:ilvl="1">
      <w:start w:val="1"/>
      <w:numFmt w:val="lowerLetter"/>
      <w:lvlText w:val="%2)"/>
      <w:lvlJc w:val="left"/>
      <w:pPr>
        <w:ind w:left="567"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F0D4F06"/>
    <w:multiLevelType w:val="multilevel"/>
    <w:tmpl w:val="C0ECACF0"/>
    <w:lvl w:ilvl="0">
      <w:start w:val="1"/>
      <w:numFmt w:val="upperRoman"/>
      <w:lvlText w:val="%1."/>
      <w:lvlJc w:val="left"/>
      <w:pPr>
        <w:ind w:left="5747" w:hanging="360"/>
      </w:pPr>
      <w:rPr>
        <w:rFonts w:ascii="Arial" w:hAnsi="Arial" w:cs="Arial" w:hint="default"/>
        <w:b/>
        <w:color w:val="000000" w:themeColor="text1"/>
        <w:sz w:val="20"/>
        <w:szCs w:val="20"/>
      </w:rPr>
    </w:lvl>
    <w:lvl w:ilvl="1">
      <w:start w:val="1"/>
      <w:numFmt w:val="decimal"/>
      <w:isLgl/>
      <w:lvlText w:val="%1.%2."/>
      <w:lvlJc w:val="left"/>
      <w:pPr>
        <w:ind w:left="567"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33D6718"/>
    <w:multiLevelType w:val="multilevel"/>
    <w:tmpl w:val="8FE26294"/>
    <w:lvl w:ilvl="0">
      <w:start w:val="1"/>
      <w:numFmt w:val="upperRoman"/>
      <w:lvlText w:val="%1."/>
      <w:lvlJc w:val="left"/>
      <w:pPr>
        <w:ind w:left="5747" w:hanging="360"/>
      </w:pPr>
      <w:rPr>
        <w:rFonts w:ascii="Arial" w:hAnsi="Arial" w:cs="Arial" w:hint="default"/>
        <w:b/>
        <w:color w:val="000000" w:themeColor="text1"/>
        <w:sz w:val="20"/>
        <w:szCs w:val="20"/>
      </w:rPr>
    </w:lvl>
    <w:lvl w:ilvl="1">
      <w:start w:val="1"/>
      <w:numFmt w:val="decimal"/>
      <w:isLgl/>
      <w:lvlText w:val="%1.%2."/>
      <w:lvlJc w:val="left"/>
      <w:pPr>
        <w:ind w:left="567"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92D73C9"/>
    <w:multiLevelType w:val="multilevel"/>
    <w:tmpl w:val="6B6ECA16"/>
    <w:lvl w:ilvl="0">
      <w:start w:val="1"/>
      <w:numFmt w:val="upperRoman"/>
      <w:lvlText w:val="%1."/>
      <w:lvlJc w:val="left"/>
      <w:pPr>
        <w:ind w:left="5747" w:hanging="360"/>
      </w:pPr>
      <w:rPr>
        <w:rFonts w:ascii="Arial" w:hAnsi="Arial" w:cs="Arial" w:hint="default"/>
        <w:b/>
        <w:color w:val="000000" w:themeColor="text1"/>
        <w:sz w:val="20"/>
        <w:szCs w:val="20"/>
      </w:rPr>
    </w:lvl>
    <w:lvl w:ilvl="1">
      <w:start w:val="1"/>
      <w:numFmt w:val="decimal"/>
      <w:isLgl/>
      <w:lvlText w:val="%1.%2."/>
      <w:lvlJc w:val="left"/>
      <w:pPr>
        <w:ind w:left="567"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lvlOverride w:ilvl="0">
      <w:lvl w:ilvl="0">
        <w:start w:val="1"/>
        <w:numFmt w:val="upperRoman"/>
        <w:lvlText w:val="%1."/>
        <w:lvlJc w:val="left"/>
        <w:pPr>
          <w:ind w:left="360" w:hanging="360"/>
        </w:pPr>
        <w:rPr>
          <w:rFonts w:ascii="Arial" w:hAnsi="Arial" w:cs="Arial" w:hint="default"/>
          <w:b/>
          <w:color w:val="000000" w:themeColor="text1"/>
          <w:sz w:val="20"/>
          <w:szCs w:val="20"/>
        </w:rPr>
      </w:lvl>
    </w:lvlOverride>
    <w:lvlOverride w:ilvl="1">
      <w:lvl w:ilvl="1">
        <w:start w:val="1"/>
        <w:numFmt w:val="decimal"/>
        <w:isLgl/>
        <w:lvlText w:val="%1.%2."/>
        <w:lvlJc w:val="left"/>
        <w:pPr>
          <w:ind w:left="567"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isLgl/>
        <w:lvlText w:val="%1.%2.%3."/>
        <w:lvlJc w:val="left"/>
        <w:pPr>
          <w:ind w:left="567" w:hanging="567"/>
        </w:pPr>
        <w:rPr>
          <w:rFonts w:hint="default"/>
        </w:rPr>
      </w:lvl>
    </w:lvlOverride>
    <w:lvlOverride w:ilvl="3">
      <w:lvl w:ilvl="3">
        <w:start w:val="1"/>
        <w:numFmt w:val="lowerLetter"/>
        <w:lvlText w:val="%4)"/>
        <w:lvlJc w:val="left"/>
        <w:pPr>
          <w:ind w:left="851" w:hanging="284"/>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abstractNumId w:val="1"/>
  </w:num>
  <w:num w:numId="4">
    <w:abstractNumId w:val="3"/>
  </w:num>
  <w:num w:numId="5">
    <w:abstractNumId w:val="2"/>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 w:ilvl="0">
        <w:start w:val="1"/>
        <w:numFmt w:val="decimal"/>
        <w:lvlText w:val="%1."/>
        <w:lvlJc w:val="left"/>
        <w:pPr>
          <w:ind w:left="360" w:hanging="360"/>
        </w:pPr>
        <w:rPr>
          <w:rFonts w:ascii="Arial" w:hAnsi="Arial" w:cs="Arial" w:hint="default"/>
          <w:b/>
          <w:color w:val="000000" w:themeColor="text1"/>
          <w:sz w:val="20"/>
          <w:szCs w:val="20"/>
        </w:rPr>
      </w:lvl>
    </w:lvlOverride>
    <w:lvlOverride w:ilvl="1">
      <w:lvl w:ilvl="1">
        <w:start w:val="1"/>
        <w:numFmt w:val="decimal"/>
        <w:isLgl/>
        <w:lvlText w:val="%1.%2."/>
        <w:lvlJc w:val="left"/>
        <w:pPr>
          <w:ind w:left="567" w:hanging="567"/>
        </w:pPr>
        <w:rPr>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isLgl/>
        <w:lvlText w:val="%1.%2.%3."/>
        <w:lvlJc w:val="left"/>
        <w:pPr>
          <w:ind w:left="567" w:hanging="567"/>
        </w:pPr>
      </w:lvl>
    </w:lvlOverride>
    <w:lvlOverride w:ilvl="3">
      <w:lvl w:ilvl="3">
        <w:start w:val="1"/>
        <w:numFmt w:val="lowerLetter"/>
        <w:lvlText w:val="%4)"/>
        <w:lvlJc w:val="left"/>
        <w:pPr>
          <w:ind w:left="851" w:hanging="284"/>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D2E"/>
    <w:rsid w:val="000118E6"/>
    <w:rsid w:val="00037B72"/>
    <w:rsid w:val="00045A2E"/>
    <w:rsid w:val="00072CCF"/>
    <w:rsid w:val="00083374"/>
    <w:rsid w:val="000B7FB4"/>
    <w:rsid w:val="000B7FD0"/>
    <w:rsid w:val="000E1974"/>
    <w:rsid w:val="000E6E28"/>
    <w:rsid w:val="00104C1F"/>
    <w:rsid w:val="00122329"/>
    <w:rsid w:val="001234A7"/>
    <w:rsid w:val="00124797"/>
    <w:rsid w:val="00142D2E"/>
    <w:rsid w:val="00153841"/>
    <w:rsid w:val="0015431F"/>
    <w:rsid w:val="001960CD"/>
    <w:rsid w:val="001D2943"/>
    <w:rsid w:val="002B467C"/>
    <w:rsid w:val="002B60B3"/>
    <w:rsid w:val="002D72F6"/>
    <w:rsid w:val="002E535D"/>
    <w:rsid w:val="00311EF8"/>
    <w:rsid w:val="00317724"/>
    <w:rsid w:val="00341394"/>
    <w:rsid w:val="003413D3"/>
    <w:rsid w:val="0034752D"/>
    <w:rsid w:val="00352193"/>
    <w:rsid w:val="00380D2D"/>
    <w:rsid w:val="0038292B"/>
    <w:rsid w:val="00382CDC"/>
    <w:rsid w:val="00384CDB"/>
    <w:rsid w:val="003960CD"/>
    <w:rsid w:val="003E234E"/>
    <w:rsid w:val="003E42BC"/>
    <w:rsid w:val="003E6D2E"/>
    <w:rsid w:val="003F3002"/>
    <w:rsid w:val="003F3337"/>
    <w:rsid w:val="00412B89"/>
    <w:rsid w:val="00443457"/>
    <w:rsid w:val="0045305B"/>
    <w:rsid w:val="00493076"/>
    <w:rsid w:val="004A3E92"/>
    <w:rsid w:val="004A7B2D"/>
    <w:rsid w:val="004B372B"/>
    <w:rsid w:val="004B5E8D"/>
    <w:rsid w:val="004C26D9"/>
    <w:rsid w:val="004C7757"/>
    <w:rsid w:val="004D6DD9"/>
    <w:rsid w:val="004F0446"/>
    <w:rsid w:val="00504D95"/>
    <w:rsid w:val="0051359F"/>
    <w:rsid w:val="005223FD"/>
    <w:rsid w:val="00555259"/>
    <w:rsid w:val="005A654F"/>
    <w:rsid w:val="005C1C09"/>
    <w:rsid w:val="005D7E3E"/>
    <w:rsid w:val="005F332C"/>
    <w:rsid w:val="005F7110"/>
    <w:rsid w:val="00603A70"/>
    <w:rsid w:val="00606142"/>
    <w:rsid w:val="00607C0E"/>
    <w:rsid w:val="006710B1"/>
    <w:rsid w:val="00673714"/>
    <w:rsid w:val="00692AEE"/>
    <w:rsid w:val="006C60DF"/>
    <w:rsid w:val="006D2AAF"/>
    <w:rsid w:val="006F18F3"/>
    <w:rsid w:val="00701AFA"/>
    <w:rsid w:val="007260BA"/>
    <w:rsid w:val="00743429"/>
    <w:rsid w:val="00745FEF"/>
    <w:rsid w:val="0074666F"/>
    <w:rsid w:val="00753616"/>
    <w:rsid w:val="00753626"/>
    <w:rsid w:val="0075544E"/>
    <w:rsid w:val="00767519"/>
    <w:rsid w:val="00770B3F"/>
    <w:rsid w:val="00776BFE"/>
    <w:rsid w:val="007A0003"/>
    <w:rsid w:val="007C3C40"/>
    <w:rsid w:val="007D379A"/>
    <w:rsid w:val="007F03F4"/>
    <w:rsid w:val="007F66C0"/>
    <w:rsid w:val="00871DA0"/>
    <w:rsid w:val="0089433D"/>
    <w:rsid w:val="008C1F2E"/>
    <w:rsid w:val="008C5186"/>
    <w:rsid w:val="00900C74"/>
    <w:rsid w:val="0091452B"/>
    <w:rsid w:val="00944378"/>
    <w:rsid w:val="00951021"/>
    <w:rsid w:val="00952137"/>
    <w:rsid w:val="00955671"/>
    <w:rsid w:val="00961672"/>
    <w:rsid w:val="00964368"/>
    <w:rsid w:val="009654C4"/>
    <w:rsid w:val="00976108"/>
    <w:rsid w:val="00980512"/>
    <w:rsid w:val="009B5B61"/>
    <w:rsid w:val="009C5F3A"/>
    <w:rsid w:val="009D2577"/>
    <w:rsid w:val="00A73056"/>
    <w:rsid w:val="00A81058"/>
    <w:rsid w:val="00A82ECB"/>
    <w:rsid w:val="00A903B3"/>
    <w:rsid w:val="00A91549"/>
    <w:rsid w:val="00AA0C80"/>
    <w:rsid w:val="00AC6B43"/>
    <w:rsid w:val="00B36C25"/>
    <w:rsid w:val="00B57164"/>
    <w:rsid w:val="00B71793"/>
    <w:rsid w:val="00BA278E"/>
    <w:rsid w:val="00BC5A18"/>
    <w:rsid w:val="00BD36D8"/>
    <w:rsid w:val="00C23DA8"/>
    <w:rsid w:val="00C455CC"/>
    <w:rsid w:val="00C55EBF"/>
    <w:rsid w:val="00C92274"/>
    <w:rsid w:val="00CB31AE"/>
    <w:rsid w:val="00CD5384"/>
    <w:rsid w:val="00D06A54"/>
    <w:rsid w:val="00D240C8"/>
    <w:rsid w:val="00D50840"/>
    <w:rsid w:val="00D63769"/>
    <w:rsid w:val="00D84876"/>
    <w:rsid w:val="00D9709D"/>
    <w:rsid w:val="00DA128E"/>
    <w:rsid w:val="00DA3E46"/>
    <w:rsid w:val="00DB6C50"/>
    <w:rsid w:val="00DE3871"/>
    <w:rsid w:val="00E32A3A"/>
    <w:rsid w:val="00E62B27"/>
    <w:rsid w:val="00E6498B"/>
    <w:rsid w:val="00E70FAC"/>
    <w:rsid w:val="00ED09FA"/>
    <w:rsid w:val="00EE68C3"/>
    <w:rsid w:val="00EF3383"/>
    <w:rsid w:val="00F052C0"/>
    <w:rsid w:val="00F2181D"/>
    <w:rsid w:val="00F36679"/>
    <w:rsid w:val="00F37CD3"/>
    <w:rsid w:val="00F62B03"/>
    <w:rsid w:val="00F84DCB"/>
    <w:rsid w:val="00F93460"/>
    <w:rsid w:val="00FE56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84ACCE"/>
  <w15:chartTrackingRefBased/>
  <w15:docId w15:val="{336E1442-A424-4FB4-932C-5F0606C6E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413D3"/>
    <w:pPr>
      <w:spacing w:after="200" w:line="276" w:lineRule="auto"/>
    </w:pPr>
  </w:style>
  <w:style w:type="paragraph" w:styleId="Nadpis1">
    <w:name w:val="heading 1"/>
    <w:basedOn w:val="Normln"/>
    <w:next w:val="Normln"/>
    <w:link w:val="Nadpis1Char"/>
    <w:uiPriority w:val="9"/>
    <w:qFormat/>
    <w:rsid w:val="003413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413D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413D3"/>
  </w:style>
  <w:style w:type="paragraph" w:styleId="Zpat">
    <w:name w:val="footer"/>
    <w:basedOn w:val="Normln"/>
    <w:link w:val="ZpatChar"/>
    <w:uiPriority w:val="99"/>
    <w:unhideWhenUsed/>
    <w:rsid w:val="003413D3"/>
    <w:pPr>
      <w:tabs>
        <w:tab w:val="center" w:pos="4536"/>
        <w:tab w:val="right" w:pos="9072"/>
      </w:tabs>
      <w:spacing w:after="0" w:line="240" w:lineRule="auto"/>
    </w:pPr>
  </w:style>
  <w:style w:type="character" w:customStyle="1" w:styleId="ZpatChar">
    <w:name w:val="Zápatí Char"/>
    <w:basedOn w:val="Standardnpsmoodstavce"/>
    <w:link w:val="Zpat"/>
    <w:uiPriority w:val="99"/>
    <w:rsid w:val="003413D3"/>
  </w:style>
  <w:style w:type="character" w:styleId="Hypertextovodkaz">
    <w:name w:val="Hyperlink"/>
    <w:basedOn w:val="Standardnpsmoodstavce"/>
    <w:uiPriority w:val="99"/>
    <w:unhideWhenUsed/>
    <w:rsid w:val="003413D3"/>
    <w:rPr>
      <w:color w:val="0563C1" w:themeColor="hyperlink"/>
      <w:u w:val="single"/>
    </w:rPr>
  </w:style>
  <w:style w:type="table" w:styleId="Mkatabulky">
    <w:name w:val="Table Grid"/>
    <w:basedOn w:val="Normlntabulka"/>
    <w:uiPriority w:val="59"/>
    <w:rsid w:val="00341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ve1">
    <w:name w:val="Úroveň 1"/>
    <w:basedOn w:val="Odstavecseseznamem"/>
    <w:link w:val="rove1Char"/>
    <w:qFormat/>
    <w:rsid w:val="003413D3"/>
    <w:pPr>
      <w:spacing w:before="60" w:after="60"/>
      <w:ind w:left="567" w:hanging="567"/>
      <w:contextualSpacing w:val="0"/>
      <w:jc w:val="both"/>
    </w:pPr>
    <w:rPr>
      <w:rFonts w:ascii="Arial" w:hAnsi="Arial" w:cs="Arial"/>
      <w:sz w:val="20"/>
      <w:szCs w:val="20"/>
    </w:rPr>
  </w:style>
  <w:style w:type="paragraph" w:customStyle="1" w:styleId="rove2">
    <w:name w:val="Úroveň 2"/>
    <w:basedOn w:val="rove1"/>
    <w:link w:val="rove2Char"/>
    <w:qFormat/>
    <w:rsid w:val="003413D3"/>
  </w:style>
  <w:style w:type="character" w:customStyle="1" w:styleId="rove1Char">
    <w:name w:val="Úroveň 1 Char"/>
    <w:basedOn w:val="Standardnpsmoodstavce"/>
    <w:link w:val="rove1"/>
    <w:rsid w:val="003413D3"/>
    <w:rPr>
      <w:rFonts w:ascii="Arial" w:hAnsi="Arial" w:cs="Arial"/>
      <w:sz w:val="20"/>
      <w:szCs w:val="20"/>
    </w:rPr>
  </w:style>
  <w:style w:type="paragraph" w:customStyle="1" w:styleId="rove3">
    <w:name w:val="Úroveň 3"/>
    <w:basedOn w:val="rove2"/>
    <w:link w:val="rove3Char"/>
    <w:qFormat/>
    <w:rsid w:val="003413D3"/>
    <w:pPr>
      <w:ind w:left="851" w:hanging="284"/>
    </w:pPr>
  </w:style>
  <w:style w:type="character" w:customStyle="1" w:styleId="rove2Char">
    <w:name w:val="Úroveň 2 Char"/>
    <w:basedOn w:val="rove1Char"/>
    <w:link w:val="rove2"/>
    <w:rsid w:val="003413D3"/>
    <w:rPr>
      <w:rFonts w:ascii="Arial" w:hAnsi="Arial" w:cs="Arial"/>
      <w:sz w:val="20"/>
      <w:szCs w:val="20"/>
    </w:rPr>
  </w:style>
  <w:style w:type="character" w:customStyle="1" w:styleId="rove3Char">
    <w:name w:val="Úroveň 3 Char"/>
    <w:basedOn w:val="rove2Char"/>
    <w:link w:val="rove3"/>
    <w:rsid w:val="003413D3"/>
    <w:rPr>
      <w:rFonts w:ascii="Arial" w:hAnsi="Arial" w:cs="Arial"/>
      <w:sz w:val="20"/>
      <w:szCs w:val="20"/>
    </w:rPr>
  </w:style>
  <w:style w:type="paragraph" w:styleId="Nzev">
    <w:name w:val="Title"/>
    <w:basedOn w:val="Nadpis1"/>
    <w:next w:val="Normln"/>
    <w:link w:val="NzevChar"/>
    <w:uiPriority w:val="10"/>
    <w:qFormat/>
    <w:rsid w:val="003413D3"/>
    <w:pPr>
      <w:keepLines w:val="0"/>
      <w:spacing w:before="0" w:after="120"/>
      <w:ind w:left="357" w:hanging="357"/>
      <w:contextualSpacing/>
      <w:jc w:val="center"/>
    </w:pPr>
    <w:rPr>
      <w:rFonts w:ascii="Arial" w:eastAsiaTheme="minorHAnsi" w:hAnsi="Arial" w:cs="Arial"/>
      <w:b/>
      <w:color w:val="auto"/>
      <w:sz w:val="20"/>
      <w:szCs w:val="20"/>
    </w:rPr>
  </w:style>
  <w:style w:type="character" w:customStyle="1" w:styleId="NzevChar">
    <w:name w:val="Název Char"/>
    <w:basedOn w:val="Standardnpsmoodstavce"/>
    <w:link w:val="Nzev"/>
    <w:uiPriority w:val="10"/>
    <w:rsid w:val="003413D3"/>
    <w:rPr>
      <w:rFonts w:ascii="Arial" w:hAnsi="Arial" w:cs="Arial"/>
      <w:b/>
      <w:sz w:val="20"/>
      <w:szCs w:val="20"/>
    </w:rPr>
  </w:style>
  <w:style w:type="paragraph" w:styleId="Odstavecseseznamem">
    <w:name w:val="List Paragraph"/>
    <w:basedOn w:val="Normln"/>
    <w:uiPriority w:val="34"/>
    <w:qFormat/>
    <w:rsid w:val="003413D3"/>
    <w:pPr>
      <w:ind w:left="720"/>
      <w:contextualSpacing/>
    </w:pPr>
  </w:style>
  <w:style w:type="character" w:customStyle="1" w:styleId="Nadpis1Char">
    <w:name w:val="Nadpis 1 Char"/>
    <w:basedOn w:val="Standardnpsmoodstavce"/>
    <w:link w:val="Nadpis1"/>
    <w:uiPriority w:val="9"/>
    <w:rsid w:val="003413D3"/>
    <w:rPr>
      <w:rFonts w:asciiTheme="majorHAnsi" w:eastAsiaTheme="majorEastAsia" w:hAnsiTheme="majorHAnsi" w:cstheme="majorBidi"/>
      <w:color w:val="2E74B5" w:themeColor="accent1" w:themeShade="BF"/>
      <w:sz w:val="32"/>
      <w:szCs w:val="32"/>
    </w:rPr>
  </w:style>
  <w:style w:type="character" w:customStyle="1" w:styleId="Normln1">
    <w:name w:val="Normální1"/>
    <w:basedOn w:val="Standardnpsmoodstavce"/>
    <w:uiPriority w:val="1"/>
    <w:rsid w:val="00FE562B"/>
    <w:rPr>
      <w:rFonts w:ascii="Tahoma" w:hAnsi="Tahoma"/>
      <w:sz w:val="20"/>
    </w:rPr>
  </w:style>
  <w:style w:type="paragraph" w:styleId="Textbubliny">
    <w:name w:val="Balloon Text"/>
    <w:basedOn w:val="Normln"/>
    <w:link w:val="TextbublinyChar"/>
    <w:uiPriority w:val="99"/>
    <w:semiHidden/>
    <w:unhideWhenUsed/>
    <w:rsid w:val="00F9346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93460"/>
    <w:rPr>
      <w:rFonts w:ascii="Segoe UI" w:hAnsi="Segoe UI" w:cs="Segoe UI"/>
      <w:sz w:val="18"/>
      <w:szCs w:val="18"/>
    </w:rPr>
  </w:style>
  <w:style w:type="character" w:styleId="Odkaznakoment">
    <w:name w:val="annotation reference"/>
    <w:basedOn w:val="Standardnpsmoodstavce"/>
    <w:uiPriority w:val="99"/>
    <w:semiHidden/>
    <w:unhideWhenUsed/>
    <w:rsid w:val="00D06A54"/>
    <w:rPr>
      <w:sz w:val="16"/>
      <w:szCs w:val="16"/>
    </w:rPr>
  </w:style>
  <w:style w:type="paragraph" w:styleId="Textkomente">
    <w:name w:val="annotation text"/>
    <w:basedOn w:val="Normln"/>
    <w:link w:val="TextkomenteChar"/>
    <w:uiPriority w:val="99"/>
    <w:semiHidden/>
    <w:unhideWhenUsed/>
    <w:rsid w:val="00D06A54"/>
    <w:pPr>
      <w:spacing w:line="240" w:lineRule="auto"/>
    </w:pPr>
    <w:rPr>
      <w:sz w:val="20"/>
      <w:szCs w:val="20"/>
    </w:rPr>
  </w:style>
  <w:style w:type="character" w:customStyle="1" w:styleId="TextkomenteChar">
    <w:name w:val="Text komentáře Char"/>
    <w:basedOn w:val="Standardnpsmoodstavce"/>
    <w:link w:val="Textkomente"/>
    <w:uiPriority w:val="99"/>
    <w:semiHidden/>
    <w:rsid w:val="00D06A54"/>
    <w:rPr>
      <w:sz w:val="20"/>
      <w:szCs w:val="20"/>
    </w:rPr>
  </w:style>
  <w:style w:type="paragraph" w:styleId="Pedmtkomente">
    <w:name w:val="annotation subject"/>
    <w:basedOn w:val="Textkomente"/>
    <w:next w:val="Textkomente"/>
    <w:link w:val="PedmtkomenteChar"/>
    <w:uiPriority w:val="99"/>
    <w:semiHidden/>
    <w:unhideWhenUsed/>
    <w:rsid w:val="00D06A54"/>
    <w:rPr>
      <w:b/>
      <w:bCs/>
    </w:rPr>
  </w:style>
  <w:style w:type="character" w:customStyle="1" w:styleId="PedmtkomenteChar">
    <w:name w:val="Předmět komentáře Char"/>
    <w:basedOn w:val="TextkomenteChar"/>
    <w:link w:val="Pedmtkomente"/>
    <w:uiPriority w:val="99"/>
    <w:semiHidden/>
    <w:rsid w:val="00D06A54"/>
    <w:rPr>
      <w:b/>
      <w:bCs/>
      <w:sz w:val="20"/>
      <w:szCs w:val="20"/>
    </w:rPr>
  </w:style>
  <w:style w:type="character" w:styleId="Siln">
    <w:name w:val="Strong"/>
    <w:basedOn w:val="Standardnpsmoodstavce"/>
    <w:uiPriority w:val="22"/>
    <w:qFormat/>
    <w:rsid w:val="007F03F4"/>
    <w:rPr>
      <w:b/>
      <w:bCs/>
    </w:rPr>
  </w:style>
  <w:style w:type="character" w:customStyle="1" w:styleId="UnresolvedMention">
    <w:name w:val="Unresolved Mention"/>
    <w:basedOn w:val="Standardnpsmoodstavce"/>
    <w:uiPriority w:val="99"/>
    <w:semiHidden/>
    <w:unhideWhenUsed/>
    <w:rsid w:val="00767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337886">
      <w:bodyDiv w:val="1"/>
      <w:marLeft w:val="0"/>
      <w:marRight w:val="0"/>
      <w:marTop w:val="0"/>
      <w:marBottom w:val="0"/>
      <w:divBdr>
        <w:top w:val="none" w:sz="0" w:space="0" w:color="auto"/>
        <w:left w:val="none" w:sz="0" w:space="0" w:color="auto"/>
        <w:bottom w:val="none" w:sz="0" w:space="0" w:color="auto"/>
        <w:right w:val="none" w:sz="0" w:space="0" w:color="auto"/>
      </w:divBdr>
    </w:div>
    <w:div w:id="485513842">
      <w:bodyDiv w:val="1"/>
      <w:marLeft w:val="0"/>
      <w:marRight w:val="0"/>
      <w:marTop w:val="0"/>
      <w:marBottom w:val="0"/>
      <w:divBdr>
        <w:top w:val="none" w:sz="0" w:space="0" w:color="auto"/>
        <w:left w:val="none" w:sz="0" w:space="0" w:color="auto"/>
        <w:bottom w:val="none" w:sz="0" w:space="0" w:color="auto"/>
        <w:right w:val="none" w:sz="0" w:space="0" w:color="auto"/>
      </w:divBdr>
    </w:div>
    <w:div w:id="617755495">
      <w:bodyDiv w:val="1"/>
      <w:marLeft w:val="0"/>
      <w:marRight w:val="0"/>
      <w:marTop w:val="0"/>
      <w:marBottom w:val="0"/>
      <w:divBdr>
        <w:top w:val="none" w:sz="0" w:space="0" w:color="auto"/>
        <w:left w:val="none" w:sz="0" w:space="0" w:color="auto"/>
        <w:bottom w:val="none" w:sz="0" w:space="0" w:color="auto"/>
        <w:right w:val="none" w:sz="0" w:space="0" w:color="auto"/>
      </w:divBdr>
    </w:div>
    <w:div w:id="692658444">
      <w:bodyDiv w:val="1"/>
      <w:marLeft w:val="0"/>
      <w:marRight w:val="0"/>
      <w:marTop w:val="0"/>
      <w:marBottom w:val="0"/>
      <w:divBdr>
        <w:top w:val="none" w:sz="0" w:space="0" w:color="auto"/>
        <w:left w:val="none" w:sz="0" w:space="0" w:color="auto"/>
        <w:bottom w:val="none" w:sz="0" w:space="0" w:color="auto"/>
        <w:right w:val="none" w:sz="0" w:space="0" w:color="auto"/>
      </w:divBdr>
    </w:div>
    <w:div w:id="851917657">
      <w:bodyDiv w:val="1"/>
      <w:marLeft w:val="0"/>
      <w:marRight w:val="0"/>
      <w:marTop w:val="0"/>
      <w:marBottom w:val="0"/>
      <w:divBdr>
        <w:top w:val="none" w:sz="0" w:space="0" w:color="auto"/>
        <w:left w:val="none" w:sz="0" w:space="0" w:color="auto"/>
        <w:bottom w:val="none" w:sz="0" w:space="0" w:color="auto"/>
        <w:right w:val="none" w:sz="0" w:space="0" w:color="auto"/>
      </w:divBdr>
    </w:div>
    <w:div w:id="929125509">
      <w:bodyDiv w:val="1"/>
      <w:marLeft w:val="0"/>
      <w:marRight w:val="0"/>
      <w:marTop w:val="0"/>
      <w:marBottom w:val="0"/>
      <w:divBdr>
        <w:top w:val="none" w:sz="0" w:space="0" w:color="auto"/>
        <w:left w:val="none" w:sz="0" w:space="0" w:color="auto"/>
        <w:bottom w:val="none" w:sz="0" w:space="0" w:color="auto"/>
        <w:right w:val="none" w:sz="0" w:space="0" w:color="auto"/>
      </w:divBdr>
    </w:div>
    <w:div w:id="1179736865">
      <w:bodyDiv w:val="1"/>
      <w:marLeft w:val="0"/>
      <w:marRight w:val="0"/>
      <w:marTop w:val="0"/>
      <w:marBottom w:val="0"/>
      <w:divBdr>
        <w:top w:val="none" w:sz="0" w:space="0" w:color="auto"/>
        <w:left w:val="none" w:sz="0" w:space="0" w:color="auto"/>
        <w:bottom w:val="none" w:sz="0" w:space="0" w:color="auto"/>
        <w:right w:val="none" w:sz="0" w:space="0" w:color="auto"/>
      </w:divBdr>
    </w:div>
    <w:div w:id="1347514264">
      <w:bodyDiv w:val="1"/>
      <w:marLeft w:val="0"/>
      <w:marRight w:val="0"/>
      <w:marTop w:val="0"/>
      <w:marBottom w:val="0"/>
      <w:divBdr>
        <w:top w:val="none" w:sz="0" w:space="0" w:color="auto"/>
        <w:left w:val="none" w:sz="0" w:space="0" w:color="auto"/>
        <w:bottom w:val="none" w:sz="0" w:space="0" w:color="auto"/>
        <w:right w:val="none" w:sz="0" w:space="0" w:color="auto"/>
      </w:divBdr>
    </w:div>
    <w:div w:id="1463498173">
      <w:bodyDiv w:val="1"/>
      <w:marLeft w:val="0"/>
      <w:marRight w:val="0"/>
      <w:marTop w:val="0"/>
      <w:marBottom w:val="0"/>
      <w:divBdr>
        <w:top w:val="none" w:sz="0" w:space="0" w:color="auto"/>
        <w:left w:val="none" w:sz="0" w:space="0" w:color="auto"/>
        <w:bottom w:val="none" w:sz="0" w:space="0" w:color="auto"/>
        <w:right w:val="none" w:sz="0" w:space="0" w:color="auto"/>
      </w:divBdr>
    </w:div>
    <w:div w:id="1614895006">
      <w:bodyDiv w:val="1"/>
      <w:marLeft w:val="0"/>
      <w:marRight w:val="0"/>
      <w:marTop w:val="0"/>
      <w:marBottom w:val="0"/>
      <w:divBdr>
        <w:top w:val="none" w:sz="0" w:space="0" w:color="auto"/>
        <w:left w:val="none" w:sz="0" w:space="0" w:color="auto"/>
        <w:bottom w:val="none" w:sz="0" w:space="0" w:color="auto"/>
        <w:right w:val="none" w:sz="0" w:space="0" w:color="auto"/>
      </w:divBdr>
    </w:div>
    <w:div w:id="1873834843">
      <w:bodyDiv w:val="1"/>
      <w:marLeft w:val="0"/>
      <w:marRight w:val="0"/>
      <w:marTop w:val="0"/>
      <w:marBottom w:val="0"/>
      <w:divBdr>
        <w:top w:val="none" w:sz="0" w:space="0" w:color="auto"/>
        <w:left w:val="none" w:sz="0" w:space="0" w:color="auto"/>
        <w:bottom w:val="none" w:sz="0" w:space="0" w:color="auto"/>
        <w:right w:val="none" w:sz="0" w:space="0" w:color="auto"/>
      </w:divBdr>
    </w:div>
    <w:div w:id="1926450551">
      <w:bodyDiv w:val="1"/>
      <w:marLeft w:val="0"/>
      <w:marRight w:val="0"/>
      <w:marTop w:val="0"/>
      <w:marBottom w:val="0"/>
      <w:divBdr>
        <w:top w:val="none" w:sz="0" w:space="0" w:color="auto"/>
        <w:left w:val="none" w:sz="0" w:space="0" w:color="auto"/>
        <w:bottom w:val="none" w:sz="0" w:space="0" w:color="auto"/>
        <w:right w:val="none" w:sz="0" w:space="0" w:color="auto"/>
      </w:divBdr>
    </w:div>
    <w:div w:id="1957103815">
      <w:bodyDiv w:val="1"/>
      <w:marLeft w:val="0"/>
      <w:marRight w:val="0"/>
      <w:marTop w:val="0"/>
      <w:marBottom w:val="0"/>
      <w:divBdr>
        <w:top w:val="none" w:sz="0" w:space="0" w:color="auto"/>
        <w:left w:val="none" w:sz="0" w:space="0" w:color="auto"/>
        <w:bottom w:val="none" w:sz="0" w:space="0" w:color="auto"/>
        <w:right w:val="none" w:sz="0" w:space="0" w:color="auto"/>
      </w:divBdr>
    </w:div>
    <w:div w:id="1991523216">
      <w:bodyDiv w:val="1"/>
      <w:marLeft w:val="0"/>
      <w:marRight w:val="0"/>
      <w:marTop w:val="0"/>
      <w:marBottom w:val="0"/>
      <w:divBdr>
        <w:top w:val="none" w:sz="0" w:space="0" w:color="auto"/>
        <w:left w:val="none" w:sz="0" w:space="0" w:color="auto"/>
        <w:bottom w:val="none" w:sz="0" w:space="0" w:color="auto"/>
        <w:right w:val="none" w:sz="0" w:space="0" w:color="auto"/>
      </w:divBdr>
    </w:div>
    <w:div w:id="2083677871">
      <w:bodyDiv w:val="1"/>
      <w:marLeft w:val="0"/>
      <w:marRight w:val="0"/>
      <w:marTop w:val="0"/>
      <w:marBottom w:val="0"/>
      <w:divBdr>
        <w:top w:val="none" w:sz="0" w:space="0" w:color="auto"/>
        <w:left w:val="none" w:sz="0" w:space="0" w:color="auto"/>
        <w:bottom w:val="none" w:sz="0" w:space="0" w:color="auto"/>
        <w:right w:val="none" w:sz="0" w:space="0" w:color="auto"/>
      </w:divBdr>
    </w:div>
    <w:div w:id="214061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X:\01_VZ\02_Sablony_knowhow\03_Vzorove_dokumenty\prikazni_smlouva_verejny_sektor_ZZV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FAE32-5798-4752-8DEE-036DABAF2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prikazni_smlouva_verejny_sektor_ZZVZ</Template>
  <TotalTime>0</TotalTime>
  <Pages>6</Pages>
  <Words>2523</Words>
  <Characters>14887</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Šilhánek</dc:creator>
  <cp:keywords/>
  <dc:description/>
  <cp:lastModifiedBy>Matinová Vladislava (ÚMČ Praha 3)</cp:lastModifiedBy>
  <cp:revision>2</cp:revision>
  <cp:lastPrinted>2021-03-17T19:42:00Z</cp:lastPrinted>
  <dcterms:created xsi:type="dcterms:W3CDTF">2021-03-29T09:22:00Z</dcterms:created>
  <dcterms:modified xsi:type="dcterms:W3CDTF">2021-03-29T09:22:00Z</dcterms:modified>
</cp:coreProperties>
</file>